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2F" w:rsidRPr="007A48C7" w:rsidRDefault="007A48C7">
      <w:pPr>
        <w:rPr>
          <w:rFonts w:cstheme="minorHAnsi"/>
          <w:b/>
        </w:rPr>
      </w:pPr>
      <w:r>
        <w:rPr>
          <w:rFonts w:cstheme="minorHAnsi"/>
          <w:b/>
        </w:rPr>
        <w:t>Law</w:t>
      </w:r>
    </w:p>
    <w:tbl>
      <w:tblPr>
        <w:tblStyle w:val="TableGrid"/>
        <w:tblW w:w="9747" w:type="dxa"/>
        <w:tblLook w:val="04A0" w:firstRow="1" w:lastRow="0" w:firstColumn="1" w:lastColumn="0" w:noHBand="0" w:noVBand="1"/>
      </w:tblPr>
      <w:tblGrid>
        <w:gridCol w:w="1524"/>
        <w:gridCol w:w="8223"/>
      </w:tblGrid>
      <w:tr w:rsidR="00FC1596" w:rsidRPr="007A48C7" w:rsidTr="003C64D6">
        <w:trPr>
          <w:trHeight w:val="1382"/>
        </w:trPr>
        <w:tc>
          <w:tcPr>
            <w:tcW w:w="1524" w:type="dxa"/>
            <w:shd w:val="clear" w:color="auto" w:fill="CCC0D9" w:themeFill="accent4" w:themeFillTint="66"/>
            <w:vAlign w:val="center"/>
          </w:tcPr>
          <w:p w:rsidR="008C7F38" w:rsidRPr="007A48C7" w:rsidRDefault="008C7F38" w:rsidP="00631971">
            <w:pPr>
              <w:rPr>
                <w:rFonts w:cstheme="minorHAnsi"/>
                <w:b/>
              </w:rPr>
            </w:pPr>
            <w:r w:rsidRPr="007A48C7">
              <w:rPr>
                <w:rFonts w:cstheme="minorHAnsi"/>
                <w:b/>
              </w:rPr>
              <w:t>Courses offered</w:t>
            </w:r>
          </w:p>
        </w:tc>
        <w:tc>
          <w:tcPr>
            <w:tcW w:w="8223" w:type="dxa"/>
            <w:vAlign w:val="center"/>
          </w:tcPr>
          <w:p w:rsidR="00637E03" w:rsidRPr="00E67690" w:rsidRDefault="00E67690" w:rsidP="00E67690">
            <w:pPr>
              <w:pStyle w:val="ListParagraph"/>
              <w:numPr>
                <w:ilvl w:val="0"/>
                <w:numId w:val="39"/>
              </w:numPr>
              <w:rPr>
                <w:rFonts w:cstheme="minorHAnsi"/>
              </w:rPr>
            </w:pPr>
            <w:r>
              <w:t>Law LLB</w:t>
            </w:r>
          </w:p>
          <w:p w:rsidR="00E67690" w:rsidRPr="00E67690" w:rsidRDefault="00E67690" w:rsidP="00E67690">
            <w:pPr>
              <w:ind w:left="360"/>
              <w:rPr>
                <w:rFonts w:cstheme="minorHAnsi"/>
              </w:rPr>
            </w:pPr>
          </w:p>
        </w:tc>
      </w:tr>
      <w:tr w:rsidR="00FC1596" w:rsidRPr="007A48C7" w:rsidTr="00FC1596">
        <w:trPr>
          <w:trHeight w:val="838"/>
        </w:trPr>
        <w:tc>
          <w:tcPr>
            <w:tcW w:w="1524" w:type="dxa"/>
            <w:shd w:val="clear" w:color="auto" w:fill="CCC0D9" w:themeFill="accent4" w:themeFillTint="66"/>
            <w:vAlign w:val="center"/>
          </w:tcPr>
          <w:p w:rsidR="00292BC0" w:rsidRPr="007A48C7" w:rsidRDefault="00292BC0" w:rsidP="00631971">
            <w:pPr>
              <w:rPr>
                <w:rFonts w:cstheme="minorHAnsi"/>
                <w:b/>
              </w:rPr>
            </w:pPr>
            <w:r w:rsidRPr="007A48C7">
              <w:rPr>
                <w:rFonts w:cstheme="minorHAnsi"/>
                <w:b/>
              </w:rPr>
              <w:t>Entry requirements</w:t>
            </w:r>
          </w:p>
        </w:tc>
        <w:tc>
          <w:tcPr>
            <w:tcW w:w="8223" w:type="dxa"/>
            <w:vAlign w:val="center"/>
          </w:tcPr>
          <w:p w:rsidR="00292BC0" w:rsidRPr="007A48C7" w:rsidRDefault="00292BC0" w:rsidP="00292BC0">
            <w:pPr>
              <w:spacing w:line="360" w:lineRule="auto"/>
              <w:rPr>
                <w:rFonts w:cstheme="minorHAnsi"/>
                <w:b/>
              </w:rPr>
            </w:pPr>
            <w:r w:rsidRPr="007A48C7">
              <w:rPr>
                <w:rFonts w:cstheme="minorHAnsi"/>
                <w:b/>
              </w:rPr>
              <w:t>Typical offer</w:t>
            </w:r>
          </w:p>
          <w:p w:rsidR="0020547F" w:rsidRPr="007A48C7" w:rsidRDefault="0024559B" w:rsidP="007A48C7">
            <w:pPr>
              <w:pStyle w:val="ListParagraph"/>
              <w:numPr>
                <w:ilvl w:val="0"/>
                <w:numId w:val="29"/>
              </w:numPr>
              <w:rPr>
                <w:rFonts w:cstheme="minorHAnsi"/>
              </w:rPr>
            </w:pPr>
            <w:r w:rsidRPr="007A48C7">
              <w:rPr>
                <w:rFonts w:cstheme="minorHAnsi"/>
              </w:rPr>
              <w:t xml:space="preserve">A Level </w:t>
            </w:r>
            <w:r w:rsidR="007A48C7">
              <w:rPr>
                <w:rFonts w:cstheme="minorHAnsi"/>
              </w:rPr>
              <w:t>AAA</w:t>
            </w:r>
          </w:p>
          <w:p w:rsidR="0024559B" w:rsidRPr="007A48C7" w:rsidRDefault="007A48C7" w:rsidP="007A48C7">
            <w:pPr>
              <w:pStyle w:val="ListParagraph"/>
              <w:numPr>
                <w:ilvl w:val="0"/>
                <w:numId w:val="29"/>
              </w:numPr>
              <w:rPr>
                <w:rFonts w:cstheme="minorHAnsi"/>
              </w:rPr>
            </w:pPr>
            <w:r>
              <w:rPr>
                <w:rFonts w:cstheme="minorHAnsi"/>
              </w:rPr>
              <w:t>IB: 36</w:t>
            </w:r>
            <w:r w:rsidR="0024559B" w:rsidRPr="007A48C7">
              <w:rPr>
                <w:rFonts w:cstheme="minorHAnsi"/>
              </w:rPr>
              <w:t> points</w:t>
            </w:r>
            <w:r>
              <w:rPr>
                <w:rFonts w:cstheme="minorHAnsi"/>
              </w:rPr>
              <w:t>, 666 at Higher Level</w:t>
            </w:r>
            <w:r w:rsidR="0024559B" w:rsidRPr="007A48C7">
              <w:rPr>
                <w:rFonts w:cstheme="minorHAnsi"/>
              </w:rPr>
              <w:t xml:space="preserve"> </w:t>
            </w:r>
          </w:p>
          <w:p w:rsidR="0020547F" w:rsidRPr="007A48C7" w:rsidRDefault="0020547F" w:rsidP="0020547F">
            <w:pPr>
              <w:pStyle w:val="ListParagraph"/>
              <w:rPr>
                <w:rFonts w:cstheme="minorHAnsi"/>
              </w:rPr>
            </w:pPr>
          </w:p>
          <w:p w:rsidR="0020547F" w:rsidRPr="007A48C7" w:rsidRDefault="0020547F" w:rsidP="0020547F">
            <w:pPr>
              <w:pStyle w:val="ListParagraph"/>
              <w:rPr>
                <w:rFonts w:cstheme="minorHAnsi"/>
              </w:rPr>
            </w:pPr>
          </w:p>
        </w:tc>
      </w:tr>
      <w:tr w:rsidR="00FC1596" w:rsidRPr="007A48C7" w:rsidTr="00FC1596">
        <w:trPr>
          <w:trHeight w:val="1160"/>
        </w:trPr>
        <w:tc>
          <w:tcPr>
            <w:tcW w:w="1524" w:type="dxa"/>
            <w:shd w:val="clear" w:color="auto" w:fill="CCC0D9" w:themeFill="accent4" w:themeFillTint="66"/>
            <w:vAlign w:val="center"/>
          </w:tcPr>
          <w:p w:rsidR="00FC669A" w:rsidRPr="007A48C7" w:rsidRDefault="00FC669A" w:rsidP="00827739">
            <w:pPr>
              <w:rPr>
                <w:rFonts w:cstheme="minorHAnsi"/>
                <w:b/>
              </w:rPr>
            </w:pPr>
            <w:r w:rsidRPr="007A48C7">
              <w:rPr>
                <w:rFonts w:cstheme="minorHAnsi"/>
                <w:b/>
              </w:rPr>
              <w:t>Rankings</w:t>
            </w:r>
            <w:r w:rsidR="0024559B" w:rsidRPr="007A48C7">
              <w:rPr>
                <w:rFonts w:cstheme="minorHAnsi"/>
                <w:b/>
              </w:rPr>
              <w:t>/NSS</w:t>
            </w:r>
          </w:p>
          <w:p w:rsidR="00FC669A" w:rsidRPr="007A48C7" w:rsidRDefault="00FC669A" w:rsidP="00827739">
            <w:pPr>
              <w:rPr>
                <w:rFonts w:cstheme="minorHAnsi"/>
                <w:b/>
              </w:rPr>
            </w:pPr>
          </w:p>
        </w:tc>
        <w:tc>
          <w:tcPr>
            <w:tcW w:w="8223" w:type="dxa"/>
            <w:vAlign w:val="center"/>
          </w:tcPr>
          <w:p w:rsidR="001D5431" w:rsidRPr="007A48C7" w:rsidRDefault="0002660F" w:rsidP="007A48C7">
            <w:pPr>
              <w:pStyle w:val="ListParagraph"/>
              <w:numPr>
                <w:ilvl w:val="0"/>
                <w:numId w:val="29"/>
              </w:numPr>
              <w:rPr>
                <w:rFonts w:cstheme="minorHAnsi"/>
              </w:rPr>
            </w:pPr>
            <w:r>
              <w:t>Recognised as one of the top 10 universities to study law in the UK*</w:t>
            </w:r>
            <w:r w:rsidRPr="007A48C7">
              <w:rPr>
                <w:rFonts w:cstheme="minorHAnsi"/>
              </w:rPr>
              <w:t xml:space="preserve"> </w:t>
            </w:r>
            <w:r w:rsidR="007A48C7" w:rsidRPr="007A48C7">
              <w:rPr>
                <w:rFonts w:cstheme="minorHAnsi"/>
              </w:rPr>
              <w:t>(</w:t>
            </w:r>
            <w:r w:rsidR="001D5431" w:rsidRPr="007A48C7">
              <w:rPr>
                <w:rFonts w:cstheme="minorHAnsi"/>
              </w:rPr>
              <w:t>THE Times Higher Education World Uni</w:t>
            </w:r>
            <w:r>
              <w:rPr>
                <w:rFonts w:cstheme="minorHAnsi"/>
              </w:rPr>
              <w:t>versity Rankings by subject 2020 10</w:t>
            </w:r>
            <w:r w:rsidRPr="0002660F">
              <w:rPr>
                <w:rFonts w:cstheme="minorHAnsi"/>
                <w:vertAlign w:val="superscript"/>
              </w:rPr>
              <w:t>th</w:t>
            </w:r>
            <w:r>
              <w:rPr>
                <w:rFonts w:cstheme="minorHAnsi"/>
              </w:rPr>
              <w:t xml:space="preserve"> in the UK</w:t>
            </w:r>
            <w:r w:rsidR="007A48C7" w:rsidRPr="007A48C7">
              <w:rPr>
                <w:rFonts w:cstheme="minorHAnsi"/>
              </w:rPr>
              <w:t>)</w:t>
            </w:r>
          </w:p>
          <w:p w:rsidR="0024559B" w:rsidRPr="007A48C7" w:rsidRDefault="0024559B" w:rsidP="007A48C7">
            <w:pPr>
              <w:pStyle w:val="ListParagraph"/>
              <w:numPr>
                <w:ilvl w:val="0"/>
                <w:numId w:val="29"/>
              </w:numPr>
              <w:rPr>
                <w:rFonts w:cstheme="minorHAnsi"/>
              </w:rPr>
            </w:pPr>
            <w:r w:rsidRPr="007A48C7">
              <w:rPr>
                <w:rFonts w:cstheme="minorHAnsi"/>
              </w:rPr>
              <w:t>83% of our research was ranked as ‘world-leading’ or ‘internationally excellent’ by the Research Excellence Framework</w:t>
            </w:r>
            <w:r w:rsidR="007A48C7" w:rsidRPr="007A48C7">
              <w:rPr>
                <w:rFonts w:cstheme="minorHAnsi"/>
              </w:rPr>
              <w:t xml:space="preserve"> (REF 2</w:t>
            </w:r>
            <w:r w:rsidRPr="007A48C7">
              <w:rPr>
                <w:rFonts w:cstheme="minorHAnsi"/>
              </w:rPr>
              <w:t>014</w:t>
            </w:r>
            <w:r w:rsidR="007A48C7" w:rsidRPr="007A48C7">
              <w:rPr>
                <w:rFonts w:cstheme="minorHAnsi"/>
              </w:rPr>
              <w:t>)</w:t>
            </w:r>
          </w:p>
          <w:p w:rsidR="0024559B" w:rsidRPr="007A48C7" w:rsidRDefault="0024559B" w:rsidP="007A48C7">
            <w:pPr>
              <w:rPr>
                <w:rFonts w:cstheme="minorHAnsi"/>
              </w:rPr>
            </w:pPr>
          </w:p>
        </w:tc>
      </w:tr>
      <w:tr w:rsidR="00DB2C65" w:rsidRPr="007A48C7" w:rsidTr="00FC1596">
        <w:trPr>
          <w:trHeight w:val="1160"/>
        </w:trPr>
        <w:tc>
          <w:tcPr>
            <w:tcW w:w="1524" w:type="dxa"/>
            <w:shd w:val="clear" w:color="auto" w:fill="CCC0D9" w:themeFill="accent4" w:themeFillTint="66"/>
            <w:vAlign w:val="center"/>
          </w:tcPr>
          <w:p w:rsidR="00DB2C65" w:rsidRPr="007A48C7" w:rsidRDefault="00DB2C65" w:rsidP="00DB2C65">
            <w:pPr>
              <w:rPr>
                <w:rFonts w:cstheme="minorHAnsi"/>
                <w:b/>
              </w:rPr>
            </w:pPr>
            <w:r w:rsidRPr="007A48C7">
              <w:rPr>
                <w:rFonts w:cstheme="minorHAnsi"/>
                <w:b/>
              </w:rPr>
              <w:t>Key features/USPs</w:t>
            </w:r>
          </w:p>
        </w:tc>
        <w:tc>
          <w:tcPr>
            <w:tcW w:w="8223" w:type="dxa"/>
            <w:vAlign w:val="center"/>
          </w:tcPr>
          <w:p w:rsidR="00DB2C65" w:rsidRPr="007A48C7" w:rsidRDefault="007A48C7" w:rsidP="007A48C7">
            <w:pPr>
              <w:rPr>
                <w:rFonts w:cstheme="minorHAnsi"/>
                <w:b/>
              </w:rPr>
            </w:pPr>
            <w:r w:rsidRPr="007A48C7">
              <w:rPr>
                <w:rFonts w:cstheme="minorHAnsi"/>
                <w:b/>
              </w:rPr>
              <w:t>Key features</w:t>
            </w:r>
          </w:p>
          <w:p w:rsidR="00DB2C65" w:rsidRPr="007A48C7" w:rsidRDefault="00DB2C65" w:rsidP="007A48C7">
            <w:pPr>
              <w:pStyle w:val="ListParagraph"/>
              <w:numPr>
                <w:ilvl w:val="0"/>
                <w:numId w:val="29"/>
              </w:numPr>
              <w:rPr>
                <w:rFonts w:cstheme="minorHAnsi"/>
              </w:rPr>
            </w:pPr>
            <w:r w:rsidRPr="007A48C7">
              <w:rPr>
                <w:rFonts w:cstheme="minorHAnsi"/>
              </w:rPr>
              <w:t>Study abroad - partners include</w:t>
            </w:r>
            <w:r w:rsidR="007A48C7" w:rsidRPr="007A48C7">
              <w:rPr>
                <w:rFonts w:cstheme="minorHAnsi"/>
              </w:rPr>
              <w:t xml:space="preserve"> the Australian National University, the University of Hong and the University of Toronto</w:t>
            </w:r>
          </w:p>
          <w:p w:rsidR="007A48C7" w:rsidRPr="007A48C7" w:rsidRDefault="007A48C7" w:rsidP="007A48C7">
            <w:pPr>
              <w:ind w:left="360"/>
              <w:rPr>
                <w:rFonts w:cstheme="minorHAnsi"/>
              </w:rPr>
            </w:pPr>
          </w:p>
          <w:p w:rsidR="007A48C7" w:rsidRPr="007A48C7" w:rsidRDefault="007A48C7" w:rsidP="007A48C7">
            <w:pPr>
              <w:rPr>
                <w:rFonts w:cstheme="minorHAnsi"/>
                <w:b/>
              </w:rPr>
            </w:pPr>
            <w:r w:rsidRPr="007A48C7">
              <w:rPr>
                <w:rFonts w:cstheme="minorHAnsi"/>
                <w:b/>
              </w:rPr>
              <w:t>Societies</w:t>
            </w:r>
          </w:p>
          <w:p w:rsidR="007A48C7" w:rsidRPr="007A48C7" w:rsidRDefault="007A48C7" w:rsidP="007A48C7">
            <w:pPr>
              <w:pStyle w:val="ListParagraph"/>
              <w:numPr>
                <w:ilvl w:val="0"/>
                <w:numId w:val="29"/>
              </w:numPr>
              <w:rPr>
                <w:rFonts w:cstheme="minorHAnsi"/>
              </w:rPr>
            </w:pPr>
            <w:r w:rsidRPr="007A48C7">
              <w:rPr>
                <w:rFonts w:cstheme="minorHAnsi"/>
              </w:rPr>
              <w:t>Manchester University Law Society (MULS) – our law student society is the largest society is one of the largest societies in the UK</w:t>
            </w:r>
          </w:p>
          <w:p w:rsidR="00DB2C65" w:rsidRPr="007A48C7" w:rsidRDefault="007A48C7" w:rsidP="007A48C7">
            <w:pPr>
              <w:pStyle w:val="ListParagraph"/>
              <w:numPr>
                <w:ilvl w:val="0"/>
                <w:numId w:val="29"/>
              </w:numPr>
              <w:rPr>
                <w:rFonts w:cstheme="minorHAnsi"/>
              </w:rPr>
            </w:pPr>
            <w:r w:rsidRPr="007A48C7">
              <w:rPr>
                <w:rFonts w:cstheme="minorHAnsi"/>
              </w:rPr>
              <w:t>Students can also join the Debating Society, Bar Society, Pro Bono Society and the Society of Current Affairs and Commercial Awareness</w:t>
            </w:r>
          </w:p>
          <w:p w:rsidR="00DB2C65" w:rsidRPr="007A48C7" w:rsidRDefault="00DB2C65" w:rsidP="007A48C7">
            <w:pPr>
              <w:pStyle w:val="ListParagraph"/>
              <w:numPr>
                <w:ilvl w:val="0"/>
                <w:numId w:val="29"/>
              </w:numPr>
              <w:rPr>
                <w:rFonts w:cstheme="minorHAnsi"/>
              </w:rPr>
            </w:pPr>
            <w:r w:rsidRPr="007A48C7">
              <w:rPr>
                <w:rFonts w:cstheme="minorHAnsi"/>
              </w:rPr>
              <w:t>Societies</w:t>
            </w:r>
          </w:p>
          <w:p w:rsidR="00DB2C65" w:rsidRPr="007A48C7" w:rsidRDefault="00DB2C65" w:rsidP="007A48C7">
            <w:pPr>
              <w:pStyle w:val="ListParagraph"/>
              <w:numPr>
                <w:ilvl w:val="0"/>
                <w:numId w:val="29"/>
              </w:numPr>
              <w:rPr>
                <w:rFonts w:cstheme="minorHAnsi"/>
              </w:rPr>
            </w:pPr>
            <w:r w:rsidRPr="007A48C7">
              <w:rPr>
                <w:rFonts w:cstheme="minorHAnsi"/>
              </w:rPr>
              <w:t xml:space="preserve">Manchester University Criminology Society (MUCS) – our criminology student society for those who have an interest in the criminal justice sector </w:t>
            </w:r>
          </w:p>
          <w:p w:rsidR="00DB2C65" w:rsidRPr="007A48C7" w:rsidRDefault="007A48C7" w:rsidP="007A48C7">
            <w:pPr>
              <w:pStyle w:val="ListParagraph"/>
              <w:numPr>
                <w:ilvl w:val="0"/>
                <w:numId w:val="29"/>
              </w:numPr>
              <w:rPr>
                <w:rFonts w:cstheme="minorHAnsi"/>
              </w:rPr>
            </w:pPr>
            <w:r w:rsidRPr="007A48C7">
              <w:rPr>
                <w:rFonts w:cstheme="minorHAnsi"/>
              </w:rPr>
              <w:t>Develop your career and make connections through a series of presentations, workshops, debating competitions and networking opportunities</w:t>
            </w:r>
          </w:p>
          <w:p w:rsidR="00DB2C65" w:rsidRPr="007A48C7" w:rsidRDefault="00DB2C65" w:rsidP="007A48C7">
            <w:pPr>
              <w:pStyle w:val="ListParagraph"/>
              <w:rPr>
                <w:rFonts w:cstheme="minorHAnsi"/>
              </w:rPr>
            </w:pPr>
          </w:p>
          <w:p w:rsidR="00DB2C65" w:rsidRPr="007A48C7" w:rsidRDefault="00DB2C65" w:rsidP="007A48C7">
            <w:pPr>
              <w:rPr>
                <w:rFonts w:cstheme="minorHAnsi"/>
              </w:rPr>
            </w:pPr>
            <w:r w:rsidRPr="007A48C7">
              <w:rPr>
                <w:rFonts w:cstheme="minorHAnsi"/>
              </w:rPr>
              <w:t>USPs</w:t>
            </w:r>
          </w:p>
          <w:p w:rsidR="00DB2C65" w:rsidRPr="007A48C7" w:rsidRDefault="00DB2C65" w:rsidP="007A48C7">
            <w:pPr>
              <w:pStyle w:val="ListParagraph"/>
              <w:rPr>
                <w:rFonts w:cstheme="minorHAnsi"/>
              </w:rPr>
            </w:pPr>
          </w:p>
          <w:p w:rsidR="007A48C7" w:rsidRDefault="007A48C7" w:rsidP="007A48C7">
            <w:pPr>
              <w:pStyle w:val="ListParagraph"/>
              <w:numPr>
                <w:ilvl w:val="0"/>
                <w:numId w:val="29"/>
              </w:numPr>
              <w:rPr>
                <w:rFonts w:cstheme="minorHAnsi"/>
              </w:rPr>
            </w:pPr>
            <w:r w:rsidRPr="007A48C7">
              <w:rPr>
                <w:rFonts w:cstheme="minorHAnsi"/>
              </w:rPr>
              <w:t xml:space="preserve">Be part of enterprises within the Justice Hub including, The Legal Advice Centre, Miscarriages of Justice Review Centre, Dementia Law Clinic and Manchester Free Legal Help, to make real change happen in the community. </w:t>
            </w:r>
          </w:p>
          <w:p w:rsidR="007A48C7" w:rsidRPr="003C64D6" w:rsidRDefault="007A48C7" w:rsidP="007A48C7">
            <w:pPr>
              <w:pStyle w:val="ListParagraph"/>
              <w:numPr>
                <w:ilvl w:val="0"/>
                <w:numId w:val="29"/>
              </w:numPr>
              <w:rPr>
                <w:rFonts w:cstheme="minorHAnsi"/>
              </w:rPr>
            </w:pPr>
            <w:r w:rsidRPr="007A48C7">
              <w:rPr>
                <w:rFonts w:cstheme="minorHAnsi"/>
              </w:rPr>
              <w:t xml:space="preserve">Gain insights into the legal profession, offering pro bono legal advice on real legal cases, in the award winning Legal Advice Centre </w:t>
            </w:r>
          </w:p>
          <w:p w:rsidR="008C689B" w:rsidRDefault="008C689B" w:rsidP="008C689B">
            <w:pPr>
              <w:pStyle w:val="ListParagraph"/>
              <w:numPr>
                <w:ilvl w:val="0"/>
                <w:numId w:val="29"/>
              </w:numPr>
              <w:rPr>
                <w:rFonts w:cstheme="minorHAnsi"/>
              </w:rPr>
            </w:pPr>
            <w:r w:rsidRPr="008C689B">
              <w:rPr>
                <w:rFonts w:cstheme="minorHAnsi"/>
              </w:rPr>
              <w:t xml:space="preserve">Studying at one of the UK’s most international universities means you will be given opportunities to develop connections with legal practitioners and industry professionals from across the world </w:t>
            </w:r>
          </w:p>
          <w:p w:rsidR="007A48C7" w:rsidRPr="007A48C7" w:rsidRDefault="007A48C7" w:rsidP="008C689B">
            <w:pPr>
              <w:pStyle w:val="ListParagraph"/>
              <w:numPr>
                <w:ilvl w:val="0"/>
                <w:numId w:val="29"/>
              </w:numPr>
              <w:rPr>
                <w:rFonts w:cstheme="minorHAnsi"/>
              </w:rPr>
            </w:pPr>
            <w:r>
              <w:rPr>
                <w:rFonts w:cstheme="minorHAnsi"/>
              </w:rPr>
              <w:t xml:space="preserve">Benefit from </w:t>
            </w:r>
            <w:r w:rsidRPr="007A48C7">
              <w:rPr>
                <w:rFonts w:cstheme="minorHAnsi"/>
              </w:rPr>
              <w:t xml:space="preserve">seminars, events and networks hosted by a number of our specialist law research centres </w:t>
            </w:r>
          </w:p>
          <w:p w:rsidR="00DB2C65" w:rsidRPr="007A48C7" w:rsidRDefault="007A48C7" w:rsidP="007A48C7">
            <w:pPr>
              <w:pStyle w:val="ListParagraph"/>
              <w:numPr>
                <w:ilvl w:val="0"/>
                <w:numId w:val="29"/>
              </w:numPr>
              <w:rPr>
                <w:rFonts w:cstheme="minorHAnsi"/>
              </w:rPr>
            </w:pPr>
            <w:r w:rsidRPr="007A48C7">
              <w:rPr>
                <w:rFonts w:cstheme="minorHAnsi"/>
              </w:rPr>
              <w:t xml:space="preserve">Enhance your student experience through Stellify by taking part in the Manchester Leadership Award, </w:t>
            </w:r>
            <w:hyperlink r:id="rId8" w:history="1">
              <w:r w:rsidRPr="007A48C7">
                <w:rPr>
                  <w:rFonts w:cstheme="minorHAnsi"/>
                </w:rPr>
                <w:t>Ethical Grand Challenges</w:t>
              </w:r>
            </w:hyperlink>
            <w:r w:rsidRPr="007A48C7">
              <w:rPr>
                <w:rFonts w:cstheme="minorHAnsi"/>
              </w:rPr>
              <w:t xml:space="preserve"> and undertaking community voluntee</w:t>
            </w:r>
            <w:r w:rsidR="003C64D6">
              <w:rPr>
                <w:rFonts w:cstheme="minorHAnsi"/>
              </w:rPr>
              <w:t>ring and leadership experiences</w:t>
            </w:r>
          </w:p>
        </w:tc>
      </w:tr>
      <w:tr w:rsidR="00F74F3C" w:rsidRPr="007A48C7" w:rsidTr="00FC1596">
        <w:trPr>
          <w:trHeight w:val="1160"/>
        </w:trPr>
        <w:tc>
          <w:tcPr>
            <w:tcW w:w="1524" w:type="dxa"/>
            <w:shd w:val="clear" w:color="auto" w:fill="CCC0D9" w:themeFill="accent4" w:themeFillTint="66"/>
            <w:vAlign w:val="center"/>
          </w:tcPr>
          <w:p w:rsidR="00F74F3C" w:rsidRPr="007A48C7" w:rsidRDefault="00F74F3C" w:rsidP="00F74F3C">
            <w:pPr>
              <w:rPr>
                <w:rFonts w:cstheme="minorHAnsi"/>
                <w:b/>
              </w:rPr>
            </w:pPr>
            <w:r w:rsidRPr="00F74F3C">
              <w:rPr>
                <w:rFonts w:cstheme="minorHAnsi"/>
                <w:b/>
                <w:i/>
              </w:rPr>
              <w:lastRenderedPageBreak/>
              <w:t>Student breakdown</w:t>
            </w:r>
          </w:p>
        </w:tc>
        <w:tc>
          <w:tcPr>
            <w:tcW w:w="8223" w:type="dxa"/>
            <w:vAlign w:val="center"/>
          </w:tcPr>
          <w:p w:rsidR="004167B1" w:rsidRDefault="00092506" w:rsidP="004167B1">
            <w:pPr>
              <w:rPr>
                <w:rFonts w:ascii="Arial" w:hAnsi="Arial" w:cs="Arial"/>
                <w:sz w:val="20"/>
                <w:szCs w:val="20"/>
              </w:rPr>
            </w:pPr>
            <w:r>
              <w:rPr>
                <w:rFonts w:ascii="Arial" w:hAnsi="Arial" w:cs="Arial"/>
                <w:sz w:val="20"/>
                <w:szCs w:val="20"/>
              </w:rPr>
              <w:t>2019 intake:</w:t>
            </w:r>
            <w:bookmarkStart w:id="0" w:name="_GoBack"/>
            <w:bookmarkEnd w:id="0"/>
          </w:p>
          <w:p w:rsidR="004167B1" w:rsidRDefault="004167B1" w:rsidP="004167B1">
            <w:pPr>
              <w:rPr>
                <w:rFonts w:ascii="Arial" w:hAnsi="Arial" w:cs="Arial"/>
                <w:sz w:val="20"/>
                <w:szCs w:val="20"/>
              </w:rPr>
            </w:pPr>
          </w:p>
          <w:p w:rsidR="00F74F3C" w:rsidRPr="004167B1" w:rsidRDefault="004167B1" w:rsidP="004167B1">
            <w:pPr>
              <w:pStyle w:val="ListParagraph"/>
              <w:numPr>
                <w:ilvl w:val="1"/>
                <w:numId w:val="41"/>
              </w:numPr>
              <w:rPr>
                <w:rFonts w:cstheme="minorHAnsi"/>
                <w:szCs w:val="20"/>
              </w:rPr>
            </w:pPr>
            <w:r w:rsidRPr="004167B1">
              <w:rPr>
                <w:rFonts w:cstheme="minorHAnsi"/>
                <w:szCs w:val="20"/>
              </w:rPr>
              <w:t xml:space="preserve">2426 </w:t>
            </w:r>
            <w:r w:rsidR="00F74F3C" w:rsidRPr="004167B1">
              <w:rPr>
                <w:rFonts w:cstheme="minorHAnsi"/>
                <w:szCs w:val="20"/>
              </w:rPr>
              <w:t>Applications</w:t>
            </w:r>
          </w:p>
          <w:p w:rsidR="00F74F3C" w:rsidRPr="004167B1" w:rsidRDefault="004167B1" w:rsidP="004167B1">
            <w:pPr>
              <w:pStyle w:val="ListParagraph"/>
              <w:numPr>
                <w:ilvl w:val="1"/>
                <w:numId w:val="41"/>
              </w:numPr>
              <w:rPr>
                <w:rFonts w:cstheme="minorHAnsi"/>
                <w:szCs w:val="20"/>
              </w:rPr>
            </w:pPr>
            <w:r>
              <w:rPr>
                <w:rFonts w:cstheme="minorHAnsi"/>
                <w:szCs w:val="20"/>
              </w:rPr>
              <w:t xml:space="preserve">257 </w:t>
            </w:r>
            <w:r w:rsidR="00F74F3C" w:rsidRPr="004167B1">
              <w:rPr>
                <w:rFonts w:cstheme="minorHAnsi"/>
                <w:szCs w:val="20"/>
              </w:rPr>
              <w:t xml:space="preserve">Accepted </w:t>
            </w:r>
          </w:p>
          <w:p w:rsidR="00F74F3C" w:rsidRPr="004167B1" w:rsidRDefault="004167B1" w:rsidP="004167B1">
            <w:pPr>
              <w:pStyle w:val="ListParagraph"/>
              <w:numPr>
                <w:ilvl w:val="1"/>
                <w:numId w:val="41"/>
              </w:numPr>
              <w:rPr>
                <w:rFonts w:cstheme="minorHAnsi"/>
                <w:szCs w:val="20"/>
              </w:rPr>
            </w:pPr>
            <w:r w:rsidRPr="004167B1">
              <w:rPr>
                <w:rFonts w:cstheme="minorHAnsi"/>
                <w:szCs w:val="20"/>
              </w:rPr>
              <w:t xml:space="preserve">33 </w:t>
            </w:r>
            <w:r w:rsidR="00F74F3C" w:rsidRPr="004167B1">
              <w:rPr>
                <w:rFonts w:cstheme="minorHAnsi"/>
                <w:szCs w:val="20"/>
              </w:rPr>
              <w:t>Nationalities</w:t>
            </w:r>
          </w:p>
          <w:p w:rsidR="00F74F3C" w:rsidRPr="00F74F3C" w:rsidRDefault="004167B1" w:rsidP="00F74F3C">
            <w:pPr>
              <w:pStyle w:val="ListParagraph"/>
              <w:numPr>
                <w:ilvl w:val="1"/>
                <w:numId w:val="41"/>
              </w:numPr>
              <w:rPr>
                <w:rFonts w:ascii="Arial" w:hAnsi="Arial" w:cs="Arial"/>
                <w:szCs w:val="20"/>
              </w:rPr>
            </w:pPr>
            <w:r>
              <w:rPr>
                <w:rFonts w:cstheme="minorHAnsi"/>
                <w:szCs w:val="20"/>
              </w:rPr>
              <w:t xml:space="preserve">33 </w:t>
            </w:r>
            <w:r w:rsidR="00F74F3C">
              <w:rPr>
                <w:rFonts w:cstheme="minorHAnsi"/>
                <w:szCs w:val="20"/>
              </w:rPr>
              <w:t xml:space="preserve">% Male </w:t>
            </w:r>
          </w:p>
          <w:p w:rsidR="00F74F3C" w:rsidRPr="00F74F3C" w:rsidRDefault="004167B1" w:rsidP="00F74F3C">
            <w:pPr>
              <w:pStyle w:val="ListParagraph"/>
              <w:numPr>
                <w:ilvl w:val="1"/>
                <w:numId w:val="41"/>
              </w:numPr>
              <w:rPr>
                <w:rFonts w:ascii="Arial" w:hAnsi="Arial" w:cs="Arial"/>
                <w:szCs w:val="20"/>
              </w:rPr>
            </w:pPr>
            <w:r>
              <w:rPr>
                <w:rFonts w:cstheme="minorHAnsi"/>
                <w:szCs w:val="20"/>
              </w:rPr>
              <w:t xml:space="preserve">67 </w:t>
            </w:r>
            <w:r w:rsidR="00F74F3C" w:rsidRPr="00F74F3C">
              <w:rPr>
                <w:rFonts w:cstheme="minorHAnsi"/>
                <w:szCs w:val="20"/>
              </w:rPr>
              <w:t>% Female</w:t>
            </w:r>
          </w:p>
        </w:tc>
      </w:tr>
      <w:tr w:rsidR="00DB2C65" w:rsidRPr="007A48C7" w:rsidTr="00406F1A">
        <w:trPr>
          <w:trHeight w:val="553"/>
        </w:trPr>
        <w:tc>
          <w:tcPr>
            <w:tcW w:w="1524" w:type="dxa"/>
            <w:shd w:val="clear" w:color="auto" w:fill="CCC0D9" w:themeFill="accent4" w:themeFillTint="66"/>
            <w:vAlign w:val="center"/>
          </w:tcPr>
          <w:p w:rsidR="00DB2C65" w:rsidRPr="007A48C7" w:rsidRDefault="00DB2C65" w:rsidP="00DB2C65">
            <w:pPr>
              <w:rPr>
                <w:rFonts w:cstheme="minorHAnsi"/>
                <w:b/>
              </w:rPr>
            </w:pPr>
            <w:r w:rsidRPr="007A48C7">
              <w:rPr>
                <w:rFonts w:cstheme="minorHAnsi"/>
                <w:b/>
                <w:i/>
              </w:rPr>
              <w:t>Graduate prospects</w:t>
            </w:r>
          </w:p>
        </w:tc>
        <w:tc>
          <w:tcPr>
            <w:tcW w:w="8223" w:type="dxa"/>
            <w:vAlign w:val="center"/>
          </w:tcPr>
          <w:p w:rsidR="00DB2C65" w:rsidRPr="007A48C7" w:rsidRDefault="00DB2C65" w:rsidP="00DB2C65">
            <w:pPr>
              <w:rPr>
                <w:rFonts w:cstheme="minorHAnsi"/>
              </w:rPr>
            </w:pPr>
            <w:r w:rsidRPr="007A48C7">
              <w:rPr>
                <w:rFonts w:cstheme="minorHAnsi"/>
              </w:rPr>
              <w:t>Employability</w:t>
            </w:r>
          </w:p>
          <w:p w:rsidR="00DB2C65" w:rsidRPr="007A48C7" w:rsidRDefault="00DB2C65" w:rsidP="00DB2C65">
            <w:pPr>
              <w:rPr>
                <w:rFonts w:cstheme="minorHAnsi"/>
              </w:rPr>
            </w:pPr>
          </w:p>
          <w:p w:rsidR="00DB2C65" w:rsidRPr="007A48C7" w:rsidRDefault="00DB2C65" w:rsidP="00DB2C65">
            <w:pPr>
              <w:pStyle w:val="ListParagraph"/>
              <w:numPr>
                <w:ilvl w:val="0"/>
                <w:numId w:val="18"/>
              </w:numPr>
              <w:rPr>
                <w:rFonts w:cstheme="minorHAnsi"/>
              </w:rPr>
            </w:pPr>
            <w:r w:rsidRPr="007A48C7">
              <w:rPr>
                <w:rFonts w:cstheme="minorHAnsi"/>
              </w:rPr>
              <w:t>95% graduates are in work or further study six months after graduation – Destination Leavers Higher Education Survey 2017-18</w:t>
            </w:r>
          </w:p>
          <w:p w:rsidR="00DB2C65" w:rsidRPr="007A48C7" w:rsidRDefault="00DB2C65" w:rsidP="00DB2C65">
            <w:pPr>
              <w:ind w:left="360"/>
              <w:rPr>
                <w:rFonts w:cstheme="minorHAnsi"/>
              </w:rPr>
            </w:pPr>
          </w:p>
          <w:p w:rsidR="008C689B" w:rsidRPr="008C689B" w:rsidRDefault="008C689B" w:rsidP="008C689B">
            <w:r w:rsidRPr="008C689B">
              <w:t xml:space="preserve">Our LLB Law students benefit from unique training, networking and work-based opportunities enabling them to build a truly successful career.  </w:t>
            </w:r>
          </w:p>
          <w:p w:rsidR="008C689B" w:rsidRPr="008C689B" w:rsidRDefault="008C689B" w:rsidP="008C689B"/>
          <w:p w:rsidR="008C689B" w:rsidRPr="008C689B" w:rsidRDefault="008C689B" w:rsidP="008C689B">
            <w:r w:rsidRPr="008C689B">
              <w:t xml:space="preserve">Recent graduates have gone on to </w:t>
            </w:r>
            <w:r>
              <w:t>specialise</w:t>
            </w:r>
            <w:r w:rsidRPr="008C689B">
              <w:t xml:space="preserve"> in fields as diverse as finance, healthcare, criminal justice, business, management, central government and,  of course, the legal profession</w:t>
            </w:r>
          </w:p>
          <w:p w:rsidR="00DB2C65" w:rsidRPr="007A48C7" w:rsidRDefault="00DB2C65" w:rsidP="00DB2C65">
            <w:pPr>
              <w:ind w:left="360"/>
              <w:rPr>
                <w:rFonts w:cstheme="minorHAnsi"/>
              </w:rPr>
            </w:pPr>
          </w:p>
          <w:p w:rsidR="00DB2C65" w:rsidRPr="008C689B" w:rsidRDefault="00DB2C65" w:rsidP="008C689B">
            <w:pPr>
              <w:rPr>
                <w:rFonts w:cstheme="minorHAnsi"/>
              </w:rPr>
            </w:pPr>
          </w:p>
        </w:tc>
      </w:tr>
    </w:tbl>
    <w:p w:rsidR="001674BB" w:rsidRPr="007A48C7" w:rsidRDefault="001674BB" w:rsidP="004E2554">
      <w:pPr>
        <w:rPr>
          <w:rFonts w:cstheme="minorHAnsi"/>
          <w:i/>
        </w:rPr>
      </w:pPr>
    </w:p>
    <w:p w:rsidR="008C689B" w:rsidRDefault="001A714F" w:rsidP="004E2554">
      <w:pPr>
        <w:rPr>
          <w:i/>
        </w:rPr>
      </w:pPr>
      <w:r w:rsidRPr="007A48C7">
        <w:rPr>
          <w:rFonts w:cstheme="minorHAnsi"/>
          <w:i/>
        </w:rPr>
        <w:t xml:space="preserve">STUDENT QUOTE: </w:t>
      </w:r>
      <w:r w:rsidR="008C689B" w:rsidRPr="008C689B">
        <w:rPr>
          <w:i/>
        </w:rPr>
        <w:t xml:space="preserve">“I chose The University of Manchester because of its worldwide reputation among academics and employers.  I am impressed with its current development projects on campus and its ambition to become a leading academic institution not only in the UK but in the world. The LLB course at Manchester offers a wide </w:t>
      </w:r>
      <w:r w:rsidR="00FD1404" w:rsidRPr="008C689B">
        <w:rPr>
          <w:i/>
        </w:rPr>
        <w:t>range of</w:t>
      </w:r>
      <w:r w:rsidR="008C689B" w:rsidRPr="008C689B">
        <w:rPr>
          <w:i/>
        </w:rPr>
        <w:t xml:space="preserve"> optional subjects to choose from.” </w:t>
      </w:r>
    </w:p>
    <w:p w:rsidR="004E2554" w:rsidRPr="007A48C7" w:rsidRDefault="008C689B">
      <w:r>
        <w:t xml:space="preserve">Aye Chan Aung, </w:t>
      </w:r>
      <w:r w:rsidRPr="008C689B">
        <w:t>Law LLB</w:t>
      </w:r>
    </w:p>
    <w:sectPr w:rsidR="004E2554" w:rsidRPr="007A48C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8A6" w:rsidRDefault="005C48A6" w:rsidP="005C48A6">
      <w:pPr>
        <w:spacing w:after="0" w:line="240" w:lineRule="auto"/>
      </w:pPr>
      <w:r>
        <w:separator/>
      </w:r>
    </w:p>
  </w:endnote>
  <w:endnote w:type="continuationSeparator" w:id="0">
    <w:p w:rsidR="005C48A6" w:rsidRDefault="005C48A6" w:rsidP="005C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ffra Light">
    <w:altName w:val="Effra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8A6" w:rsidRDefault="005C48A6" w:rsidP="005C48A6">
      <w:pPr>
        <w:spacing w:after="0" w:line="240" w:lineRule="auto"/>
      </w:pPr>
      <w:r>
        <w:separator/>
      </w:r>
    </w:p>
  </w:footnote>
  <w:footnote w:type="continuationSeparator" w:id="0">
    <w:p w:rsidR="005C48A6" w:rsidRDefault="005C48A6" w:rsidP="005C48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A6" w:rsidRDefault="005C48A6" w:rsidP="005C48A6">
    <w:pPr>
      <w:pStyle w:val="Header"/>
    </w:pPr>
    <w:r>
      <w:rPr>
        <w:noProof/>
        <w:lang w:eastAsia="en-GB"/>
      </w:rPr>
      <w:drawing>
        <wp:inline distT="0" distB="0" distL="0" distR="0">
          <wp:extent cx="1656080" cy="698500"/>
          <wp:effectExtent l="0" t="0" r="1270" b="6350"/>
          <wp:docPr id="1" name="Picture 1" descr="\\nask.man.ac.uk\home$\My Pictures\Uo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k.man.ac.uk\home$\My Pictures\UoM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80" cy="698500"/>
                  </a:xfrm>
                  <a:prstGeom prst="rect">
                    <a:avLst/>
                  </a:prstGeom>
                  <a:noFill/>
                  <a:ln>
                    <a:noFill/>
                  </a:ln>
                </pic:spPr>
              </pic:pic>
            </a:graphicData>
          </a:graphic>
        </wp:inline>
      </w:drawing>
    </w:r>
  </w:p>
  <w:p w:rsidR="005C48A6" w:rsidRDefault="005C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A56"/>
    <w:multiLevelType w:val="hybridMultilevel"/>
    <w:tmpl w:val="728AB4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950427"/>
    <w:multiLevelType w:val="hybridMultilevel"/>
    <w:tmpl w:val="07500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A34878"/>
    <w:multiLevelType w:val="hybridMultilevel"/>
    <w:tmpl w:val="4B5C5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2A669B"/>
    <w:multiLevelType w:val="hybridMultilevel"/>
    <w:tmpl w:val="C0041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90FB7"/>
    <w:multiLevelType w:val="hybridMultilevel"/>
    <w:tmpl w:val="34B423D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BE5560"/>
    <w:multiLevelType w:val="hybridMultilevel"/>
    <w:tmpl w:val="072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BEF54B7"/>
    <w:multiLevelType w:val="hybridMultilevel"/>
    <w:tmpl w:val="67082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04741B"/>
    <w:multiLevelType w:val="hybridMultilevel"/>
    <w:tmpl w:val="0632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2CF11C4"/>
    <w:multiLevelType w:val="hybridMultilevel"/>
    <w:tmpl w:val="6C22D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7C4E12"/>
    <w:multiLevelType w:val="hybridMultilevel"/>
    <w:tmpl w:val="73529C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8D1EFC"/>
    <w:multiLevelType w:val="hybridMultilevel"/>
    <w:tmpl w:val="A5D2FD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E9A7F56"/>
    <w:multiLevelType w:val="hybridMultilevel"/>
    <w:tmpl w:val="C7A0C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5E157A"/>
    <w:multiLevelType w:val="hybridMultilevel"/>
    <w:tmpl w:val="41B09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63D7C"/>
    <w:multiLevelType w:val="multilevel"/>
    <w:tmpl w:val="02606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EB7EF9"/>
    <w:multiLevelType w:val="hybridMultilevel"/>
    <w:tmpl w:val="D2220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3F0219"/>
    <w:multiLevelType w:val="multilevel"/>
    <w:tmpl w:val="2BC2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D93380"/>
    <w:multiLevelType w:val="multilevel"/>
    <w:tmpl w:val="E5C0A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6C3579"/>
    <w:multiLevelType w:val="hybridMultilevel"/>
    <w:tmpl w:val="79AE69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C337B0"/>
    <w:multiLevelType w:val="hybridMultilevel"/>
    <w:tmpl w:val="F8928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6396FC2"/>
    <w:multiLevelType w:val="hybridMultilevel"/>
    <w:tmpl w:val="60BEE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BD0DD6"/>
    <w:multiLevelType w:val="hybridMultilevel"/>
    <w:tmpl w:val="1804C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B32D97"/>
    <w:multiLevelType w:val="hybridMultilevel"/>
    <w:tmpl w:val="4EF21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1B7F60"/>
    <w:multiLevelType w:val="hybridMultilevel"/>
    <w:tmpl w:val="9448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1EF2718"/>
    <w:multiLevelType w:val="hybridMultilevel"/>
    <w:tmpl w:val="E516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23654FC"/>
    <w:multiLevelType w:val="hybridMultilevel"/>
    <w:tmpl w:val="FE42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3B9426C"/>
    <w:multiLevelType w:val="hybridMultilevel"/>
    <w:tmpl w:val="BB868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6892FA2"/>
    <w:multiLevelType w:val="multilevel"/>
    <w:tmpl w:val="16841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285A38"/>
    <w:multiLevelType w:val="hybridMultilevel"/>
    <w:tmpl w:val="A96E93F8"/>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8">
    <w:nsid w:val="4ED74AE7"/>
    <w:multiLevelType w:val="hybridMultilevel"/>
    <w:tmpl w:val="9FD89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95C9F"/>
    <w:multiLevelType w:val="multilevel"/>
    <w:tmpl w:val="2F52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845DA4"/>
    <w:multiLevelType w:val="hybridMultilevel"/>
    <w:tmpl w:val="25544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1558C2"/>
    <w:multiLevelType w:val="hybridMultilevel"/>
    <w:tmpl w:val="89FAAE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A7B7C11"/>
    <w:multiLevelType w:val="hybridMultilevel"/>
    <w:tmpl w:val="3744B3CE"/>
    <w:lvl w:ilvl="0" w:tplc="7068E606">
      <w:start w:val="201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BAB7526"/>
    <w:multiLevelType w:val="hybridMultilevel"/>
    <w:tmpl w:val="050009F0"/>
    <w:lvl w:ilvl="0" w:tplc="A4AE1C74">
      <w:start w:val="2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D490D03"/>
    <w:multiLevelType w:val="hybridMultilevel"/>
    <w:tmpl w:val="EB4207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DF0186F"/>
    <w:multiLevelType w:val="hybridMultilevel"/>
    <w:tmpl w:val="25B853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09A4821"/>
    <w:multiLevelType w:val="hybridMultilevel"/>
    <w:tmpl w:val="365EF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1D15E71"/>
    <w:multiLevelType w:val="hybridMultilevel"/>
    <w:tmpl w:val="B312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FA5810"/>
    <w:multiLevelType w:val="hybridMultilevel"/>
    <w:tmpl w:val="37AA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063025"/>
    <w:multiLevelType w:val="hybridMultilevel"/>
    <w:tmpl w:val="95CC3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31B284F"/>
    <w:multiLevelType w:val="hybridMultilevel"/>
    <w:tmpl w:val="32741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nsid w:val="74F52E7C"/>
    <w:multiLevelType w:val="hybridMultilevel"/>
    <w:tmpl w:val="1528F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A1D7235"/>
    <w:multiLevelType w:val="hybridMultilevel"/>
    <w:tmpl w:val="4F0E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18"/>
  </w:num>
  <w:num w:numId="3">
    <w:abstractNumId w:val="7"/>
  </w:num>
  <w:num w:numId="4">
    <w:abstractNumId w:val="14"/>
  </w:num>
  <w:num w:numId="5">
    <w:abstractNumId w:val="2"/>
  </w:num>
  <w:num w:numId="6">
    <w:abstractNumId w:val="34"/>
  </w:num>
  <w:num w:numId="7">
    <w:abstractNumId w:val="19"/>
  </w:num>
  <w:num w:numId="8">
    <w:abstractNumId w:val="6"/>
  </w:num>
  <w:num w:numId="9">
    <w:abstractNumId w:val="26"/>
  </w:num>
  <w:num w:numId="10">
    <w:abstractNumId w:val="28"/>
  </w:num>
  <w:num w:numId="11">
    <w:abstractNumId w:val="4"/>
  </w:num>
  <w:num w:numId="12">
    <w:abstractNumId w:val="10"/>
  </w:num>
  <w:num w:numId="13">
    <w:abstractNumId w:val="11"/>
  </w:num>
  <w:num w:numId="14">
    <w:abstractNumId w:val="9"/>
  </w:num>
  <w:num w:numId="15">
    <w:abstractNumId w:val="0"/>
  </w:num>
  <w:num w:numId="16">
    <w:abstractNumId w:val="39"/>
  </w:num>
  <w:num w:numId="17">
    <w:abstractNumId w:val="3"/>
  </w:num>
  <w:num w:numId="18">
    <w:abstractNumId w:val="25"/>
  </w:num>
  <w:num w:numId="19">
    <w:abstractNumId w:val="21"/>
  </w:num>
  <w:num w:numId="20">
    <w:abstractNumId w:val="20"/>
  </w:num>
  <w:num w:numId="21">
    <w:abstractNumId w:val="23"/>
  </w:num>
  <w:num w:numId="22">
    <w:abstractNumId w:val="24"/>
  </w:num>
  <w:num w:numId="23">
    <w:abstractNumId w:val="37"/>
  </w:num>
  <w:num w:numId="24">
    <w:abstractNumId w:val="35"/>
  </w:num>
  <w:num w:numId="25">
    <w:abstractNumId w:val="42"/>
  </w:num>
  <w:num w:numId="26">
    <w:abstractNumId w:val="40"/>
  </w:num>
  <w:num w:numId="27">
    <w:abstractNumId w:val="38"/>
  </w:num>
  <w:num w:numId="28">
    <w:abstractNumId w:val="29"/>
  </w:num>
  <w:num w:numId="29">
    <w:abstractNumId w:val="8"/>
  </w:num>
  <w:num w:numId="30">
    <w:abstractNumId w:val="30"/>
  </w:num>
  <w:num w:numId="31">
    <w:abstractNumId w:val="5"/>
  </w:num>
  <w:num w:numId="32">
    <w:abstractNumId w:val="1"/>
  </w:num>
  <w:num w:numId="33">
    <w:abstractNumId w:val="36"/>
  </w:num>
  <w:num w:numId="34">
    <w:abstractNumId w:val="22"/>
  </w:num>
  <w:num w:numId="35">
    <w:abstractNumId w:val="17"/>
  </w:num>
  <w:num w:numId="36">
    <w:abstractNumId w:val="16"/>
  </w:num>
  <w:num w:numId="37">
    <w:abstractNumId w:val="13"/>
  </w:num>
  <w:num w:numId="38">
    <w:abstractNumId w:val="15"/>
  </w:num>
  <w:num w:numId="39">
    <w:abstractNumId w:val="41"/>
  </w:num>
  <w:num w:numId="40">
    <w:abstractNumId w:val="12"/>
  </w:num>
  <w:num w:numId="41">
    <w:abstractNumId w:val="34"/>
  </w:num>
  <w:num w:numId="42">
    <w:abstractNumId w:val="32"/>
  </w:num>
  <w:num w:numId="43">
    <w:abstractNumId w:val="27"/>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368"/>
    <w:rsid w:val="0002660F"/>
    <w:rsid w:val="00033AB5"/>
    <w:rsid w:val="0003438E"/>
    <w:rsid w:val="00034A00"/>
    <w:rsid w:val="00051699"/>
    <w:rsid w:val="000753D0"/>
    <w:rsid w:val="00092506"/>
    <w:rsid w:val="000F0E57"/>
    <w:rsid w:val="00100420"/>
    <w:rsid w:val="0011502E"/>
    <w:rsid w:val="00132A6B"/>
    <w:rsid w:val="001674BB"/>
    <w:rsid w:val="00177657"/>
    <w:rsid w:val="001A714F"/>
    <w:rsid w:val="001C7BA9"/>
    <w:rsid w:val="001D5431"/>
    <w:rsid w:val="001F4405"/>
    <w:rsid w:val="0020547F"/>
    <w:rsid w:val="00236E4F"/>
    <w:rsid w:val="00241084"/>
    <w:rsid w:val="0024559B"/>
    <w:rsid w:val="00254D1D"/>
    <w:rsid w:val="0025667F"/>
    <w:rsid w:val="00292BC0"/>
    <w:rsid w:val="002D0F51"/>
    <w:rsid w:val="002D5B10"/>
    <w:rsid w:val="002E4107"/>
    <w:rsid w:val="003060C7"/>
    <w:rsid w:val="00342041"/>
    <w:rsid w:val="00365452"/>
    <w:rsid w:val="00393903"/>
    <w:rsid w:val="003C64D6"/>
    <w:rsid w:val="004114B6"/>
    <w:rsid w:val="004167B1"/>
    <w:rsid w:val="00422D45"/>
    <w:rsid w:val="00452216"/>
    <w:rsid w:val="004574D6"/>
    <w:rsid w:val="00487CA9"/>
    <w:rsid w:val="004D60C1"/>
    <w:rsid w:val="004E2554"/>
    <w:rsid w:val="004F57F3"/>
    <w:rsid w:val="00515741"/>
    <w:rsid w:val="00515A2F"/>
    <w:rsid w:val="00545C69"/>
    <w:rsid w:val="00556082"/>
    <w:rsid w:val="00560FF0"/>
    <w:rsid w:val="00564238"/>
    <w:rsid w:val="005A374F"/>
    <w:rsid w:val="005C48A6"/>
    <w:rsid w:val="005F7D9A"/>
    <w:rsid w:val="00631971"/>
    <w:rsid w:val="00637E03"/>
    <w:rsid w:val="00682B76"/>
    <w:rsid w:val="006D1F2B"/>
    <w:rsid w:val="00720058"/>
    <w:rsid w:val="00763153"/>
    <w:rsid w:val="00783294"/>
    <w:rsid w:val="007A48C7"/>
    <w:rsid w:val="007B2FCC"/>
    <w:rsid w:val="007F5699"/>
    <w:rsid w:val="007F719D"/>
    <w:rsid w:val="00827739"/>
    <w:rsid w:val="008841B6"/>
    <w:rsid w:val="008A3E29"/>
    <w:rsid w:val="008C689B"/>
    <w:rsid w:val="008C7F38"/>
    <w:rsid w:val="008E51D5"/>
    <w:rsid w:val="008E529E"/>
    <w:rsid w:val="008E7434"/>
    <w:rsid w:val="008F003E"/>
    <w:rsid w:val="008F4593"/>
    <w:rsid w:val="00952368"/>
    <w:rsid w:val="009865A0"/>
    <w:rsid w:val="00A1498D"/>
    <w:rsid w:val="00A256B8"/>
    <w:rsid w:val="00A53DDB"/>
    <w:rsid w:val="00A5797C"/>
    <w:rsid w:val="00A60C28"/>
    <w:rsid w:val="00A858E0"/>
    <w:rsid w:val="00B345CD"/>
    <w:rsid w:val="00BB64F4"/>
    <w:rsid w:val="00BC5D5A"/>
    <w:rsid w:val="00BD2034"/>
    <w:rsid w:val="00BD2907"/>
    <w:rsid w:val="00C246DF"/>
    <w:rsid w:val="00C341BF"/>
    <w:rsid w:val="00C34235"/>
    <w:rsid w:val="00C4528B"/>
    <w:rsid w:val="00C77F66"/>
    <w:rsid w:val="00C84855"/>
    <w:rsid w:val="00CE6345"/>
    <w:rsid w:val="00CF3FDC"/>
    <w:rsid w:val="00D20406"/>
    <w:rsid w:val="00D75292"/>
    <w:rsid w:val="00DA6919"/>
    <w:rsid w:val="00DB2C65"/>
    <w:rsid w:val="00DD5FC8"/>
    <w:rsid w:val="00DE099B"/>
    <w:rsid w:val="00DF5D79"/>
    <w:rsid w:val="00E24EE4"/>
    <w:rsid w:val="00E37DEB"/>
    <w:rsid w:val="00E67690"/>
    <w:rsid w:val="00E92628"/>
    <w:rsid w:val="00EC36F6"/>
    <w:rsid w:val="00EE7E18"/>
    <w:rsid w:val="00F17D1B"/>
    <w:rsid w:val="00F37B13"/>
    <w:rsid w:val="00F702EE"/>
    <w:rsid w:val="00F74F3C"/>
    <w:rsid w:val="00FA3497"/>
    <w:rsid w:val="00FC1596"/>
    <w:rsid w:val="00FC669A"/>
    <w:rsid w:val="00FC6FA5"/>
    <w:rsid w:val="00FD1404"/>
    <w:rsid w:val="00FD1F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A48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 w:type="character" w:styleId="Hyperlink">
    <w:name w:val="Hyperlink"/>
    <w:basedOn w:val="DefaultParagraphFont"/>
    <w:uiPriority w:val="99"/>
    <w:unhideWhenUsed/>
    <w:rsid w:val="00783294"/>
    <w:rPr>
      <w:color w:val="0000FF"/>
      <w:u w:val="single"/>
    </w:rPr>
  </w:style>
  <w:style w:type="character" w:styleId="Strong">
    <w:name w:val="Strong"/>
    <w:basedOn w:val="DefaultParagraphFont"/>
    <w:uiPriority w:val="22"/>
    <w:qFormat/>
    <w:rsid w:val="0024559B"/>
    <w:rPr>
      <w:b/>
      <w:bCs/>
    </w:rPr>
  </w:style>
  <w:style w:type="character" w:customStyle="1" w:styleId="screenreader">
    <w:name w:val="screenreader"/>
    <w:basedOn w:val="DefaultParagraphFont"/>
    <w:rsid w:val="0024559B"/>
  </w:style>
  <w:style w:type="paragraph" w:styleId="NormalWeb">
    <w:name w:val="Normal (Web)"/>
    <w:basedOn w:val="Normal"/>
    <w:uiPriority w:val="99"/>
    <w:semiHidden/>
    <w:unhideWhenUsed/>
    <w:rsid w:val="004E2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E2554"/>
    <w:rPr>
      <w:i/>
      <w:iCs/>
    </w:rPr>
  </w:style>
  <w:style w:type="character" w:customStyle="1" w:styleId="Heading3Char">
    <w:name w:val="Heading 3 Char"/>
    <w:basedOn w:val="DefaultParagraphFont"/>
    <w:link w:val="Heading3"/>
    <w:uiPriority w:val="9"/>
    <w:rsid w:val="007A48C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7A48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368"/>
    <w:pPr>
      <w:ind w:left="720"/>
      <w:contextualSpacing/>
    </w:pPr>
  </w:style>
  <w:style w:type="table" w:styleId="TableGrid">
    <w:name w:val="Table Grid"/>
    <w:basedOn w:val="TableNormal"/>
    <w:uiPriority w:val="59"/>
    <w:rsid w:val="00515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8A6"/>
  </w:style>
  <w:style w:type="paragraph" w:styleId="Footer">
    <w:name w:val="footer"/>
    <w:basedOn w:val="Normal"/>
    <w:link w:val="FooterChar"/>
    <w:uiPriority w:val="99"/>
    <w:unhideWhenUsed/>
    <w:rsid w:val="005C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8A6"/>
  </w:style>
  <w:style w:type="paragraph" w:styleId="BalloonText">
    <w:name w:val="Balloon Text"/>
    <w:basedOn w:val="Normal"/>
    <w:link w:val="BalloonTextChar"/>
    <w:uiPriority w:val="99"/>
    <w:semiHidden/>
    <w:unhideWhenUsed/>
    <w:rsid w:val="005C48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8A6"/>
    <w:rPr>
      <w:rFonts w:ascii="Tahoma" w:hAnsi="Tahoma" w:cs="Tahoma"/>
      <w:sz w:val="16"/>
      <w:szCs w:val="16"/>
    </w:rPr>
  </w:style>
  <w:style w:type="character" w:customStyle="1" w:styleId="A10">
    <w:name w:val="A10"/>
    <w:uiPriority w:val="99"/>
    <w:rsid w:val="004F57F3"/>
    <w:rPr>
      <w:rFonts w:cs="Effra Light"/>
      <w:i/>
      <w:iCs/>
      <w:color w:val="000000"/>
      <w:sz w:val="20"/>
      <w:szCs w:val="20"/>
    </w:rPr>
  </w:style>
  <w:style w:type="character" w:styleId="Hyperlink">
    <w:name w:val="Hyperlink"/>
    <w:basedOn w:val="DefaultParagraphFont"/>
    <w:uiPriority w:val="99"/>
    <w:unhideWhenUsed/>
    <w:rsid w:val="00783294"/>
    <w:rPr>
      <w:color w:val="0000FF"/>
      <w:u w:val="single"/>
    </w:rPr>
  </w:style>
  <w:style w:type="character" w:styleId="Strong">
    <w:name w:val="Strong"/>
    <w:basedOn w:val="DefaultParagraphFont"/>
    <w:uiPriority w:val="22"/>
    <w:qFormat/>
    <w:rsid w:val="0024559B"/>
    <w:rPr>
      <w:b/>
      <w:bCs/>
    </w:rPr>
  </w:style>
  <w:style w:type="character" w:customStyle="1" w:styleId="screenreader">
    <w:name w:val="screenreader"/>
    <w:basedOn w:val="DefaultParagraphFont"/>
    <w:rsid w:val="0024559B"/>
  </w:style>
  <w:style w:type="paragraph" w:styleId="NormalWeb">
    <w:name w:val="Normal (Web)"/>
    <w:basedOn w:val="Normal"/>
    <w:uiPriority w:val="99"/>
    <w:semiHidden/>
    <w:unhideWhenUsed/>
    <w:rsid w:val="004E255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4E2554"/>
    <w:rPr>
      <w:i/>
      <w:iCs/>
    </w:rPr>
  </w:style>
  <w:style w:type="character" w:customStyle="1" w:styleId="Heading3Char">
    <w:name w:val="Heading 3 Char"/>
    <w:basedOn w:val="DefaultParagraphFont"/>
    <w:link w:val="Heading3"/>
    <w:uiPriority w:val="9"/>
    <w:rsid w:val="007A48C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64511">
      <w:bodyDiv w:val="1"/>
      <w:marLeft w:val="0"/>
      <w:marRight w:val="0"/>
      <w:marTop w:val="0"/>
      <w:marBottom w:val="0"/>
      <w:divBdr>
        <w:top w:val="none" w:sz="0" w:space="0" w:color="auto"/>
        <w:left w:val="none" w:sz="0" w:space="0" w:color="auto"/>
        <w:bottom w:val="none" w:sz="0" w:space="0" w:color="auto"/>
        <w:right w:val="none" w:sz="0" w:space="0" w:color="auto"/>
      </w:divBdr>
    </w:div>
    <w:div w:id="142284778">
      <w:bodyDiv w:val="1"/>
      <w:marLeft w:val="0"/>
      <w:marRight w:val="0"/>
      <w:marTop w:val="0"/>
      <w:marBottom w:val="0"/>
      <w:divBdr>
        <w:top w:val="none" w:sz="0" w:space="0" w:color="auto"/>
        <w:left w:val="none" w:sz="0" w:space="0" w:color="auto"/>
        <w:bottom w:val="none" w:sz="0" w:space="0" w:color="auto"/>
        <w:right w:val="none" w:sz="0" w:space="0" w:color="auto"/>
      </w:divBdr>
    </w:div>
    <w:div w:id="152721700">
      <w:bodyDiv w:val="1"/>
      <w:marLeft w:val="0"/>
      <w:marRight w:val="0"/>
      <w:marTop w:val="0"/>
      <w:marBottom w:val="0"/>
      <w:divBdr>
        <w:top w:val="none" w:sz="0" w:space="0" w:color="auto"/>
        <w:left w:val="none" w:sz="0" w:space="0" w:color="auto"/>
        <w:bottom w:val="none" w:sz="0" w:space="0" w:color="auto"/>
        <w:right w:val="none" w:sz="0" w:space="0" w:color="auto"/>
      </w:divBdr>
    </w:div>
    <w:div w:id="755904227">
      <w:bodyDiv w:val="1"/>
      <w:marLeft w:val="0"/>
      <w:marRight w:val="0"/>
      <w:marTop w:val="0"/>
      <w:marBottom w:val="0"/>
      <w:divBdr>
        <w:top w:val="none" w:sz="0" w:space="0" w:color="auto"/>
        <w:left w:val="none" w:sz="0" w:space="0" w:color="auto"/>
        <w:bottom w:val="none" w:sz="0" w:space="0" w:color="auto"/>
        <w:right w:val="none" w:sz="0" w:space="0" w:color="auto"/>
      </w:divBdr>
    </w:div>
    <w:div w:id="1115445358">
      <w:bodyDiv w:val="1"/>
      <w:marLeft w:val="0"/>
      <w:marRight w:val="0"/>
      <w:marTop w:val="0"/>
      <w:marBottom w:val="0"/>
      <w:divBdr>
        <w:top w:val="none" w:sz="0" w:space="0" w:color="auto"/>
        <w:left w:val="none" w:sz="0" w:space="0" w:color="auto"/>
        <w:bottom w:val="none" w:sz="0" w:space="0" w:color="auto"/>
        <w:right w:val="none" w:sz="0" w:space="0" w:color="auto"/>
      </w:divBdr>
    </w:div>
    <w:div w:id="1405104022">
      <w:bodyDiv w:val="1"/>
      <w:marLeft w:val="0"/>
      <w:marRight w:val="0"/>
      <w:marTop w:val="0"/>
      <w:marBottom w:val="0"/>
      <w:divBdr>
        <w:top w:val="none" w:sz="0" w:space="0" w:color="auto"/>
        <w:left w:val="none" w:sz="0" w:space="0" w:color="auto"/>
        <w:bottom w:val="none" w:sz="0" w:space="0" w:color="auto"/>
        <w:right w:val="none" w:sz="0" w:space="0" w:color="auto"/>
      </w:divBdr>
    </w:div>
    <w:div w:id="1449929358">
      <w:bodyDiv w:val="1"/>
      <w:marLeft w:val="0"/>
      <w:marRight w:val="0"/>
      <w:marTop w:val="0"/>
      <w:marBottom w:val="0"/>
      <w:divBdr>
        <w:top w:val="none" w:sz="0" w:space="0" w:color="auto"/>
        <w:left w:val="none" w:sz="0" w:space="0" w:color="auto"/>
        <w:bottom w:val="none" w:sz="0" w:space="0" w:color="auto"/>
        <w:right w:val="none" w:sz="0" w:space="0" w:color="auto"/>
      </w:divBdr>
    </w:div>
    <w:div w:id="1823812909">
      <w:bodyDiv w:val="1"/>
      <w:marLeft w:val="0"/>
      <w:marRight w:val="0"/>
      <w:marTop w:val="0"/>
      <w:marBottom w:val="0"/>
      <w:divBdr>
        <w:top w:val="none" w:sz="0" w:space="0" w:color="auto"/>
        <w:left w:val="none" w:sz="0" w:space="0" w:color="auto"/>
        <w:bottom w:val="none" w:sz="0" w:space="0" w:color="auto"/>
        <w:right w:val="none" w:sz="0" w:space="0" w:color="auto"/>
      </w:divBdr>
    </w:div>
    <w:div w:id="1946837666">
      <w:bodyDiv w:val="1"/>
      <w:marLeft w:val="0"/>
      <w:marRight w:val="0"/>
      <w:marTop w:val="0"/>
      <w:marBottom w:val="0"/>
      <w:divBdr>
        <w:top w:val="none" w:sz="0" w:space="0" w:color="auto"/>
        <w:left w:val="none" w:sz="0" w:space="0" w:color="auto"/>
        <w:bottom w:val="none" w:sz="0" w:space="0" w:color="auto"/>
        <w:right w:val="none" w:sz="0" w:space="0" w:color="auto"/>
      </w:divBdr>
      <w:divsChild>
        <w:div w:id="2142727004">
          <w:marLeft w:val="0"/>
          <w:marRight w:val="0"/>
          <w:marTop w:val="0"/>
          <w:marBottom w:val="0"/>
          <w:divBdr>
            <w:top w:val="none" w:sz="0" w:space="0" w:color="auto"/>
            <w:left w:val="none" w:sz="0" w:space="0" w:color="auto"/>
            <w:bottom w:val="none" w:sz="0" w:space="0" w:color="auto"/>
            <w:right w:val="none" w:sz="0" w:space="0" w:color="auto"/>
          </w:divBdr>
        </w:div>
        <w:div w:id="1088692768">
          <w:marLeft w:val="0"/>
          <w:marRight w:val="0"/>
          <w:marTop w:val="0"/>
          <w:marBottom w:val="0"/>
          <w:divBdr>
            <w:top w:val="none" w:sz="0" w:space="0" w:color="auto"/>
            <w:left w:val="none" w:sz="0" w:space="0" w:color="auto"/>
            <w:bottom w:val="none" w:sz="0" w:space="0" w:color="auto"/>
            <w:right w:val="none" w:sz="0" w:space="0" w:color="auto"/>
          </w:divBdr>
        </w:div>
        <w:div w:id="908199855">
          <w:marLeft w:val="0"/>
          <w:marRight w:val="0"/>
          <w:marTop w:val="0"/>
          <w:marBottom w:val="0"/>
          <w:divBdr>
            <w:top w:val="none" w:sz="0" w:space="0" w:color="auto"/>
            <w:left w:val="none" w:sz="0" w:space="0" w:color="auto"/>
            <w:bottom w:val="none" w:sz="0" w:space="0" w:color="auto"/>
            <w:right w:val="none" w:sz="0" w:space="0" w:color="auto"/>
          </w:divBdr>
        </w:div>
        <w:div w:id="1126198335">
          <w:marLeft w:val="0"/>
          <w:marRight w:val="0"/>
          <w:marTop w:val="0"/>
          <w:marBottom w:val="0"/>
          <w:divBdr>
            <w:top w:val="none" w:sz="0" w:space="0" w:color="auto"/>
            <w:left w:val="none" w:sz="0" w:space="0" w:color="auto"/>
            <w:bottom w:val="none" w:sz="0" w:space="0" w:color="auto"/>
            <w:right w:val="none" w:sz="0" w:space="0" w:color="auto"/>
          </w:divBdr>
        </w:div>
        <w:div w:id="1692341096">
          <w:marLeft w:val="0"/>
          <w:marRight w:val="0"/>
          <w:marTop w:val="0"/>
          <w:marBottom w:val="0"/>
          <w:divBdr>
            <w:top w:val="none" w:sz="0" w:space="0" w:color="auto"/>
            <w:left w:val="none" w:sz="0" w:space="0" w:color="auto"/>
            <w:bottom w:val="none" w:sz="0" w:space="0" w:color="auto"/>
            <w:right w:val="none" w:sz="0" w:space="0" w:color="auto"/>
          </w:divBdr>
        </w:div>
        <w:div w:id="214005336">
          <w:marLeft w:val="0"/>
          <w:marRight w:val="0"/>
          <w:marTop w:val="0"/>
          <w:marBottom w:val="0"/>
          <w:divBdr>
            <w:top w:val="none" w:sz="0" w:space="0" w:color="auto"/>
            <w:left w:val="none" w:sz="0" w:space="0" w:color="auto"/>
            <w:bottom w:val="none" w:sz="0" w:space="0" w:color="auto"/>
            <w:right w:val="none" w:sz="0" w:space="0" w:color="auto"/>
          </w:divBdr>
        </w:div>
        <w:div w:id="879710176">
          <w:marLeft w:val="0"/>
          <w:marRight w:val="0"/>
          <w:marTop w:val="0"/>
          <w:marBottom w:val="0"/>
          <w:divBdr>
            <w:top w:val="none" w:sz="0" w:space="0" w:color="auto"/>
            <w:left w:val="none" w:sz="0" w:space="0" w:color="auto"/>
            <w:bottom w:val="none" w:sz="0" w:space="0" w:color="auto"/>
            <w:right w:val="none" w:sz="0" w:space="0" w:color="auto"/>
          </w:divBdr>
        </w:div>
      </w:divsChild>
    </w:div>
    <w:div w:id="213772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gc.manchester.ac.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Gardner</dc:creator>
  <cp:lastModifiedBy>Julia Riley</cp:lastModifiedBy>
  <cp:revision>10</cp:revision>
  <dcterms:created xsi:type="dcterms:W3CDTF">2019-08-20T18:19:00Z</dcterms:created>
  <dcterms:modified xsi:type="dcterms:W3CDTF">2019-11-25T15:37:00Z</dcterms:modified>
</cp:coreProperties>
</file>