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2F" w:rsidRPr="00000056" w:rsidRDefault="00952368">
      <w:r w:rsidRPr="007B2FCC">
        <w:rPr>
          <w:rFonts w:ascii="Arial" w:hAnsi="Arial" w:cs="Arial"/>
          <w:b/>
          <w:sz w:val="30"/>
          <w:szCs w:val="30"/>
        </w:rPr>
        <w:t>Undergraduate</w:t>
      </w:r>
      <w:r w:rsidR="00560FF0">
        <w:rPr>
          <w:rFonts w:ascii="Arial" w:hAnsi="Arial" w:cs="Arial"/>
          <w:b/>
          <w:sz w:val="30"/>
          <w:szCs w:val="30"/>
        </w:rPr>
        <w:t xml:space="preserve"> </w:t>
      </w:r>
      <w:r w:rsidR="00413548">
        <w:rPr>
          <w:rFonts w:ascii="Arial" w:hAnsi="Arial" w:cs="Arial"/>
          <w:b/>
          <w:sz w:val="30"/>
          <w:szCs w:val="30"/>
        </w:rPr>
        <w:t>Linguistics and English Language</w:t>
      </w:r>
      <w:r w:rsidRPr="007B2FCC">
        <w:rPr>
          <w:rFonts w:ascii="Arial" w:hAnsi="Arial" w:cs="Arial"/>
          <w:b/>
          <w:sz w:val="30"/>
          <w:szCs w:val="30"/>
        </w:rPr>
        <w:t xml:space="preserve"> Crib Sheet</w:t>
      </w:r>
    </w:p>
    <w:tbl>
      <w:tblPr>
        <w:tblStyle w:val="TableGrid"/>
        <w:tblW w:w="9747" w:type="dxa"/>
        <w:tblLook w:val="04A0" w:firstRow="1" w:lastRow="0" w:firstColumn="1" w:lastColumn="0" w:noHBand="0" w:noVBand="1"/>
      </w:tblPr>
      <w:tblGrid>
        <w:gridCol w:w="1708"/>
        <w:gridCol w:w="8039"/>
      </w:tblGrid>
      <w:tr w:rsidR="008C7F38" w:rsidTr="00292BC0">
        <w:trPr>
          <w:trHeight w:val="2290"/>
        </w:trPr>
        <w:tc>
          <w:tcPr>
            <w:tcW w:w="1439" w:type="dxa"/>
            <w:shd w:val="clear" w:color="auto" w:fill="CCC0D9" w:themeFill="accent4" w:themeFillTint="66"/>
            <w:vAlign w:val="center"/>
          </w:tcPr>
          <w:p w:rsidR="008C7F38" w:rsidRDefault="008C7F38" w:rsidP="00631971">
            <w:pPr>
              <w:rPr>
                <w:rFonts w:ascii="Arial" w:hAnsi="Arial" w:cs="Arial"/>
                <w:b/>
              </w:rPr>
            </w:pPr>
            <w:r w:rsidRPr="00952368">
              <w:rPr>
                <w:rFonts w:ascii="Arial" w:hAnsi="Arial" w:cs="Arial"/>
                <w:b/>
              </w:rPr>
              <w:t>Courses offered</w:t>
            </w:r>
          </w:p>
        </w:tc>
        <w:tc>
          <w:tcPr>
            <w:tcW w:w="8308" w:type="dxa"/>
            <w:vAlign w:val="center"/>
          </w:tcPr>
          <w:p w:rsidR="007132F8" w:rsidRDefault="00000056" w:rsidP="007132F8">
            <w:pPr>
              <w:spacing w:line="360" w:lineRule="auto"/>
              <w:rPr>
                <w:rFonts w:ascii="Arial" w:hAnsi="Arial" w:cs="Arial"/>
                <w:b/>
                <w:szCs w:val="20"/>
              </w:rPr>
            </w:pPr>
            <w:r>
              <w:rPr>
                <w:rFonts w:ascii="Arial" w:hAnsi="Arial" w:cs="Arial"/>
                <w:b/>
                <w:szCs w:val="20"/>
                <w:u w:val="single"/>
              </w:rPr>
              <w:t>Single Honours</w:t>
            </w:r>
            <w:r>
              <w:rPr>
                <w:rFonts w:ascii="Arial" w:hAnsi="Arial" w:cs="Arial"/>
                <w:b/>
                <w:szCs w:val="20"/>
              </w:rPr>
              <w:br/>
            </w:r>
            <w:r w:rsidR="007132F8">
              <w:rPr>
                <w:rFonts w:ascii="Arial" w:hAnsi="Arial" w:cs="Arial"/>
                <w:b/>
                <w:szCs w:val="20"/>
              </w:rPr>
              <w:t xml:space="preserve">BA </w:t>
            </w:r>
            <w:r w:rsidR="00413548">
              <w:rPr>
                <w:rFonts w:ascii="Arial" w:hAnsi="Arial" w:cs="Arial"/>
                <w:b/>
                <w:szCs w:val="20"/>
              </w:rPr>
              <w:t>English Language</w:t>
            </w:r>
            <w:r w:rsidR="007132F8">
              <w:rPr>
                <w:rFonts w:ascii="Arial" w:hAnsi="Arial" w:cs="Arial"/>
                <w:b/>
                <w:szCs w:val="20"/>
              </w:rPr>
              <w:t xml:space="preserve"> (3yrs)</w:t>
            </w:r>
          </w:p>
          <w:p w:rsidR="00413548" w:rsidRDefault="00413548" w:rsidP="007132F8">
            <w:pPr>
              <w:spacing w:line="360" w:lineRule="auto"/>
              <w:rPr>
                <w:rFonts w:ascii="Arial" w:hAnsi="Arial" w:cs="Arial"/>
                <w:b/>
                <w:szCs w:val="20"/>
              </w:rPr>
            </w:pPr>
            <w:r>
              <w:rPr>
                <w:rFonts w:ascii="Arial" w:hAnsi="Arial" w:cs="Arial"/>
                <w:b/>
                <w:szCs w:val="20"/>
              </w:rPr>
              <w:t>BA Linguistics (3yrs)</w:t>
            </w:r>
          </w:p>
          <w:p w:rsidR="007132F8" w:rsidRDefault="007132F8" w:rsidP="007132F8">
            <w:pPr>
              <w:spacing w:line="360" w:lineRule="auto"/>
              <w:rPr>
                <w:rFonts w:ascii="Arial" w:hAnsi="Arial" w:cs="Arial"/>
                <w:b/>
                <w:szCs w:val="20"/>
              </w:rPr>
            </w:pPr>
          </w:p>
          <w:p w:rsidR="007132F8" w:rsidRDefault="007132F8" w:rsidP="007132F8">
            <w:pPr>
              <w:spacing w:line="360" w:lineRule="auto"/>
              <w:rPr>
                <w:rFonts w:ascii="Arial" w:hAnsi="Arial" w:cs="Arial"/>
                <w:b/>
                <w:szCs w:val="20"/>
                <w:u w:val="single"/>
              </w:rPr>
            </w:pPr>
            <w:r>
              <w:rPr>
                <w:rFonts w:ascii="Arial" w:hAnsi="Arial" w:cs="Arial"/>
                <w:b/>
                <w:szCs w:val="20"/>
                <w:u w:val="single"/>
              </w:rPr>
              <w:t>Joint Honours</w:t>
            </w:r>
          </w:p>
          <w:p w:rsidR="00E52AAF" w:rsidRDefault="00413548" w:rsidP="007132F8">
            <w:pPr>
              <w:spacing w:line="360" w:lineRule="auto"/>
              <w:rPr>
                <w:rFonts w:ascii="Arial" w:hAnsi="Arial" w:cs="Arial"/>
                <w:b/>
                <w:szCs w:val="20"/>
              </w:rPr>
            </w:pPr>
            <w:r>
              <w:rPr>
                <w:rFonts w:ascii="Arial" w:hAnsi="Arial" w:cs="Arial"/>
                <w:b/>
                <w:szCs w:val="20"/>
              </w:rPr>
              <w:t>BA English Language and English Literature (3yrs)</w:t>
            </w:r>
          </w:p>
          <w:p w:rsidR="00413548" w:rsidRDefault="00413548" w:rsidP="007132F8">
            <w:pPr>
              <w:spacing w:line="360" w:lineRule="auto"/>
              <w:rPr>
                <w:rFonts w:ascii="Arial" w:hAnsi="Arial" w:cs="Arial"/>
                <w:b/>
                <w:szCs w:val="20"/>
              </w:rPr>
            </w:pPr>
            <w:r>
              <w:rPr>
                <w:rFonts w:ascii="Arial" w:hAnsi="Arial" w:cs="Arial"/>
                <w:b/>
                <w:szCs w:val="20"/>
              </w:rPr>
              <w:t>BA English Language and Arabic / Chinese / French / German / Italian / Japanese / Portuguese / Russian / Spanish (4yrs)</w:t>
            </w:r>
          </w:p>
          <w:p w:rsidR="00413548" w:rsidRDefault="00413548" w:rsidP="007132F8">
            <w:pPr>
              <w:spacing w:line="360" w:lineRule="auto"/>
              <w:rPr>
                <w:rFonts w:ascii="Arial" w:hAnsi="Arial" w:cs="Arial"/>
                <w:b/>
                <w:szCs w:val="20"/>
              </w:rPr>
            </w:pPr>
            <w:r>
              <w:rPr>
                <w:rFonts w:ascii="Arial" w:hAnsi="Arial" w:cs="Arial"/>
                <w:b/>
                <w:szCs w:val="20"/>
              </w:rPr>
              <w:t>BA Film Studies and English Language (3yrs)</w:t>
            </w:r>
          </w:p>
          <w:p w:rsidR="00413548" w:rsidRDefault="00413548" w:rsidP="007132F8">
            <w:pPr>
              <w:spacing w:line="360" w:lineRule="auto"/>
              <w:rPr>
                <w:rFonts w:ascii="Arial" w:hAnsi="Arial" w:cs="Arial"/>
                <w:b/>
                <w:szCs w:val="20"/>
              </w:rPr>
            </w:pPr>
          </w:p>
          <w:p w:rsidR="00431811" w:rsidRDefault="00431811" w:rsidP="00431811">
            <w:pPr>
              <w:spacing w:line="360" w:lineRule="auto"/>
              <w:rPr>
                <w:rFonts w:ascii="Arial" w:hAnsi="Arial" w:cs="Arial"/>
                <w:b/>
                <w:szCs w:val="20"/>
              </w:rPr>
            </w:pPr>
            <w:r>
              <w:rPr>
                <w:rFonts w:ascii="Arial" w:hAnsi="Arial" w:cs="Arial"/>
                <w:b/>
                <w:szCs w:val="20"/>
              </w:rPr>
              <w:t>BA Linguistics and Arabic / Chinese / French / German / Italian / Japanese / Portuguese / Russian / Spanish (4yrs)</w:t>
            </w:r>
          </w:p>
          <w:p w:rsidR="00431811" w:rsidRDefault="00431811" w:rsidP="007132F8">
            <w:pPr>
              <w:spacing w:line="360" w:lineRule="auto"/>
              <w:rPr>
                <w:rFonts w:ascii="Arial" w:hAnsi="Arial" w:cs="Arial"/>
                <w:b/>
                <w:szCs w:val="20"/>
              </w:rPr>
            </w:pPr>
            <w:r>
              <w:rPr>
                <w:rFonts w:ascii="Arial" w:hAnsi="Arial" w:cs="Arial"/>
                <w:b/>
                <w:szCs w:val="20"/>
              </w:rPr>
              <w:t>BA</w:t>
            </w:r>
          </w:p>
          <w:p w:rsidR="00431811" w:rsidRDefault="00431811" w:rsidP="007132F8">
            <w:pPr>
              <w:spacing w:line="360" w:lineRule="auto"/>
              <w:rPr>
                <w:rFonts w:ascii="Arial" w:hAnsi="Arial" w:cs="Arial"/>
                <w:b/>
                <w:szCs w:val="20"/>
              </w:rPr>
            </w:pPr>
            <w:r>
              <w:rPr>
                <w:rFonts w:ascii="Arial" w:hAnsi="Arial" w:cs="Arial"/>
                <w:b/>
                <w:szCs w:val="20"/>
              </w:rPr>
              <w:t>BA Linguistics and Latin (3yrs)</w:t>
            </w:r>
          </w:p>
          <w:p w:rsidR="00431811" w:rsidRDefault="00431811" w:rsidP="007132F8">
            <w:pPr>
              <w:spacing w:line="360" w:lineRule="auto"/>
              <w:rPr>
                <w:rFonts w:ascii="Arial" w:hAnsi="Arial" w:cs="Arial"/>
                <w:b/>
                <w:szCs w:val="20"/>
              </w:rPr>
            </w:pPr>
            <w:r>
              <w:rPr>
                <w:rFonts w:ascii="Arial" w:hAnsi="Arial" w:cs="Arial"/>
                <w:b/>
                <w:szCs w:val="20"/>
              </w:rPr>
              <w:t>BA Film Studies and Linguistics (3yrs)</w:t>
            </w:r>
          </w:p>
          <w:p w:rsidR="00431811" w:rsidRDefault="00431811" w:rsidP="007132F8">
            <w:pPr>
              <w:spacing w:line="360" w:lineRule="auto"/>
              <w:rPr>
                <w:rFonts w:ascii="Arial" w:hAnsi="Arial" w:cs="Arial"/>
                <w:b/>
                <w:szCs w:val="20"/>
              </w:rPr>
            </w:pPr>
            <w:r>
              <w:rPr>
                <w:rFonts w:ascii="Arial" w:hAnsi="Arial" w:cs="Arial"/>
                <w:b/>
                <w:szCs w:val="20"/>
              </w:rPr>
              <w:t>BA Linguistics and Social Anthropology (3yrs)</w:t>
            </w:r>
          </w:p>
          <w:p w:rsidR="00431811" w:rsidRPr="007132F8" w:rsidRDefault="00431811" w:rsidP="007132F8">
            <w:pPr>
              <w:spacing w:line="360" w:lineRule="auto"/>
              <w:rPr>
                <w:rFonts w:ascii="Arial" w:hAnsi="Arial" w:cs="Arial"/>
                <w:b/>
                <w:szCs w:val="20"/>
              </w:rPr>
            </w:pPr>
            <w:r>
              <w:rPr>
                <w:rFonts w:ascii="Arial" w:hAnsi="Arial" w:cs="Arial"/>
                <w:b/>
                <w:szCs w:val="20"/>
              </w:rPr>
              <w:t>BA Linguistics and Sociology (3yrs)</w:t>
            </w:r>
          </w:p>
        </w:tc>
      </w:tr>
      <w:tr w:rsidR="00292BC0" w:rsidTr="00292BC0">
        <w:trPr>
          <w:trHeight w:val="838"/>
        </w:trPr>
        <w:tc>
          <w:tcPr>
            <w:tcW w:w="1439" w:type="dxa"/>
            <w:shd w:val="clear" w:color="auto" w:fill="CCC0D9" w:themeFill="accent4" w:themeFillTint="66"/>
            <w:vAlign w:val="center"/>
          </w:tcPr>
          <w:p w:rsidR="00292BC0" w:rsidRPr="00952368" w:rsidRDefault="00292BC0" w:rsidP="00631971">
            <w:pPr>
              <w:rPr>
                <w:rFonts w:ascii="Arial" w:hAnsi="Arial" w:cs="Arial"/>
                <w:b/>
              </w:rPr>
            </w:pPr>
            <w:r>
              <w:rPr>
                <w:rFonts w:ascii="Arial" w:hAnsi="Arial" w:cs="Arial"/>
                <w:b/>
              </w:rPr>
              <w:t>Entry requirements</w:t>
            </w:r>
          </w:p>
        </w:tc>
        <w:tc>
          <w:tcPr>
            <w:tcW w:w="8308" w:type="dxa"/>
            <w:vAlign w:val="center"/>
          </w:tcPr>
          <w:p w:rsidR="00314AAB" w:rsidRPr="00946E84" w:rsidRDefault="00292BC0" w:rsidP="00946E84">
            <w:pPr>
              <w:spacing w:line="360" w:lineRule="auto"/>
              <w:rPr>
                <w:rFonts w:ascii="Arial" w:hAnsi="Arial" w:cs="Arial"/>
                <w:szCs w:val="20"/>
              </w:rPr>
            </w:pPr>
            <w:r w:rsidRPr="007F719D">
              <w:rPr>
                <w:rFonts w:ascii="Arial" w:hAnsi="Arial" w:cs="Arial"/>
                <w:b/>
                <w:szCs w:val="20"/>
              </w:rPr>
              <w:t>Typical A-level offer</w:t>
            </w:r>
            <w:r w:rsidR="00946E84">
              <w:rPr>
                <w:rFonts w:ascii="Arial" w:hAnsi="Arial" w:cs="Arial"/>
                <w:b/>
                <w:szCs w:val="20"/>
              </w:rPr>
              <w:t xml:space="preserve">: </w:t>
            </w:r>
            <w:r w:rsidR="00431811">
              <w:rPr>
                <w:rFonts w:ascii="Arial" w:hAnsi="Arial" w:cs="Arial"/>
                <w:szCs w:val="20"/>
              </w:rPr>
              <w:t>AAB-ABB</w:t>
            </w:r>
            <w:r w:rsidR="00314AAB">
              <w:rPr>
                <w:rFonts w:ascii="Arial" w:hAnsi="Arial" w:cs="Arial"/>
                <w:szCs w:val="20"/>
              </w:rPr>
              <w:br/>
            </w:r>
            <w:r w:rsidRPr="007F719D">
              <w:rPr>
                <w:rFonts w:ascii="Arial" w:hAnsi="Arial" w:cs="Arial"/>
                <w:b/>
                <w:szCs w:val="20"/>
              </w:rPr>
              <w:t>T</w:t>
            </w:r>
            <w:r w:rsidR="00946E84">
              <w:rPr>
                <w:rFonts w:ascii="Arial" w:hAnsi="Arial" w:cs="Arial"/>
                <w:b/>
                <w:szCs w:val="20"/>
              </w:rPr>
              <w:t xml:space="preserve">ypical contextual A-level offer: </w:t>
            </w:r>
            <w:r w:rsidR="00431811">
              <w:rPr>
                <w:rFonts w:ascii="Arial" w:hAnsi="Arial" w:cs="Arial"/>
                <w:szCs w:val="20"/>
              </w:rPr>
              <w:t>ABB-BBB</w:t>
            </w:r>
          </w:p>
          <w:p w:rsidR="00314AAB" w:rsidRPr="007F719D" w:rsidRDefault="00314AAB" w:rsidP="00292BC0">
            <w:pPr>
              <w:spacing w:line="360" w:lineRule="auto"/>
              <w:rPr>
                <w:rFonts w:ascii="Arial" w:hAnsi="Arial" w:cs="Arial"/>
                <w:szCs w:val="20"/>
              </w:rPr>
            </w:pPr>
          </w:p>
          <w:p w:rsidR="00292BC0" w:rsidRPr="007F719D" w:rsidRDefault="00292BC0" w:rsidP="00292BC0">
            <w:pPr>
              <w:spacing w:line="360" w:lineRule="auto"/>
              <w:rPr>
                <w:rFonts w:ascii="Arial" w:hAnsi="Arial" w:cs="Arial"/>
                <w:b/>
                <w:szCs w:val="20"/>
              </w:rPr>
            </w:pPr>
            <w:r w:rsidRPr="007F719D">
              <w:rPr>
                <w:rFonts w:ascii="Arial" w:hAnsi="Arial" w:cs="Arial"/>
                <w:b/>
                <w:szCs w:val="20"/>
              </w:rPr>
              <w:t>Typical International Baccalaureate offer</w:t>
            </w:r>
          </w:p>
          <w:p w:rsidR="00292BC0" w:rsidRPr="007F719D" w:rsidRDefault="00292BC0" w:rsidP="00431811">
            <w:pPr>
              <w:spacing w:line="360" w:lineRule="auto"/>
              <w:rPr>
                <w:rFonts w:ascii="Arial" w:hAnsi="Arial" w:cs="Arial"/>
                <w:szCs w:val="20"/>
              </w:rPr>
            </w:pPr>
            <w:r w:rsidRPr="007F719D">
              <w:rPr>
                <w:rFonts w:ascii="Arial" w:hAnsi="Arial" w:cs="Arial"/>
                <w:szCs w:val="20"/>
              </w:rPr>
              <w:t>3</w:t>
            </w:r>
            <w:r w:rsidR="00431811">
              <w:rPr>
                <w:rFonts w:ascii="Arial" w:hAnsi="Arial" w:cs="Arial"/>
                <w:szCs w:val="20"/>
              </w:rPr>
              <w:t>4</w:t>
            </w:r>
            <w:r w:rsidR="00000056">
              <w:rPr>
                <w:rFonts w:ascii="Arial" w:hAnsi="Arial" w:cs="Arial"/>
                <w:szCs w:val="20"/>
              </w:rPr>
              <w:t xml:space="preserve"> points overall. 6, </w:t>
            </w:r>
            <w:r w:rsidR="00431811">
              <w:rPr>
                <w:rFonts w:ascii="Arial" w:hAnsi="Arial" w:cs="Arial"/>
                <w:szCs w:val="20"/>
              </w:rPr>
              <w:t>5</w:t>
            </w:r>
            <w:r w:rsidR="00000056">
              <w:rPr>
                <w:rFonts w:ascii="Arial" w:hAnsi="Arial" w:cs="Arial"/>
                <w:szCs w:val="20"/>
              </w:rPr>
              <w:t xml:space="preserve">, </w:t>
            </w:r>
            <w:r w:rsidR="00431811">
              <w:rPr>
                <w:rFonts w:ascii="Arial" w:hAnsi="Arial" w:cs="Arial"/>
                <w:szCs w:val="20"/>
              </w:rPr>
              <w:t>5</w:t>
            </w:r>
            <w:r w:rsidRPr="007F719D">
              <w:rPr>
                <w:rFonts w:ascii="Arial" w:hAnsi="Arial" w:cs="Arial"/>
                <w:szCs w:val="20"/>
              </w:rPr>
              <w:t xml:space="preserve"> in higher-level subjects</w:t>
            </w:r>
            <w:r w:rsidR="00000056">
              <w:rPr>
                <w:rFonts w:ascii="Arial" w:hAnsi="Arial" w:cs="Arial"/>
                <w:szCs w:val="20"/>
              </w:rPr>
              <w:br/>
            </w:r>
            <w:r w:rsidR="00000056">
              <w:rPr>
                <w:rFonts w:ascii="Arial" w:hAnsi="Arial" w:cs="Arial"/>
                <w:szCs w:val="20"/>
              </w:rPr>
              <w:br/>
              <w:t>(Entry requirements will differ for Joint Honours courses)</w:t>
            </w:r>
          </w:p>
        </w:tc>
      </w:tr>
      <w:tr w:rsidR="00FC669A" w:rsidTr="003E66EA">
        <w:trPr>
          <w:trHeight w:val="3033"/>
        </w:trPr>
        <w:tc>
          <w:tcPr>
            <w:tcW w:w="1439" w:type="dxa"/>
            <w:shd w:val="clear" w:color="auto" w:fill="CCC0D9" w:themeFill="accent4" w:themeFillTint="66"/>
            <w:vAlign w:val="center"/>
          </w:tcPr>
          <w:p w:rsidR="00FC669A" w:rsidRDefault="00FC669A" w:rsidP="00827739">
            <w:pPr>
              <w:rPr>
                <w:rFonts w:ascii="Arial" w:hAnsi="Arial" w:cs="Arial"/>
                <w:b/>
              </w:rPr>
            </w:pPr>
            <w:r>
              <w:rPr>
                <w:rFonts w:ascii="Arial" w:hAnsi="Arial" w:cs="Arial"/>
                <w:b/>
              </w:rPr>
              <w:t>Rankings</w:t>
            </w:r>
          </w:p>
          <w:p w:rsidR="00FC669A" w:rsidRDefault="00FC669A" w:rsidP="00827739">
            <w:pPr>
              <w:rPr>
                <w:rFonts w:ascii="Arial" w:hAnsi="Arial" w:cs="Arial"/>
                <w:b/>
              </w:rPr>
            </w:pPr>
            <w:r>
              <w:rPr>
                <w:rFonts w:ascii="Arial" w:hAnsi="Arial" w:cs="Arial"/>
                <w:b/>
              </w:rPr>
              <w:t>&amp; NSS rating</w:t>
            </w:r>
          </w:p>
        </w:tc>
        <w:tc>
          <w:tcPr>
            <w:tcW w:w="8308" w:type="dxa"/>
            <w:vAlign w:val="center"/>
          </w:tcPr>
          <w:p w:rsidR="00431811" w:rsidRPr="00B6723B" w:rsidRDefault="00431811" w:rsidP="00431811">
            <w:pPr>
              <w:pStyle w:val="ListParagraph"/>
              <w:numPr>
                <w:ilvl w:val="0"/>
                <w:numId w:val="10"/>
              </w:numPr>
              <w:rPr>
                <w:b/>
              </w:rPr>
            </w:pPr>
            <w:r>
              <w:t>10</w:t>
            </w:r>
            <w:r w:rsidRPr="00B6723B">
              <w:rPr>
                <w:vertAlign w:val="superscript"/>
              </w:rPr>
              <w:t>th</w:t>
            </w:r>
            <w:r>
              <w:t xml:space="preserve"> in the UK (</w:t>
            </w:r>
            <w:r w:rsidRPr="00B6723B">
              <w:t>Languages, Literature and Linguistics</w:t>
            </w:r>
            <w:r>
              <w:t>) – THE World University Rankings 2019</w:t>
            </w:r>
          </w:p>
          <w:p w:rsidR="00431811" w:rsidRPr="00B6723B" w:rsidRDefault="00431811" w:rsidP="00431811">
            <w:pPr>
              <w:pStyle w:val="ListParagraph"/>
              <w:numPr>
                <w:ilvl w:val="0"/>
                <w:numId w:val="10"/>
              </w:numPr>
              <w:rPr>
                <w:b/>
              </w:rPr>
            </w:pPr>
            <w:r>
              <w:t>5</w:t>
            </w:r>
            <w:r w:rsidRPr="00B6723B">
              <w:rPr>
                <w:vertAlign w:val="superscript"/>
              </w:rPr>
              <w:t>th</w:t>
            </w:r>
            <w:r>
              <w:t xml:space="preserve"> in the UK (Linguistics) – Complete University Guide 2020</w:t>
            </w:r>
          </w:p>
          <w:p w:rsidR="00241ABE" w:rsidRPr="00431811" w:rsidRDefault="00431811" w:rsidP="00431811">
            <w:pPr>
              <w:pStyle w:val="ListParagraph"/>
              <w:numPr>
                <w:ilvl w:val="0"/>
                <w:numId w:val="10"/>
              </w:numPr>
              <w:rPr>
                <w:b/>
              </w:rPr>
            </w:pPr>
            <w:r>
              <w:t>6</w:t>
            </w:r>
            <w:r w:rsidRPr="00B6723B">
              <w:rPr>
                <w:vertAlign w:val="superscript"/>
              </w:rPr>
              <w:t>th</w:t>
            </w:r>
            <w:r>
              <w:t xml:space="preserve"> in the UK (Linguistics) – QS World University Rankings 2019</w:t>
            </w:r>
          </w:p>
        </w:tc>
      </w:tr>
      <w:tr w:rsidR="008C7F38" w:rsidTr="00292BC0">
        <w:trPr>
          <w:trHeight w:val="3786"/>
        </w:trPr>
        <w:tc>
          <w:tcPr>
            <w:tcW w:w="1439" w:type="dxa"/>
            <w:shd w:val="clear" w:color="auto" w:fill="CCC0D9" w:themeFill="accent4" w:themeFillTint="66"/>
            <w:vAlign w:val="center"/>
          </w:tcPr>
          <w:p w:rsidR="008C7F38" w:rsidRDefault="00FC669A" w:rsidP="00827739">
            <w:pPr>
              <w:rPr>
                <w:rFonts w:ascii="Arial" w:hAnsi="Arial" w:cs="Arial"/>
                <w:b/>
              </w:rPr>
            </w:pPr>
            <w:r>
              <w:rPr>
                <w:rFonts w:ascii="Arial" w:hAnsi="Arial" w:cs="Arial"/>
                <w:b/>
              </w:rPr>
              <w:lastRenderedPageBreak/>
              <w:t>Key features/USPs</w:t>
            </w:r>
          </w:p>
        </w:tc>
        <w:tc>
          <w:tcPr>
            <w:tcW w:w="8308" w:type="dxa"/>
            <w:vAlign w:val="center"/>
          </w:tcPr>
          <w:p w:rsidR="00431811" w:rsidRDefault="00431811" w:rsidP="00431811">
            <w:pPr>
              <w:pStyle w:val="ListParagraph"/>
              <w:numPr>
                <w:ilvl w:val="0"/>
                <w:numId w:val="10"/>
              </w:numPr>
            </w:pPr>
            <w:r>
              <w:t>Two broad areas – English Language, and Linguistics. Both available as single honours degrees, but primarily taken as join honours in conjunction with other languages (including Latin) or courses such as Social Anthropology, Sociology and Film Studies.</w:t>
            </w:r>
          </w:p>
          <w:p w:rsidR="00431811" w:rsidRDefault="00431811" w:rsidP="00431811">
            <w:pPr>
              <w:pStyle w:val="ListParagraph"/>
              <w:numPr>
                <w:ilvl w:val="0"/>
                <w:numId w:val="10"/>
              </w:numPr>
            </w:pPr>
            <w:r>
              <w:t xml:space="preserve">Course focuses on the scientific and analytical study of language – students make regular use of the specialist linguistics labs, including ultrasound imaging, </w:t>
            </w:r>
            <w:proofErr w:type="spellStart"/>
            <w:r>
              <w:t>laryngography</w:t>
            </w:r>
            <w:proofErr w:type="spellEnd"/>
            <w:r>
              <w:t xml:space="preserve"> and eye tracking technology.</w:t>
            </w:r>
          </w:p>
          <w:p w:rsidR="00431811" w:rsidRDefault="00431811" w:rsidP="00431811">
            <w:pPr>
              <w:pStyle w:val="ListParagraph"/>
              <w:numPr>
                <w:ilvl w:val="0"/>
                <w:numId w:val="10"/>
              </w:numPr>
            </w:pPr>
            <w:r>
              <w:t>Students encouraged to take an active role in funded teaching-enhancement projects, such as developing an online atlas of dialect variation in the UK.</w:t>
            </w:r>
          </w:p>
          <w:p w:rsidR="00431811" w:rsidRPr="00B6723B" w:rsidRDefault="00431811" w:rsidP="00431811">
            <w:pPr>
              <w:pStyle w:val="ListParagraph"/>
              <w:numPr>
                <w:ilvl w:val="0"/>
                <w:numId w:val="10"/>
              </w:numPr>
              <w:rPr>
                <w:b/>
              </w:rPr>
            </w:pPr>
            <w:r>
              <w:t>Manchester is Western Europe’s most linguistically diverse city – over 150 languages are spoken here</w:t>
            </w:r>
          </w:p>
          <w:p w:rsidR="00431811" w:rsidRPr="00B6723B" w:rsidRDefault="00431811" w:rsidP="00431811">
            <w:pPr>
              <w:pStyle w:val="ListParagraph"/>
              <w:numPr>
                <w:ilvl w:val="0"/>
                <w:numId w:val="10"/>
              </w:numPr>
              <w:rPr>
                <w:b/>
              </w:rPr>
            </w:pPr>
            <w:r>
              <w:t>Cutting-edge resources, including one of the largest holdings of linguistics texts in the UK</w:t>
            </w:r>
          </w:p>
          <w:p w:rsidR="008F4593" w:rsidRPr="00431811" w:rsidRDefault="00431811" w:rsidP="00431811">
            <w:pPr>
              <w:pStyle w:val="ListParagraph"/>
              <w:numPr>
                <w:ilvl w:val="0"/>
                <w:numId w:val="10"/>
              </w:numPr>
              <w:rPr>
                <w:b/>
              </w:rPr>
            </w:pPr>
            <w:r>
              <w:t>Benefit from access to psycholinguistics and phonetics laboratories</w:t>
            </w:r>
          </w:p>
        </w:tc>
      </w:tr>
      <w:tr w:rsidR="008C7F38" w:rsidTr="00292BC0">
        <w:trPr>
          <w:trHeight w:val="553"/>
        </w:trPr>
        <w:tc>
          <w:tcPr>
            <w:tcW w:w="1439" w:type="dxa"/>
            <w:shd w:val="clear" w:color="auto" w:fill="CCC0D9" w:themeFill="accent4" w:themeFillTint="66"/>
            <w:vAlign w:val="center"/>
          </w:tcPr>
          <w:p w:rsidR="008C7F38" w:rsidRDefault="008C7F38" w:rsidP="00631971">
            <w:pPr>
              <w:rPr>
                <w:rFonts w:ascii="Arial" w:hAnsi="Arial" w:cs="Arial"/>
                <w:b/>
              </w:rPr>
            </w:pPr>
            <w:r w:rsidRPr="001F4405">
              <w:rPr>
                <w:rFonts w:ascii="Arial" w:hAnsi="Arial" w:cs="Arial"/>
                <w:b/>
              </w:rPr>
              <w:t>Student breakdown</w:t>
            </w:r>
            <w:r>
              <w:rPr>
                <w:rFonts w:ascii="Arial" w:hAnsi="Arial" w:cs="Arial"/>
                <w:b/>
              </w:rPr>
              <w:t xml:space="preserve"> </w:t>
            </w:r>
          </w:p>
        </w:tc>
        <w:tc>
          <w:tcPr>
            <w:tcW w:w="8308" w:type="dxa"/>
            <w:vAlign w:val="center"/>
          </w:tcPr>
          <w:p w:rsidR="00827739" w:rsidRPr="00000056" w:rsidRDefault="00431811" w:rsidP="00000056">
            <w:r>
              <w:rPr>
                <w:b/>
              </w:rPr>
              <w:t xml:space="preserve">Intake in 2018/19: </w:t>
            </w:r>
            <w:r>
              <w:t>60 (48 domestic, 12 international)</w:t>
            </w:r>
          </w:p>
        </w:tc>
      </w:tr>
      <w:tr w:rsidR="008C7F38" w:rsidTr="00292BC0">
        <w:trPr>
          <w:trHeight w:val="3019"/>
        </w:trPr>
        <w:tc>
          <w:tcPr>
            <w:tcW w:w="1439" w:type="dxa"/>
            <w:shd w:val="clear" w:color="auto" w:fill="CCC0D9" w:themeFill="accent4" w:themeFillTint="66"/>
            <w:vAlign w:val="center"/>
          </w:tcPr>
          <w:p w:rsidR="008C7F38" w:rsidRPr="001F4405" w:rsidRDefault="008C7F38" w:rsidP="00631971">
            <w:pPr>
              <w:rPr>
                <w:rFonts w:ascii="Arial" w:hAnsi="Arial" w:cs="Arial"/>
                <w:b/>
              </w:rPr>
            </w:pPr>
            <w:r>
              <w:rPr>
                <w:rFonts w:ascii="Arial" w:hAnsi="Arial" w:cs="Arial"/>
                <w:b/>
              </w:rPr>
              <w:t>Graduate prospects</w:t>
            </w:r>
          </w:p>
        </w:tc>
        <w:tc>
          <w:tcPr>
            <w:tcW w:w="8308" w:type="dxa"/>
            <w:vAlign w:val="center"/>
          </w:tcPr>
          <w:p w:rsidR="00431811" w:rsidRPr="000A59F2" w:rsidRDefault="00431811" w:rsidP="00431811">
            <w:pPr>
              <w:pStyle w:val="ListParagraph"/>
              <w:numPr>
                <w:ilvl w:val="0"/>
                <w:numId w:val="6"/>
              </w:numPr>
            </w:pPr>
            <w:r>
              <w:t xml:space="preserve">90% of </w:t>
            </w:r>
            <w:r w:rsidR="003E66EA">
              <w:t>our students are in work or study 6 months after graduating (</w:t>
            </w:r>
            <w:proofErr w:type="spellStart"/>
            <w:r w:rsidR="003E66EA">
              <w:t>Unistats</w:t>
            </w:r>
            <w:proofErr w:type="spellEnd"/>
            <w:r w:rsidR="003E66EA">
              <w:t>)</w:t>
            </w:r>
            <w:bookmarkStart w:id="0" w:name="_GoBack"/>
            <w:bookmarkEnd w:id="0"/>
          </w:p>
          <w:p w:rsidR="00431811" w:rsidRDefault="00431811" w:rsidP="00431811">
            <w:pPr>
              <w:rPr>
                <w:b/>
              </w:rPr>
            </w:pPr>
            <w:r w:rsidRPr="00013AE3">
              <w:rPr>
                <w:b/>
              </w:rPr>
              <w:t>Graduate Destinations:</w:t>
            </w:r>
          </w:p>
          <w:p w:rsidR="00431811" w:rsidRDefault="00431811" w:rsidP="00431811">
            <w:pPr>
              <w:pStyle w:val="ListParagraph"/>
              <w:numPr>
                <w:ilvl w:val="0"/>
                <w:numId w:val="6"/>
              </w:numPr>
            </w:pPr>
            <w:r>
              <w:t>Media, PR, advertising</w:t>
            </w:r>
          </w:p>
          <w:p w:rsidR="00431811" w:rsidRDefault="00431811" w:rsidP="00431811">
            <w:pPr>
              <w:pStyle w:val="ListParagraph"/>
              <w:numPr>
                <w:ilvl w:val="0"/>
                <w:numId w:val="6"/>
              </w:numPr>
            </w:pPr>
            <w:r>
              <w:t>Business and finance</w:t>
            </w:r>
          </w:p>
          <w:p w:rsidR="00431811" w:rsidRDefault="00431811" w:rsidP="00431811">
            <w:pPr>
              <w:pStyle w:val="ListParagraph"/>
              <w:numPr>
                <w:ilvl w:val="0"/>
                <w:numId w:val="6"/>
              </w:numPr>
            </w:pPr>
            <w:r>
              <w:t>Speech and language therapy</w:t>
            </w:r>
          </w:p>
          <w:p w:rsidR="00431811" w:rsidRDefault="00431811" w:rsidP="00431811">
            <w:pPr>
              <w:pStyle w:val="ListParagraph"/>
              <w:numPr>
                <w:ilvl w:val="0"/>
                <w:numId w:val="6"/>
              </w:numPr>
            </w:pPr>
            <w:r>
              <w:t>Lexicography (Dictionary work)</w:t>
            </w:r>
          </w:p>
          <w:p w:rsidR="00431811" w:rsidRDefault="00431811" w:rsidP="00431811">
            <w:pPr>
              <w:pStyle w:val="ListParagraph"/>
              <w:numPr>
                <w:ilvl w:val="0"/>
                <w:numId w:val="6"/>
              </w:numPr>
            </w:pPr>
            <w:r>
              <w:t>Translation</w:t>
            </w:r>
          </w:p>
          <w:p w:rsidR="00431811" w:rsidRDefault="00431811" w:rsidP="00431811">
            <w:pPr>
              <w:pStyle w:val="ListParagraph"/>
              <w:numPr>
                <w:ilvl w:val="0"/>
                <w:numId w:val="6"/>
              </w:numPr>
            </w:pPr>
            <w:r>
              <w:t>Forensic linguistics</w:t>
            </w:r>
          </w:p>
          <w:p w:rsidR="00033AB5" w:rsidRPr="00655D80" w:rsidRDefault="00431811" w:rsidP="00431811">
            <w:pPr>
              <w:pStyle w:val="ListParagraph"/>
              <w:numPr>
                <w:ilvl w:val="0"/>
                <w:numId w:val="6"/>
              </w:numPr>
            </w:pPr>
            <w:r>
              <w:t>Teaching English as a first or foreign language</w:t>
            </w:r>
          </w:p>
        </w:tc>
      </w:tr>
    </w:tbl>
    <w:p w:rsidR="00365452" w:rsidRPr="00365452" w:rsidRDefault="00365452" w:rsidP="001F4405">
      <w:pPr>
        <w:rPr>
          <w:rFonts w:ascii="Arial" w:hAnsi="Arial" w:cs="Arial"/>
        </w:rPr>
      </w:pPr>
    </w:p>
    <w:sectPr w:rsidR="00365452" w:rsidRPr="003654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88" w:rsidRDefault="00540088" w:rsidP="005C48A6">
      <w:pPr>
        <w:spacing w:after="0" w:line="240" w:lineRule="auto"/>
      </w:pPr>
      <w:r>
        <w:separator/>
      </w:r>
    </w:p>
  </w:endnote>
  <w:endnote w:type="continuationSeparator" w:id="0">
    <w:p w:rsidR="00540088" w:rsidRDefault="00540088"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88" w:rsidRDefault="00540088" w:rsidP="005C48A6">
      <w:pPr>
        <w:spacing w:after="0" w:line="240" w:lineRule="auto"/>
      </w:pPr>
      <w:r>
        <w:separator/>
      </w:r>
    </w:p>
  </w:footnote>
  <w:footnote w:type="continuationSeparator" w:id="0">
    <w:p w:rsidR="00540088" w:rsidRDefault="00540088" w:rsidP="005C4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p>
  <w:p w:rsidR="005C48A6" w:rsidRDefault="005C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175B4"/>
    <w:multiLevelType w:val="hybridMultilevel"/>
    <w:tmpl w:val="E1344BF4"/>
    <w:lvl w:ilvl="0" w:tplc="5024F7F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90D03"/>
    <w:multiLevelType w:val="hybridMultilevel"/>
    <w:tmpl w:val="783AA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9"/>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68"/>
    <w:rsid w:val="00000056"/>
    <w:rsid w:val="000168FF"/>
    <w:rsid w:val="00033AB5"/>
    <w:rsid w:val="000753D0"/>
    <w:rsid w:val="00101344"/>
    <w:rsid w:val="00132A6B"/>
    <w:rsid w:val="001F4405"/>
    <w:rsid w:val="00236E4F"/>
    <w:rsid w:val="00241084"/>
    <w:rsid w:val="00241ABE"/>
    <w:rsid w:val="0025667F"/>
    <w:rsid w:val="00292BC0"/>
    <w:rsid w:val="003060C7"/>
    <w:rsid w:val="00314AAB"/>
    <w:rsid w:val="00365452"/>
    <w:rsid w:val="003E66EA"/>
    <w:rsid w:val="00413548"/>
    <w:rsid w:val="00422D45"/>
    <w:rsid w:val="00431811"/>
    <w:rsid w:val="00487CA9"/>
    <w:rsid w:val="004E5139"/>
    <w:rsid w:val="00515A2F"/>
    <w:rsid w:val="00540088"/>
    <w:rsid w:val="00560FF0"/>
    <w:rsid w:val="005C27F1"/>
    <w:rsid w:val="005C48A6"/>
    <w:rsid w:val="005C7485"/>
    <w:rsid w:val="00631971"/>
    <w:rsid w:val="00655D80"/>
    <w:rsid w:val="007132F8"/>
    <w:rsid w:val="00720058"/>
    <w:rsid w:val="00763153"/>
    <w:rsid w:val="00777BF3"/>
    <w:rsid w:val="007B2FCC"/>
    <w:rsid w:val="007E75F6"/>
    <w:rsid w:val="007F5699"/>
    <w:rsid w:val="007F719D"/>
    <w:rsid w:val="00827739"/>
    <w:rsid w:val="008841B6"/>
    <w:rsid w:val="008C7F38"/>
    <w:rsid w:val="008F4593"/>
    <w:rsid w:val="00946E84"/>
    <w:rsid w:val="00952368"/>
    <w:rsid w:val="00A858E0"/>
    <w:rsid w:val="00BA1BBC"/>
    <w:rsid w:val="00C4528B"/>
    <w:rsid w:val="00C77F66"/>
    <w:rsid w:val="00C84855"/>
    <w:rsid w:val="00CA4418"/>
    <w:rsid w:val="00E24EE4"/>
    <w:rsid w:val="00E52AAF"/>
    <w:rsid w:val="00EC36F6"/>
    <w:rsid w:val="00F05A00"/>
    <w:rsid w:val="00FC2044"/>
    <w:rsid w:val="00FC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335A0-6C9E-440C-A5A0-23E07C29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Gardner</dc:creator>
  <cp:lastModifiedBy>Elaine Ofori</cp:lastModifiedBy>
  <cp:revision>4</cp:revision>
  <dcterms:created xsi:type="dcterms:W3CDTF">2019-09-17T14:09:00Z</dcterms:created>
  <dcterms:modified xsi:type="dcterms:W3CDTF">2019-10-18T08:19:00Z</dcterms:modified>
</cp:coreProperties>
</file>