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2F" w:rsidRPr="00000056" w:rsidRDefault="00952368">
      <w:r w:rsidRPr="007B2FCC">
        <w:rPr>
          <w:rFonts w:ascii="Arial" w:hAnsi="Arial" w:cs="Arial"/>
          <w:b/>
          <w:sz w:val="30"/>
          <w:szCs w:val="30"/>
        </w:rPr>
        <w:t>Undergraduate</w:t>
      </w:r>
      <w:r w:rsidR="00560FF0">
        <w:rPr>
          <w:rFonts w:ascii="Arial" w:hAnsi="Arial" w:cs="Arial"/>
          <w:b/>
          <w:sz w:val="30"/>
          <w:szCs w:val="30"/>
        </w:rPr>
        <w:t xml:space="preserve"> </w:t>
      </w:r>
      <w:r w:rsidR="007132F8">
        <w:rPr>
          <w:rFonts w:ascii="Arial" w:hAnsi="Arial" w:cs="Arial"/>
          <w:b/>
          <w:sz w:val="30"/>
          <w:szCs w:val="30"/>
        </w:rPr>
        <w:t>History</w:t>
      </w:r>
      <w:r w:rsidRPr="007B2FCC">
        <w:rPr>
          <w:rFonts w:ascii="Arial" w:hAnsi="Arial" w:cs="Arial"/>
          <w:b/>
          <w:sz w:val="30"/>
          <w:szCs w:val="30"/>
        </w:rPr>
        <w:t xml:space="preserve"> Crib Sheet</w:t>
      </w:r>
    </w:p>
    <w:tbl>
      <w:tblPr>
        <w:tblStyle w:val="TableGrid"/>
        <w:tblW w:w="9747" w:type="dxa"/>
        <w:tblLook w:val="04A0" w:firstRow="1" w:lastRow="0" w:firstColumn="1" w:lastColumn="0" w:noHBand="0" w:noVBand="1"/>
      </w:tblPr>
      <w:tblGrid>
        <w:gridCol w:w="1708"/>
        <w:gridCol w:w="8039"/>
      </w:tblGrid>
      <w:tr w:rsidR="008C7F38" w:rsidTr="00292BC0">
        <w:trPr>
          <w:trHeight w:val="2290"/>
        </w:trPr>
        <w:tc>
          <w:tcPr>
            <w:tcW w:w="1439" w:type="dxa"/>
            <w:shd w:val="clear" w:color="auto" w:fill="CCC0D9" w:themeFill="accent4" w:themeFillTint="66"/>
            <w:vAlign w:val="center"/>
          </w:tcPr>
          <w:p w:rsidR="008C7F38" w:rsidRDefault="008C7F38" w:rsidP="00631971">
            <w:pPr>
              <w:rPr>
                <w:rFonts w:ascii="Arial" w:hAnsi="Arial" w:cs="Arial"/>
                <w:b/>
              </w:rPr>
            </w:pPr>
            <w:r w:rsidRPr="00952368">
              <w:rPr>
                <w:rFonts w:ascii="Arial" w:hAnsi="Arial" w:cs="Arial"/>
                <w:b/>
              </w:rPr>
              <w:t>Courses offered</w:t>
            </w:r>
          </w:p>
        </w:tc>
        <w:tc>
          <w:tcPr>
            <w:tcW w:w="8308" w:type="dxa"/>
            <w:vAlign w:val="center"/>
          </w:tcPr>
          <w:p w:rsidR="007132F8" w:rsidRDefault="00000056" w:rsidP="007132F8">
            <w:pPr>
              <w:spacing w:line="360" w:lineRule="auto"/>
              <w:rPr>
                <w:rFonts w:ascii="Arial" w:hAnsi="Arial" w:cs="Arial"/>
                <w:b/>
                <w:szCs w:val="20"/>
              </w:rPr>
            </w:pPr>
            <w:r>
              <w:rPr>
                <w:rFonts w:ascii="Arial" w:hAnsi="Arial" w:cs="Arial"/>
                <w:b/>
                <w:szCs w:val="20"/>
                <w:u w:val="single"/>
              </w:rPr>
              <w:t>Single Honours</w:t>
            </w:r>
            <w:r>
              <w:rPr>
                <w:rFonts w:ascii="Arial" w:hAnsi="Arial" w:cs="Arial"/>
                <w:b/>
                <w:szCs w:val="20"/>
              </w:rPr>
              <w:br/>
            </w:r>
            <w:r w:rsidR="007132F8">
              <w:rPr>
                <w:rFonts w:ascii="Arial" w:hAnsi="Arial" w:cs="Arial"/>
                <w:b/>
                <w:szCs w:val="20"/>
              </w:rPr>
              <w:t>BA History (3yrs)</w:t>
            </w:r>
          </w:p>
          <w:p w:rsidR="007132F8" w:rsidRDefault="007132F8" w:rsidP="007132F8">
            <w:pPr>
              <w:spacing w:line="360" w:lineRule="auto"/>
              <w:rPr>
                <w:rFonts w:ascii="Arial" w:hAnsi="Arial" w:cs="Arial"/>
                <w:b/>
                <w:szCs w:val="20"/>
              </w:rPr>
            </w:pPr>
          </w:p>
          <w:p w:rsidR="007132F8" w:rsidRDefault="007132F8" w:rsidP="007132F8">
            <w:pPr>
              <w:spacing w:line="360" w:lineRule="auto"/>
              <w:rPr>
                <w:rFonts w:ascii="Arial" w:hAnsi="Arial" w:cs="Arial"/>
                <w:b/>
                <w:szCs w:val="20"/>
                <w:u w:val="single"/>
              </w:rPr>
            </w:pPr>
            <w:r>
              <w:rPr>
                <w:rFonts w:ascii="Arial" w:hAnsi="Arial" w:cs="Arial"/>
                <w:b/>
                <w:szCs w:val="20"/>
                <w:u w:val="single"/>
              </w:rPr>
              <w:t>Joint Honours</w:t>
            </w:r>
          </w:p>
          <w:p w:rsidR="007132F8" w:rsidRDefault="007132F8" w:rsidP="007132F8">
            <w:pPr>
              <w:spacing w:line="360" w:lineRule="auto"/>
              <w:rPr>
                <w:rFonts w:ascii="Arial" w:hAnsi="Arial" w:cs="Arial"/>
                <w:b/>
                <w:szCs w:val="20"/>
              </w:rPr>
            </w:pPr>
            <w:r>
              <w:rPr>
                <w:rFonts w:ascii="Arial" w:hAnsi="Arial" w:cs="Arial"/>
                <w:b/>
                <w:szCs w:val="20"/>
              </w:rPr>
              <w:t>BA Ancient History and History (3yrs)</w:t>
            </w:r>
          </w:p>
          <w:p w:rsidR="007132F8" w:rsidRDefault="007132F8" w:rsidP="007132F8">
            <w:pPr>
              <w:spacing w:line="360" w:lineRule="auto"/>
              <w:rPr>
                <w:rFonts w:ascii="Arial" w:hAnsi="Arial" w:cs="Arial"/>
                <w:b/>
                <w:szCs w:val="20"/>
              </w:rPr>
            </w:pPr>
            <w:r>
              <w:rPr>
                <w:rFonts w:ascii="Arial" w:hAnsi="Arial" w:cs="Arial"/>
                <w:b/>
                <w:szCs w:val="20"/>
              </w:rPr>
              <w:t>BA History and American Studies (3yrs)</w:t>
            </w:r>
          </w:p>
          <w:p w:rsidR="007132F8" w:rsidRDefault="007132F8" w:rsidP="007132F8">
            <w:pPr>
              <w:spacing w:line="360" w:lineRule="auto"/>
              <w:rPr>
                <w:rFonts w:ascii="Arial" w:hAnsi="Arial" w:cs="Arial"/>
                <w:b/>
                <w:szCs w:val="20"/>
              </w:rPr>
            </w:pPr>
            <w:r>
              <w:rPr>
                <w:rFonts w:ascii="Arial" w:hAnsi="Arial" w:cs="Arial"/>
                <w:b/>
                <w:szCs w:val="20"/>
              </w:rPr>
              <w:t>BA English Literature and History (3yrs)</w:t>
            </w:r>
          </w:p>
          <w:p w:rsidR="007132F8" w:rsidRDefault="007132F8" w:rsidP="007132F8">
            <w:pPr>
              <w:spacing w:line="360" w:lineRule="auto"/>
              <w:rPr>
                <w:rFonts w:ascii="Arial" w:hAnsi="Arial" w:cs="Arial"/>
                <w:b/>
                <w:szCs w:val="20"/>
              </w:rPr>
            </w:pPr>
            <w:r>
              <w:rPr>
                <w:rFonts w:ascii="Arial" w:hAnsi="Arial" w:cs="Arial"/>
                <w:b/>
                <w:szCs w:val="20"/>
              </w:rPr>
              <w:t>BA Modern History with Economics (3yrs)</w:t>
            </w:r>
          </w:p>
          <w:p w:rsidR="007132F8" w:rsidRDefault="007132F8" w:rsidP="007132F8">
            <w:pPr>
              <w:spacing w:line="360" w:lineRule="auto"/>
              <w:rPr>
                <w:rFonts w:ascii="Arial" w:hAnsi="Arial" w:cs="Arial"/>
                <w:b/>
                <w:szCs w:val="20"/>
              </w:rPr>
            </w:pPr>
            <w:r>
              <w:rPr>
                <w:rFonts w:ascii="Arial" w:hAnsi="Arial" w:cs="Arial"/>
                <w:b/>
                <w:szCs w:val="20"/>
              </w:rPr>
              <w:t>BA Politics and Modern History (3yrs)</w:t>
            </w:r>
          </w:p>
          <w:p w:rsidR="00E52AAF" w:rsidRDefault="007132F8" w:rsidP="007132F8">
            <w:pPr>
              <w:spacing w:line="360" w:lineRule="auto"/>
              <w:rPr>
                <w:rFonts w:ascii="Arial" w:hAnsi="Arial" w:cs="Arial"/>
                <w:b/>
                <w:szCs w:val="20"/>
              </w:rPr>
            </w:pPr>
            <w:r>
              <w:rPr>
                <w:rFonts w:ascii="Arial" w:hAnsi="Arial" w:cs="Arial"/>
                <w:b/>
                <w:szCs w:val="20"/>
              </w:rPr>
              <w:t xml:space="preserve">BA </w:t>
            </w:r>
            <w:r w:rsidR="00E52AAF">
              <w:rPr>
                <w:rFonts w:ascii="Arial" w:hAnsi="Arial" w:cs="Arial"/>
                <w:b/>
                <w:szCs w:val="20"/>
              </w:rPr>
              <w:t>History and Arabic / French / German / Italian / Portuguese / Russian / Spanish (4yrs)</w:t>
            </w:r>
          </w:p>
          <w:p w:rsidR="00E52AAF" w:rsidRDefault="00E52AAF" w:rsidP="007132F8">
            <w:pPr>
              <w:spacing w:line="360" w:lineRule="auto"/>
              <w:rPr>
                <w:rFonts w:ascii="Arial" w:hAnsi="Arial" w:cs="Arial"/>
                <w:b/>
                <w:szCs w:val="20"/>
              </w:rPr>
            </w:pPr>
            <w:r>
              <w:rPr>
                <w:rFonts w:ascii="Arial" w:hAnsi="Arial" w:cs="Arial"/>
                <w:b/>
                <w:szCs w:val="20"/>
              </w:rPr>
              <w:t>History and Sociology (3yrs)</w:t>
            </w:r>
          </w:p>
          <w:p w:rsidR="00E52AAF" w:rsidRDefault="00E52AAF" w:rsidP="007132F8">
            <w:pPr>
              <w:spacing w:line="360" w:lineRule="auto"/>
              <w:rPr>
                <w:rFonts w:ascii="Arial" w:hAnsi="Arial" w:cs="Arial"/>
                <w:b/>
                <w:szCs w:val="20"/>
              </w:rPr>
            </w:pPr>
            <w:r>
              <w:rPr>
                <w:rFonts w:ascii="Arial" w:hAnsi="Arial" w:cs="Arial"/>
                <w:b/>
                <w:szCs w:val="20"/>
              </w:rPr>
              <w:t>Archaeology and History (3yrs)</w:t>
            </w:r>
          </w:p>
          <w:p w:rsidR="00E52AAF" w:rsidRDefault="00E52AAF" w:rsidP="007132F8">
            <w:pPr>
              <w:spacing w:line="360" w:lineRule="auto"/>
              <w:rPr>
                <w:rFonts w:ascii="Arial" w:hAnsi="Arial" w:cs="Arial"/>
                <w:b/>
                <w:szCs w:val="20"/>
              </w:rPr>
            </w:pPr>
            <w:r>
              <w:rPr>
                <w:rFonts w:ascii="Arial" w:hAnsi="Arial" w:cs="Arial"/>
                <w:b/>
                <w:szCs w:val="20"/>
              </w:rPr>
              <w:t>Art History and History (3yrs)</w:t>
            </w:r>
          </w:p>
          <w:p w:rsidR="00E52AAF" w:rsidRPr="007132F8" w:rsidRDefault="00E52AAF" w:rsidP="007132F8">
            <w:pPr>
              <w:spacing w:line="360" w:lineRule="auto"/>
              <w:rPr>
                <w:rFonts w:ascii="Arial" w:hAnsi="Arial" w:cs="Arial"/>
                <w:b/>
                <w:szCs w:val="20"/>
              </w:rPr>
            </w:pPr>
            <w:r>
              <w:rPr>
                <w:rFonts w:ascii="Arial" w:hAnsi="Arial" w:cs="Arial"/>
                <w:b/>
                <w:szCs w:val="20"/>
              </w:rPr>
              <w:t>Film Studies and History (3yrs)</w:t>
            </w:r>
          </w:p>
        </w:tc>
      </w:tr>
      <w:tr w:rsidR="00292BC0" w:rsidTr="00292BC0">
        <w:trPr>
          <w:trHeight w:val="838"/>
        </w:trPr>
        <w:tc>
          <w:tcPr>
            <w:tcW w:w="1439" w:type="dxa"/>
            <w:shd w:val="clear" w:color="auto" w:fill="CCC0D9" w:themeFill="accent4" w:themeFillTint="66"/>
            <w:vAlign w:val="center"/>
          </w:tcPr>
          <w:p w:rsidR="00292BC0" w:rsidRPr="00952368" w:rsidRDefault="00292BC0" w:rsidP="00631971">
            <w:pPr>
              <w:rPr>
                <w:rFonts w:ascii="Arial" w:hAnsi="Arial" w:cs="Arial"/>
                <w:b/>
              </w:rPr>
            </w:pPr>
            <w:r>
              <w:rPr>
                <w:rFonts w:ascii="Arial" w:hAnsi="Arial" w:cs="Arial"/>
                <w:b/>
              </w:rPr>
              <w:t>Entry requirements</w:t>
            </w:r>
          </w:p>
        </w:tc>
        <w:tc>
          <w:tcPr>
            <w:tcW w:w="8308" w:type="dxa"/>
            <w:vAlign w:val="center"/>
          </w:tcPr>
          <w:p w:rsidR="00314AAB" w:rsidRPr="00946E84" w:rsidRDefault="00292BC0" w:rsidP="00946E84">
            <w:pPr>
              <w:spacing w:line="360" w:lineRule="auto"/>
              <w:rPr>
                <w:rFonts w:ascii="Arial" w:hAnsi="Arial" w:cs="Arial"/>
                <w:szCs w:val="20"/>
              </w:rPr>
            </w:pPr>
            <w:r w:rsidRPr="007F719D">
              <w:rPr>
                <w:rFonts w:ascii="Arial" w:hAnsi="Arial" w:cs="Arial"/>
                <w:b/>
                <w:szCs w:val="20"/>
              </w:rPr>
              <w:t>Typical A-level offer</w:t>
            </w:r>
            <w:r w:rsidR="00946E84">
              <w:rPr>
                <w:rFonts w:ascii="Arial" w:hAnsi="Arial" w:cs="Arial"/>
                <w:b/>
                <w:szCs w:val="20"/>
              </w:rPr>
              <w:t xml:space="preserve">: </w:t>
            </w:r>
            <w:r w:rsidR="00E52AAF">
              <w:rPr>
                <w:rFonts w:ascii="Arial" w:hAnsi="Arial" w:cs="Arial"/>
                <w:szCs w:val="20"/>
              </w:rPr>
              <w:t>A*AA-AAB</w:t>
            </w:r>
            <w:r w:rsidR="00314AAB">
              <w:rPr>
                <w:rFonts w:ascii="Arial" w:hAnsi="Arial" w:cs="Arial"/>
                <w:szCs w:val="20"/>
              </w:rPr>
              <w:br/>
            </w:r>
            <w:r w:rsidRPr="007F719D">
              <w:rPr>
                <w:rFonts w:ascii="Arial" w:hAnsi="Arial" w:cs="Arial"/>
                <w:b/>
                <w:szCs w:val="20"/>
              </w:rPr>
              <w:t>T</w:t>
            </w:r>
            <w:r w:rsidR="00946E84">
              <w:rPr>
                <w:rFonts w:ascii="Arial" w:hAnsi="Arial" w:cs="Arial"/>
                <w:b/>
                <w:szCs w:val="20"/>
              </w:rPr>
              <w:t xml:space="preserve">ypical contextual A-level offer: </w:t>
            </w:r>
            <w:r w:rsidR="00946E84">
              <w:rPr>
                <w:rFonts w:ascii="Arial" w:hAnsi="Arial" w:cs="Arial"/>
                <w:szCs w:val="20"/>
              </w:rPr>
              <w:t>A</w:t>
            </w:r>
            <w:r w:rsidR="00E52AAF">
              <w:rPr>
                <w:rFonts w:ascii="Arial" w:hAnsi="Arial" w:cs="Arial"/>
                <w:szCs w:val="20"/>
              </w:rPr>
              <w:t>AA-ABB</w:t>
            </w:r>
          </w:p>
          <w:p w:rsidR="00314AAB" w:rsidRPr="007F719D" w:rsidRDefault="00314AAB" w:rsidP="00292BC0">
            <w:pPr>
              <w:spacing w:line="360" w:lineRule="auto"/>
              <w:rPr>
                <w:rFonts w:ascii="Arial" w:hAnsi="Arial" w:cs="Arial"/>
                <w:szCs w:val="20"/>
              </w:rPr>
            </w:pPr>
          </w:p>
          <w:p w:rsidR="00292BC0" w:rsidRPr="007F719D" w:rsidRDefault="00292BC0" w:rsidP="00292BC0">
            <w:pPr>
              <w:spacing w:line="360" w:lineRule="auto"/>
              <w:rPr>
                <w:rFonts w:ascii="Arial" w:hAnsi="Arial" w:cs="Arial"/>
                <w:b/>
                <w:szCs w:val="20"/>
              </w:rPr>
            </w:pPr>
            <w:r w:rsidRPr="007F719D">
              <w:rPr>
                <w:rFonts w:ascii="Arial" w:hAnsi="Arial" w:cs="Arial"/>
                <w:b/>
                <w:szCs w:val="20"/>
              </w:rPr>
              <w:t>Typical International Baccalaureate offer</w:t>
            </w:r>
          </w:p>
          <w:p w:rsidR="00292BC0" w:rsidRPr="007F719D" w:rsidRDefault="00292BC0" w:rsidP="00946E84">
            <w:pPr>
              <w:spacing w:line="360" w:lineRule="auto"/>
              <w:rPr>
                <w:rFonts w:ascii="Arial" w:hAnsi="Arial" w:cs="Arial"/>
                <w:szCs w:val="20"/>
              </w:rPr>
            </w:pPr>
            <w:r w:rsidRPr="007F719D">
              <w:rPr>
                <w:rFonts w:ascii="Arial" w:hAnsi="Arial" w:cs="Arial"/>
                <w:szCs w:val="20"/>
              </w:rPr>
              <w:t>3</w:t>
            </w:r>
            <w:r w:rsidR="00E52AAF">
              <w:rPr>
                <w:rFonts w:ascii="Arial" w:hAnsi="Arial" w:cs="Arial"/>
                <w:szCs w:val="20"/>
              </w:rPr>
              <w:t>6</w:t>
            </w:r>
            <w:r w:rsidR="00000056">
              <w:rPr>
                <w:rFonts w:ascii="Arial" w:hAnsi="Arial" w:cs="Arial"/>
                <w:szCs w:val="20"/>
              </w:rPr>
              <w:t xml:space="preserve"> points overall. 6, </w:t>
            </w:r>
            <w:r w:rsidR="00655D80">
              <w:rPr>
                <w:rFonts w:ascii="Arial" w:hAnsi="Arial" w:cs="Arial"/>
                <w:szCs w:val="20"/>
              </w:rPr>
              <w:t>6</w:t>
            </w:r>
            <w:r w:rsidR="00000056">
              <w:rPr>
                <w:rFonts w:ascii="Arial" w:hAnsi="Arial" w:cs="Arial"/>
                <w:szCs w:val="20"/>
              </w:rPr>
              <w:t xml:space="preserve">, </w:t>
            </w:r>
            <w:r w:rsidR="00E52AAF">
              <w:rPr>
                <w:rFonts w:ascii="Arial" w:hAnsi="Arial" w:cs="Arial"/>
                <w:szCs w:val="20"/>
              </w:rPr>
              <w:t>6</w:t>
            </w:r>
            <w:r w:rsidRPr="007F719D">
              <w:rPr>
                <w:rFonts w:ascii="Arial" w:hAnsi="Arial" w:cs="Arial"/>
                <w:szCs w:val="20"/>
              </w:rPr>
              <w:t xml:space="preserve"> in higher-level subjects</w:t>
            </w:r>
            <w:r w:rsidR="00000056">
              <w:rPr>
                <w:rFonts w:ascii="Arial" w:hAnsi="Arial" w:cs="Arial"/>
                <w:szCs w:val="20"/>
              </w:rPr>
              <w:br/>
            </w:r>
            <w:r w:rsidR="00000056">
              <w:rPr>
                <w:rFonts w:ascii="Arial" w:hAnsi="Arial" w:cs="Arial"/>
                <w:szCs w:val="20"/>
              </w:rPr>
              <w:br/>
              <w:t>(Entry requirements will differ for Joint Honours courses)</w:t>
            </w:r>
          </w:p>
        </w:tc>
      </w:tr>
      <w:tr w:rsidR="00FC669A" w:rsidTr="00292BC0">
        <w:trPr>
          <w:trHeight w:val="3786"/>
        </w:trPr>
        <w:tc>
          <w:tcPr>
            <w:tcW w:w="1439" w:type="dxa"/>
            <w:shd w:val="clear" w:color="auto" w:fill="CCC0D9" w:themeFill="accent4" w:themeFillTint="66"/>
            <w:vAlign w:val="center"/>
          </w:tcPr>
          <w:p w:rsidR="00FC669A" w:rsidRDefault="00FC669A" w:rsidP="00827739">
            <w:pPr>
              <w:rPr>
                <w:rFonts w:ascii="Arial" w:hAnsi="Arial" w:cs="Arial"/>
                <w:b/>
              </w:rPr>
            </w:pPr>
            <w:r>
              <w:rPr>
                <w:rFonts w:ascii="Arial" w:hAnsi="Arial" w:cs="Arial"/>
                <w:b/>
              </w:rPr>
              <w:t>Rankings</w:t>
            </w:r>
          </w:p>
          <w:p w:rsidR="00FC669A" w:rsidRDefault="00FC669A" w:rsidP="00827739">
            <w:pPr>
              <w:rPr>
                <w:rFonts w:ascii="Arial" w:hAnsi="Arial" w:cs="Arial"/>
                <w:b/>
              </w:rPr>
            </w:pPr>
            <w:r>
              <w:rPr>
                <w:rFonts w:ascii="Arial" w:hAnsi="Arial" w:cs="Arial"/>
                <w:b/>
              </w:rPr>
              <w:t>&amp; NSS rating</w:t>
            </w:r>
          </w:p>
        </w:tc>
        <w:tc>
          <w:tcPr>
            <w:tcW w:w="8308" w:type="dxa"/>
            <w:vAlign w:val="center"/>
          </w:tcPr>
          <w:p w:rsidR="00E52AAF" w:rsidRPr="0011175F" w:rsidRDefault="00E52AAF" w:rsidP="00E52AAF">
            <w:pPr>
              <w:pStyle w:val="ListParagraph"/>
              <w:numPr>
                <w:ilvl w:val="0"/>
                <w:numId w:val="10"/>
              </w:numPr>
              <w:rPr>
                <w:b/>
              </w:rPr>
            </w:pPr>
            <w:r>
              <w:t>THE 2019 (History, Philosophy and Theology): 11</w:t>
            </w:r>
            <w:r w:rsidRPr="0011175F">
              <w:rPr>
                <w:vertAlign w:val="superscript"/>
              </w:rPr>
              <w:t>th</w:t>
            </w:r>
            <w:r>
              <w:t xml:space="preserve"> in the UK, 52</w:t>
            </w:r>
            <w:r w:rsidRPr="0011175F">
              <w:rPr>
                <w:vertAlign w:val="superscript"/>
              </w:rPr>
              <w:t>nd</w:t>
            </w:r>
            <w:r>
              <w:t xml:space="preserve"> in the World</w:t>
            </w:r>
          </w:p>
          <w:p w:rsidR="00E52AAF" w:rsidRPr="0011175F" w:rsidRDefault="00E52AAF" w:rsidP="00E52AAF">
            <w:pPr>
              <w:pStyle w:val="ListParagraph"/>
              <w:numPr>
                <w:ilvl w:val="0"/>
                <w:numId w:val="10"/>
              </w:numPr>
              <w:rPr>
                <w:b/>
              </w:rPr>
            </w:pPr>
            <w:r>
              <w:t>CUG 2020: 19</w:t>
            </w:r>
            <w:r w:rsidRPr="0011175F">
              <w:rPr>
                <w:vertAlign w:val="superscript"/>
              </w:rPr>
              <w:t>th</w:t>
            </w:r>
            <w:r>
              <w:t xml:space="preserve"> in the UK</w:t>
            </w:r>
          </w:p>
          <w:p w:rsidR="00E52AAF" w:rsidRPr="0011175F" w:rsidRDefault="00E52AAF" w:rsidP="00E52AAF">
            <w:pPr>
              <w:pStyle w:val="ListParagraph"/>
              <w:numPr>
                <w:ilvl w:val="0"/>
                <w:numId w:val="10"/>
              </w:numPr>
              <w:rPr>
                <w:b/>
              </w:rPr>
            </w:pPr>
            <w:r>
              <w:t>QS World University Rankings: 7</w:t>
            </w:r>
            <w:r w:rsidRPr="0011175F">
              <w:rPr>
                <w:vertAlign w:val="superscript"/>
              </w:rPr>
              <w:t>th</w:t>
            </w:r>
            <w:r>
              <w:t xml:space="preserve"> in the UK, 33</w:t>
            </w:r>
            <w:r w:rsidRPr="0011175F">
              <w:rPr>
                <w:vertAlign w:val="superscript"/>
              </w:rPr>
              <w:t>rd</w:t>
            </w:r>
            <w:r>
              <w:t xml:space="preserve"> in the World</w:t>
            </w:r>
          </w:p>
          <w:p w:rsidR="00241ABE" w:rsidRPr="00E52AAF" w:rsidRDefault="00E52AAF" w:rsidP="00E52AAF">
            <w:pPr>
              <w:pStyle w:val="ListParagraph"/>
              <w:numPr>
                <w:ilvl w:val="0"/>
                <w:numId w:val="10"/>
              </w:numPr>
              <w:rPr>
                <w:b/>
              </w:rPr>
            </w:pPr>
            <w:r>
              <w:t>Guardian Rankings 2020: 15</w:t>
            </w:r>
            <w:r w:rsidRPr="0011175F">
              <w:rPr>
                <w:vertAlign w:val="superscript"/>
              </w:rPr>
              <w:t>th</w:t>
            </w:r>
            <w:r>
              <w:t xml:space="preserve"> in the UK</w:t>
            </w:r>
          </w:p>
        </w:tc>
      </w:tr>
      <w:tr w:rsidR="008C7F38" w:rsidTr="00292BC0">
        <w:trPr>
          <w:trHeight w:val="3786"/>
        </w:trPr>
        <w:tc>
          <w:tcPr>
            <w:tcW w:w="1439" w:type="dxa"/>
            <w:shd w:val="clear" w:color="auto" w:fill="CCC0D9" w:themeFill="accent4" w:themeFillTint="66"/>
            <w:vAlign w:val="center"/>
          </w:tcPr>
          <w:p w:rsidR="008C7F38" w:rsidRDefault="00FC669A" w:rsidP="00827739">
            <w:pPr>
              <w:rPr>
                <w:rFonts w:ascii="Arial" w:hAnsi="Arial" w:cs="Arial"/>
                <w:b/>
              </w:rPr>
            </w:pPr>
            <w:r>
              <w:rPr>
                <w:rFonts w:ascii="Arial" w:hAnsi="Arial" w:cs="Arial"/>
                <w:b/>
              </w:rPr>
              <w:lastRenderedPageBreak/>
              <w:t>Key features/USPs</w:t>
            </w:r>
          </w:p>
        </w:tc>
        <w:tc>
          <w:tcPr>
            <w:tcW w:w="8308" w:type="dxa"/>
            <w:vAlign w:val="center"/>
          </w:tcPr>
          <w:p w:rsidR="00E52AAF" w:rsidRDefault="00E52AAF" w:rsidP="00E52AAF">
            <w:pPr>
              <w:pStyle w:val="ListParagraph"/>
              <w:numPr>
                <w:ilvl w:val="0"/>
                <w:numId w:val="10"/>
              </w:numPr>
            </w:pPr>
            <w:r w:rsidRPr="00A218D5">
              <w:t xml:space="preserve">Courses </w:t>
            </w:r>
            <w:r>
              <w:t>cover almost all of human history, including British, European, American, Asian and African history, and range from the classical era (Greece and Rome) through the medieval and modern periods, to the late 20</w:t>
            </w:r>
            <w:r w:rsidRPr="00A218D5">
              <w:rPr>
                <w:vertAlign w:val="superscript"/>
              </w:rPr>
              <w:t>th</w:t>
            </w:r>
            <w:r>
              <w:t xml:space="preserve"> century.</w:t>
            </w:r>
          </w:p>
          <w:p w:rsidR="00E52AAF" w:rsidRPr="00E52AAF" w:rsidRDefault="00E52AAF" w:rsidP="00E52AAF">
            <w:pPr>
              <w:pStyle w:val="ListParagraph"/>
              <w:numPr>
                <w:ilvl w:val="0"/>
                <w:numId w:val="10"/>
              </w:numPr>
            </w:pPr>
            <w:r>
              <w:t>Offer a wide variety of approaches to history, including political, economic, gender, social, cultural and colonial analysis.</w:t>
            </w:r>
          </w:p>
          <w:p w:rsidR="00E52AAF" w:rsidRPr="0011175F" w:rsidRDefault="00E52AAF" w:rsidP="00E52AAF">
            <w:pPr>
              <w:pStyle w:val="ListParagraph"/>
              <w:numPr>
                <w:ilvl w:val="0"/>
                <w:numId w:val="10"/>
              </w:numPr>
              <w:rPr>
                <w:b/>
              </w:rPr>
            </w:pPr>
            <w:r>
              <w:t xml:space="preserve">Manchester is a living history book – from </w:t>
            </w:r>
            <w:proofErr w:type="spellStart"/>
            <w:r>
              <w:t>Peterloo</w:t>
            </w:r>
            <w:proofErr w:type="spellEnd"/>
            <w:r>
              <w:t xml:space="preserve"> to the anti-slavery movement, from Roman and Anglo-Saxon forts to medieval monuments</w:t>
            </w:r>
          </w:p>
          <w:p w:rsidR="00E52AAF" w:rsidRPr="0011175F" w:rsidRDefault="00E52AAF" w:rsidP="00E52AAF">
            <w:pPr>
              <w:pStyle w:val="ListParagraph"/>
              <w:numPr>
                <w:ilvl w:val="0"/>
                <w:numId w:val="10"/>
              </w:numPr>
              <w:rPr>
                <w:b/>
              </w:rPr>
            </w:pPr>
            <w:r>
              <w:t xml:space="preserve">Exclusive access to the special collections of the John </w:t>
            </w:r>
            <w:proofErr w:type="spellStart"/>
            <w:r>
              <w:t>Rylands</w:t>
            </w:r>
            <w:proofErr w:type="spellEnd"/>
            <w:r>
              <w:t xml:space="preserve"> Library, including collections of military, diplomatic and colonial history</w:t>
            </w:r>
          </w:p>
          <w:p w:rsidR="008F4593" w:rsidRPr="00E52AAF" w:rsidRDefault="00E52AAF" w:rsidP="00E52AAF">
            <w:pPr>
              <w:pStyle w:val="ListParagraph"/>
              <w:numPr>
                <w:ilvl w:val="0"/>
                <w:numId w:val="10"/>
              </w:numPr>
              <w:rPr>
                <w:b/>
              </w:rPr>
            </w:pPr>
            <w:r>
              <w:t>Incredible range of optional units and course flexibility – shape your course around your personal interests</w:t>
            </w:r>
          </w:p>
        </w:tc>
      </w:tr>
      <w:tr w:rsidR="008C7F38" w:rsidTr="00292BC0">
        <w:trPr>
          <w:trHeight w:val="553"/>
        </w:trPr>
        <w:tc>
          <w:tcPr>
            <w:tcW w:w="1439" w:type="dxa"/>
            <w:shd w:val="clear" w:color="auto" w:fill="CCC0D9" w:themeFill="accent4" w:themeFillTint="66"/>
            <w:vAlign w:val="center"/>
          </w:tcPr>
          <w:p w:rsidR="008C7F38" w:rsidRDefault="008C7F38" w:rsidP="00631971">
            <w:pPr>
              <w:rPr>
                <w:rFonts w:ascii="Arial" w:hAnsi="Arial" w:cs="Arial"/>
                <w:b/>
              </w:rPr>
            </w:pPr>
            <w:r w:rsidRPr="001F4405">
              <w:rPr>
                <w:rFonts w:ascii="Arial" w:hAnsi="Arial" w:cs="Arial"/>
                <w:b/>
              </w:rPr>
              <w:t>Student breakdown</w:t>
            </w:r>
            <w:r>
              <w:rPr>
                <w:rFonts w:ascii="Arial" w:hAnsi="Arial" w:cs="Arial"/>
                <w:b/>
              </w:rPr>
              <w:t xml:space="preserve"> </w:t>
            </w:r>
          </w:p>
        </w:tc>
        <w:tc>
          <w:tcPr>
            <w:tcW w:w="8308" w:type="dxa"/>
            <w:vAlign w:val="center"/>
          </w:tcPr>
          <w:p w:rsidR="00827739" w:rsidRPr="00000056" w:rsidRDefault="00E52AAF" w:rsidP="00000056">
            <w:r>
              <w:rPr>
                <w:b/>
              </w:rPr>
              <w:t xml:space="preserve">Intake in 2018/19: </w:t>
            </w:r>
            <w:r>
              <w:t>309 (300 domestic, 9 international)</w:t>
            </w:r>
          </w:p>
        </w:tc>
      </w:tr>
      <w:tr w:rsidR="008C7F38" w:rsidTr="00292BC0">
        <w:trPr>
          <w:trHeight w:val="3019"/>
        </w:trPr>
        <w:tc>
          <w:tcPr>
            <w:tcW w:w="1439" w:type="dxa"/>
            <w:shd w:val="clear" w:color="auto" w:fill="CCC0D9" w:themeFill="accent4" w:themeFillTint="66"/>
            <w:vAlign w:val="center"/>
          </w:tcPr>
          <w:p w:rsidR="008C7F38" w:rsidRPr="001F4405" w:rsidRDefault="008C7F38" w:rsidP="00631971">
            <w:pPr>
              <w:rPr>
                <w:rFonts w:ascii="Arial" w:hAnsi="Arial" w:cs="Arial"/>
                <w:b/>
              </w:rPr>
            </w:pPr>
            <w:r>
              <w:rPr>
                <w:rFonts w:ascii="Arial" w:hAnsi="Arial" w:cs="Arial"/>
                <w:b/>
              </w:rPr>
              <w:t>Graduate prospects</w:t>
            </w:r>
          </w:p>
        </w:tc>
        <w:tc>
          <w:tcPr>
            <w:tcW w:w="8308" w:type="dxa"/>
            <w:vAlign w:val="center"/>
          </w:tcPr>
          <w:p w:rsidR="00E52AAF" w:rsidRPr="000A59F2" w:rsidRDefault="00E52AAF" w:rsidP="00E52AAF">
            <w:pPr>
              <w:pStyle w:val="ListParagraph"/>
              <w:numPr>
                <w:ilvl w:val="0"/>
                <w:numId w:val="6"/>
              </w:numPr>
            </w:pPr>
            <w:r>
              <w:t>91</w:t>
            </w:r>
            <w:r w:rsidRPr="000A59F2">
              <w:t>%</w:t>
            </w:r>
            <w:r>
              <w:t xml:space="preserve"> </w:t>
            </w:r>
            <w:r w:rsidR="005F6E92">
              <w:t xml:space="preserve">of </w:t>
            </w:r>
            <w:bookmarkStart w:id="0" w:name="_GoBack"/>
            <w:r w:rsidR="005F6E92">
              <w:t xml:space="preserve">our students are in work or </w:t>
            </w:r>
            <w:r>
              <w:t>study</w:t>
            </w:r>
            <w:r w:rsidR="005F6E92">
              <w:t xml:space="preserve"> 6 months after graduating (</w:t>
            </w:r>
            <w:proofErr w:type="spellStart"/>
            <w:r w:rsidR="005F6E92">
              <w:t>Unistats</w:t>
            </w:r>
            <w:proofErr w:type="spellEnd"/>
            <w:r w:rsidR="005F6E92">
              <w:t>)</w:t>
            </w:r>
            <w:bookmarkEnd w:id="0"/>
          </w:p>
          <w:p w:rsidR="00E52AAF" w:rsidRDefault="00E52AAF" w:rsidP="00E52AAF">
            <w:pPr>
              <w:rPr>
                <w:b/>
              </w:rPr>
            </w:pPr>
            <w:r w:rsidRPr="00013AE3">
              <w:rPr>
                <w:b/>
              </w:rPr>
              <w:t>Graduate Destinations:</w:t>
            </w:r>
          </w:p>
          <w:p w:rsidR="00E52AAF" w:rsidRDefault="00E52AAF" w:rsidP="00E52AAF">
            <w:pPr>
              <w:pStyle w:val="ListParagraph"/>
              <w:numPr>
                <w:ilvl w:val="0"/>
                <w:numId w:val="6"/>
              </w:numPr>
            </w:pPr>
            <w:r>
              <w:t>Teaching and academia</w:t>
            </w:r>
          </w:p>
          <w:p w:rsidR="00E52AAF" w:rsidRDefault="00E52AAF" w:rsidP="00E52AAF">
            <w:pPr>
              <w:pStyle w:val="ListParagraph"/>
              <w:numPr>
                <w:ilvl w:val="0"/>
                <w:numId w:val="6"/>
              </w:numPr>
            </w:pPr>
            <w:r>
              <w:t>Heritage and museums</w:t>
            </w:r>
          </w:p>
          <w:p w:rsidR="00E52AAF" w:rsidRDefault="00E52AAF" w:rsidP="00E52AAF">
            <w:pPr>
              <w:pStyle w:val="ListParagraph"/>
              <w:numPr>
                <w:ilvl w:val="0"/>
                <w:numId w:val="6"/>
              </w:numPr>
            </w:pPr>
            <w:r>
              <w:t>The civil service</w:t>
            </w:r>
          </w:p>
          <w:p w:rsidR="00E52AAF" w:rsidRDefault="00E52AAF" w:rsidP="00E52AAF">
            <w:pPr>
              <w:pStyle w:val="ListParagraph"/>
              <w:numPr>
                <w:ilvl w:val="0"/>
                <w:numId w:val="6"/>
              </w:numPr>
            </w:pPr>
            <w:r>
              <w:t>Policy and think tanks</w:t>
            </w:r>
          </w:p>
          <w:p w:rsidR="00E52AAF" w:rsidRDefault="00E52AAF" w:rsidP="00E52AAF">
            <w:pPr>
              <w:pStyle w:val="ListParagraph"/>
              <w:numPr>
                <w:ilvl w:val="0"/>
                <w:numId w:val="6"/>
              </w:numPr>
            </w:pPr>
            <w:r>
              <w:t>Media and journalism</w:t>
            </w:r>
          </w:p>
          <w:p w:rsidR="00E52AAF" w:rsidRDefault="00E52AAF" w:rsidP="00E52AAF">
            <w:pPr>
              <w:pStyle w:val="ListParagraph"/>
              <w:numPr>
                <w:ilvl w:val="0"/>
                <w:numId w:val="6"/>
              </w:numPr>
            </w:pPr>
            <w:r>
              <w:t>Marketing and public relations</w:t>
            </w:r>
          </w:p>
          <w:p w:rsidR="00033AB5" w:rsidRPr="00655D80" w:rsidRDefault="00E52AAF" w:rsidP="00E52AAF">
            <w:pPr>
              <w:pStyle w:val="ListParagraph"/>
              <w:numPr>
                <w:ilvl w:val="0"/>
                <w:numId w:val="6"/>
              </w:numPr>
            </w:pPr>
            <w:r>
              <w:t>Law and accountancy</w:t>
            </w:r>
          </w:p>
        </w:tc>
      </w:tr>
    </w:tbl>
    <w:p w:rsidR="00365452" w:rsidRPr="00365452" w:rsidRDefault="00365452" w:rsidP="001F4405">
      <w:pPr>
        <w:rPr>
          <w:rFonts w:ascii="Arial" w:hAnsi="Arial" w:cs="Arial"/>
        </w:rPr>
      </w:pPr>
    </w:p>
    <w:sectPr w:rsidR="00365452" w:rsidRPr="003654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088" w:rsidRDefault="00540088" w:rsidP="005C48A6">
      <w:pPr>
        <w:spacing w:after="0" w:line="240" w:lineRule="auto"/>
      </w:pPr>
      <w:r>
        <w:separator/>
      </w:r>
    </w:p>
  </w:endnote>
  <w:endnote w:type="continuationSeparator" w:id="0">
    <w:p w:rsidR="00540088" w:rsidRDefault="00540088"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088" w:rsidRDefault="00540088" w:rsidP="005C48A6">
      <w:pPr>
        <w:spacing w:after="0" w:line="240" w:lineRule="auto"/>
      </w:pPr>
      <w:r>
        <w:separator/>
      </w:r>
    </w:p>
  </w:footnote>
  <w:footnote w:type="continuationSeparator" w:id="0">
    <w:p w:rsidR="00540088" w:rsidRDefault="00540088" w:rsidP="005C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175B4"/>
    <w:multiLevelType w:val="hybridMultilevel"/>
    <w:tmpl w:val="E1344BF4"/>
    <w:lvl w:ilvl="0" w:tplc="5024F7F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90D03"/>
    <w:multiLevelType w:val="hybridMultilevel"/>
    <w:tmpl w:val="783AA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8"/>
    <w:rsid w:val="00000056"/>
    <w:rsid w:val="000168FF"/>
    <w:rsid w:val="00033AB5"/>
    <w:rsid w:val="000753D0"/>
    <w:rsid w:val="00101344"/>
    <w:rsid w:val="00132A6B"/>
    <w:rsid w:val="001F4405"/>
    <w:rsid w:val="00236E4F"/>
    <w:rsid w:val="00241084"/>
    <w:rsid w:val="00241ABE"/>
    <w:rsid w:val="0025667F"/>
    <w:rsid w:val="00292BC0"/>
    <w:rsid w:val="003060C7"/>
    <w:rsid w:val="00314AAB"/>
    <w:rsid w:val="00365452"/>
    <w:rsid w:val="00422D45"/>
    <w:rsid w:val="00487CA9"/>
    <w:rsid w:val="004E5139"/>
    <w:rsid w:val="00515A2F"/>
    <w:rsid w:val="00540088"/>
    <w:rsid w:val="00560FF0"/>
    <w:rsid w:val="005C27F1"/>
    <w:rsid w:val="005C48A6"/>
    <w:rsid w:val="005C7485"/>
    <w:rsid w:val="005F6E92"/>
    <w:rsid w:val="00631971"/>
    <w:rsid w:val="00655D80"/>
    <w:rsid w:val="007132F8"/>
    <w:rsid w:val="00720058"/>
    <w:rsid w:val="00763153"/>
    <w:rsid w:val="00777BF3"/>
    <w:rsid w:val="007B2FCC"/>
    <w:rsid w:val="007E75F6"/>
    <w:rsid w:val="007F5699"/>
    <w:rsid w:val="007F719D"/>
    <w:rsid w:val="00827739"/>
    <w:rsid w:val="008841B6"/>
    <w:rsid w:val="008C7F38"/>
    <w:rsid w:val="008F4593"/>
    <w:rsid w:val="00946E84"/>
    <w:rsid w:val="00952368"/>
    <w:rsid w:val="00A858E0"/>
    <w:rsid w:val="00BA1BBC"/>
    <w:rsid w:val="00C4528B"/>
    <w:rsid w:val="00C77F66"/>
    <w:rsid w:val="00C84855"/>
    <w:rsid w:val="00E24EE4"/>
    <w:rsid w:val="00E52AAF"/>
    <w:rsid w:val="00EC36F6"/>
    <w:rsid w:val="00F05A00"/>
    <w:rsid w:val="00FC2044"/>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606"/>
  <w15:docId w15:val="{6C1335A0-6C9E-440C-A5A0-23E07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Elaine Ofori</cp:lastModifiedBy>
  <cp:revision>3</cp:revision>
  <dcterms:created xsi:type="dcterms:W3CDTF">2019-09-17T14:03:00Z</dcterms:created>
  <dcterms:modified xsi:type="dcterms:W3CDTF">2019-10-18T08:18:00Z</dcterms:modified>
</cp:coreProperties>
</file>