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7C" w:rsidRDefault="002D6EB6" w:rsidP="005E59C0">
      <w:pPr>
        <w:pStyle w:val="NoSpacing"/>
        <w:rPr>
          <w:rFonts w:asciiTheme="minorBidi" w:hAnsiTheme="minorBidi"/>
          <w:b/>
          <w:bCs/>
          <w:sz w:val="20"/>
          <w:szCs w:val="20"/>
        </w:rPr>
      </w:pPr>
      <w:r>
        <w:rPr>
          <w:b/>
          <w:noProof/>
          <w:sz w:val="21"/>
          <w:szCs w:val="21"/>
        </w:rPr>
        <w:drawing>
          <wp:inline distT="0" distB="0" distL="0" distR="0">
            <wp:extent cx="1612900" cy="6813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681355"/>
                    </a:xfrm>
                    <a:prstGeom prst="rect">
                      <a:avLst/>
                    </a:prstGeom>
                    <a:noFill/>
                    <a:ln>
                      <a:noFill/>
                    </a:ln>
                  </pic:spPr>
                </pic:pic>
              </a:graphicData>
            </a:graphic>
          </wp:inline>
        </w:drawing>
      </w:r>
    </w:p>
    <w:p w:rsidR="00C9084E" w:rsidRPr="00C055A8" w:rsidRDefault="00C9084E" w:rsidP="005E59C0">
      <w:pPr>
        <w:pStyle w:val="NoSpacing"/>
        <w:rPr>
          <w:b/>
          <w:bCs/>
        </w:rPr>
      </w:pPr>
      <w:r w:rsidRPr="00C055A8">
        <w:rPr>
          <w:b/>
          <w:bCs/>
        </w:rPr>
        <w:t xml:space="preserve">Faculty of Humanities </w:t>
      </w:r>
      <w:r w:rsidR="0080537C" w:rsidRPr="00C055A8">
        <w:rPr>
          <w:b/>
          <w:bCs/>
        </w:rPr>
        <w:t xml:space="preserve">Academic </w:t>
      </w:r>
      <w:r w:rsidRPr="00C055A8">
        <w:rPr>
          <w:b/>
          <w:bCs/>
        </w:rPr>
        <w:t>Malpractice Hearing</w:t>
      </w:r>
      <w:r w:rsidR="00590A58" w:rsidRPr="00C055A8">
        <w:rPr>
          <w:b/>
          <w:bCs/>
        </w:rPr>
        <w:t>s</w:t>
      </w:r>
      <w:r w:rsidRPr="00C055A8">
        <w:rPr>
          <w:b/>
          <w:bCs/>
        </w:rPr>
        <w:t xml:space="preserve"> </w:t>
      </w:r>
      <w:r w:rsidR="00F8519D" w:rsidRPr="00C055A8">
        <w:rPr>
          <w:b/>
          <w:bCs/>
        </w:rPr>
        <w:t>– Guidance for Schools</w:t>
      </w:r>
    </w:p>
    <w:p w:rsidR="005E59C0" w:rsidRPr="00C055A8" w:rsidRDefault="005E59C0" w:rsidP="005E59C0">
      <w:pPr>
        <w:pStyle w:val="NoSpacing"/>
      </w:pPr>
    </w:p>
    <w:p w:rsidR="005E59C0" w:rsidRPr="00C055A8" w:rsidRDefault="00C055A8" w:rsidP="005E59C0">
      <w:pPr>
        <w:pStyle w:val="NoSpacing"/>
        <w:rPr>
          <w:b/>
          <w:bCs/>
          <w:lang w:eastAsia="en-GB"/>
        </w:rPr>
      </w:pPr>
      <w:r w:rsidRPr="00C055A8">
        <w:rPr>
          <w:b/>
          <w:bCs/>
          <w:lang w:eastAsia="en-GB"/>
        </w:rPr>
        <w:t>1.</w:t>
      </w:r>
      <w:r w:rsidRPr="00C055A8">
        <w:rPr>
          <w:b/>
          <w:bCs/>
          <w:lang w:eastAsia="en-GB"/>
        </w:rPr>
        <w:tab/>
      </w:r>
      <w:r w:rsidR="000F167A" w:rsidRPr="00C055A8">
        <w:rPr>
          <w:b/>
          <w:bCs/>
          <w:lang w:eastAsia="en-GB"/>
        </w:rPr>
        <w:t>Assessing Whether There Is Evidence That Academic Malpractice Has Taken Place</w:t>
      </w:r>
    </w:p>
    <w:p w:rsidR="00C055A8" w:rsidRPr="00C055A8" w:rsidRDefault="00C055A8" w:rsidP="005E59C0">
      <w:pPr>
        <w:pStyle w:val="NoSpacing"/>
        <w:rPr>
          <w:b/>
          <w:bCs/>
          <w:lang w:eastAsia="en-GB"/>
        </w:rPr>
      </w:pPr>
    </w:p>
    <w:p w:rsidR="000F167A" w:rsidRPr="00C055A8" w:rsidRDefault="00C055A8" w:rsidP="00B009EF">
      <w:pPr>
        <w:pStyle w:val="NoSpacing"/>
        <w:rPr>
          <w:lang w:eastAsia="en-GB"/>
        </w:rPr>
      </w:pPr>
      <w:r w:rsidRPr="00C055A8">
        <w:rPr>
          <w:lang w:eastAsia="en-GB"/>
        </w:rPr>
        <w:t>1.1</w:t>
      </w:r>
      <w:r w:rsidRPr="00C055A8">
        <w:rPr>
          <w:lang w:eastAsia="en-GB"/>
        </w:rPr>
        <w:tab/>
      </w:r>
      <w:r w:rsidR="000F167A" w:rsidRPr="00C055A8">
        <w:rPr>
          <w:lang w:eastAsia="en-GB"/>
        </w:rPr>
        <w:t xml:space="preserve">All suspected cases of academic malpractice should be marked up by an academic member of staff or tutor to show the location and extent of relevant passages, and their possible original sources or other indicators of academic malpractice, and referred in the first instance to a designated </w:t>
      </w:r>
      <w:r w:rsidR="00B009EF">
        <w:rPr>
          <w:lang w:eastAsia="en-GB"/>
        </w:rPr>
        <w:t xml:space="preserve">academic member of staff </w:t>
      </w:r>
      <w:r w:rsidR="000F167A" w:rsidRPr="00C055A8">
        <w:rPr>
          <w:lang w:eastAsia="en-GB"/>
        </w:rPr>
        <w:t>(the</w:t>
      </w:r>
      <w:r w:rsidR="00DF1847">
        <w:rPr>
          <w:lang w:eastAsia="en-GB"/>
        </w:rPr>
        <w:t xml:space="preserve"> School</w:t>
      </w:r>
      <w:r w:rsidR="000F167A" w:rsidRPr="00C055A8">
        <w:rPr>
          <w:lang w:eastAsia="en-GB"/>
        </w:rPr>
        <w:t xml:space="preserve"> </w:t>
      </w:r>
      <w:r w:rsidR="00DF1847">
        <w:rPr>
          <w:lang w:eastAsia="en-GB"/>
        </w:rPr>
        <w:t>O</w:t>
      </w:r>
      <w:r w:rsidR="000F167A" w:rsidRPr="00C055A8">
        <w:rPr>
          <w:lang w:eastAsia="en-GB"/>
        </w:rPr>
        <w:t>fficer) in the School.</w:t>
      </w:r>
    </w:p>
    <w:p w:rsidR="00822478" w:rsidRPr="00C055A8" w:rsidRDefault="00822478" w:rsidP="005E59C0">
      <w:pPr>
        <w:pStyle w:val="NoSpacing"/>
        <w:rPr>
          <w:lang w:eastAsia="en-GB"/>
        </w:rPr>
      </w:pPr>
    </w:p>
    <w:p w:rsidR="000F167A" w:rsidRPr="00C055A8" w:rsidRDefault="00C055A8" w:rsidP="005E59C0">
      <w:pPr>
        <w:pStyle w:val="NoSpacing"/>
        <w:rPr>
          <w:lang w:eastAsia="en-GB"/>
        </w:rPr>
      </w:pPr>
      <w:r w:rsidRPr="00C055A8">
        <w:rPr>
          <w:lang w:eastAsia="en-GB"/>
        </w:rPr>
        <w:t>1.2</w:t>
      </w:r>
      <w:r w:rsidRPr="00C055A8">
        <w:rPr>
          <w:lang w:eastAsia="en-GB"/>
        </w:rPr>
        <w:tab/>
      </w:r>
      <w:r w:rsidR="000F167A" w:rsidRPr="00C055A8">
        <w:rPr>
          <w:lang w:eastAsia="en-GB"/>
        </w:rPr>
        <w:t>The School Officer will assess whether or not the evidence sug</w:t>
      </w:r>
      <w:r w:rsidR="005E59C0" w:rsidRPr="00C055A8">
        <w:rPr>
          <w:lang w:eastAsia="en-GB"/>
        </w:rPr>
        <w:t>gests that academic malpractice</w:t>
      </w:r>
      <w:r w:rsidR="000F167A" w:rsidRPr="00C055A8">
        <w:rPr>
          <w:lang w:eastAsia="en-GB"/>
        </w:rPr>
        <w:t xml:space="preserve"> may have been committed. </w:t>
      </w:r>
    </w:p>
    <w:p w:rsidR="00822478" w:rsidRPr="00C055A8" w:rsidRDefault="00822478" w:rsidP="005E59C0">
      <w:pPr>
        <w:pStyle w:val="NoSpacing"/>
        <w:rPr>
          <w:lang w:eastAsia="en-GB"/>
        </w:rPr>
      </w:pPr>
    </w:p>
    <w:p w:rsidR="000F167A" w:rsidRPr="00C055A8" w:rsidRDefault="00C055A8" w:rsidP="005E59C0">
      <w:pPr>
        <w:pStyle w:val="NoSpacing"/>
        <w:rPr>
          <w:lang w:eastAsia="en-GB"/>
        </w:rPr>
      </w:pPr>
      <w:r w:rsidRPr="00C055A8">
        <w:rPr>
          <w:lang w:eastAsia="en-GB"/>
        </w:rPr>
        <w:t>1.3</w:t>
      </w:r>
      <w:r w:rsidRPr="00C055A8">
        <w:rPr>
          <w:lang w:eastAsia="en-GB"/>
        </w:rPr>
        <w:tab/>
      </w:r>
      <w:r w:rsidR="000F167A" w:rsidRPr="00C055A8">
        <w:rPr>
          <w:lang w:eastAsia="en-GB"/>
        </w:rPr>
        <w:t>If the School Officer judges that the case does not constitute academic malpractice but rather poor academic practice, the matter will be referred back to the tutor or supervisor responsible for the piece of work in question, with appropriate advice as to how to proceed [e.g. advice may include – poor referencing = poor piece of work, mark accordingly, etc.].  In such instances, it is essential that the student is given appropriate feedback and guidance.</w:t>
      </w:r>
    </w:p>
    <w:p w:rsidR="005E59C0" w:rsidRPr="00C055A8" w:rsidRDefault="005E59C0" w:rsidP="005E59C0">
      <w:pPr>
        <w:pStyle w:val="NoSpacing"/>
        <w:rPr>
          <w:lang w:eastAsia="en-GB"/>
        </w:rPr>
      </w:pPr>
    </w:p>
    <w:p w:rsidR="00822478" w:rsidRPr="00C055A8" w:rsidRDefault="00C055A8" w:rsidP="00DF1847">
      <w:pPr>
        <w:pStyle w:val="NoSpacing"/>
      </w:pPr>
      <w:r w:rsidRPr="00C055A8">
        <w:t>1.4</w:t>
      </w:r>
      <w:r w:rsidRPr="00C055A8">
        <w:tab/>
      </w:r>
      <w:r w:rsidR="00822478" w:rsidRPr="00C055A8">
        <w:t xml:space="preserve">In assessing whether there is evidence of malpractice academic staff may find </w:t>
      </w:r>
      <w:r w:rsidR="00DF1847">
        <w:t xml:space="preserve">useful </w:t>
      </w:r>
      <w:r w:rsidR="00822478" w:rsidRPr="00C055A8">
        <w:t>the Guidance for Teaching Staff document available via the link below</w:t>
      </w:r>
    </w:p>
    <w:p w:rsidR="005E59C0" w:rsidRPr="00C055A8" w:rsidRDefault="005E59C0" w:rsidP="005E59C0">
      <w:pPr>
        <w:pStyle w:val="NoSpacing"/>
      </w:pPr>
    </w:p>
    <w:p w:rsidR="00822478" w:rsidRPr="00C055A8" w:rsidRDefault="00994C25" w:rsidP="005E59C0">
      <w:pPr>
        <w:pStyle w:val="NoSpacing"/>
      </w:pPr>
      <w:hyperlink r:id="rId10" w:history="1">
        <w:r w:rsidR="00822478" w:rsidRPr="00C055A8">
          <w:rPr>
            <w:rStyle w:val="Hyperlink"/>
          </w:rPr>
          <w:t>http://documents.manchester.ac.uk/DocuInfo.aspx?DocID=2869</w:t>
        </w:r>
      </w:hyperlink>
      <w:r w:rsidR="00822478" w:rsidRPr="00C055A8">
        <w:t xml:space="preserve"> </w:t>
      </w:r>
    </w:p>
    <w:p w:rsidR="005E59C0" w:rsidRPr="00C055A8" w:rsidRDefault="005E59C0" w:rsidP="005E59C0">
      <w:pPr>
        <w:pStyle w:val="NoSpacing"/>
      </w:pPr>
    </w:p>
    <w:p w:rsidR="005E59C0" w:rsidRPr="00C055A8" w:rsidRDefault="00C055A8" w:rsidP="005E59C0">
      <w:pPr>
        <w:pStyle w:val="NoSpacing"/>
        <w:rPr>
          <w:b/>
          <w:bCs/>
        </w:rPr>
      </w:pPr>
      <w:r w:rsidRPr="00C055A8">
        <w:rPr>
          <w:b/>
          <w:bCs/>
        </w:rPr>
        <w:t>2.</w:t>
      </w:r>
      <w:r w:rsidRPr="00C055A8">
        <w:rPr>
          <w:b/>
          <w:bCs/>
        </w:rPr>
        <w:tab/>
      </w:r>
      <w:r w:rsidR="005E59C0" w:rsidRPr="00C055A8">
        <w:rPr>
          <w:b/>
          <w:bCs/>
        </w:rPr>
        <w:t>Cases to be referred to Faculty</w:t>
      </w:r>
    </w:p>
    <w:p w:rsidR="00C055A8" w:rsidRPr="00C055A8" w:rsidRDefault="00C055A8" w:rsidP="005E59C0">
      <w:pPr>
        <w:pStyle w:val="NoSpacing"/>
        <w:rPr>
          <w:b/>
          <w:bCs/>
        </w:rPr>
      </w:pPr>
    </w:p>
    <w:p w:rsidR="005E59C0" w:rsidRPr="00C055A8" w:rsidRDefault="005E59C0" w:rsidP="005E59C0">
      <w:pPr>
        <w:pStyle w:val="NoSpacing"/>
      </w:pPr>
      <w:r w:rsidRPr="00C055A8">
        <w:t>UG programmes Levels 1, 2 and CPD – Subsequent offence</w:t>
      </w:r>
    </w:p>
    <w:p w:rsidR="005E59C0" w:rsidRPr="00C055A8" w:rsidRDefault="005E59C0" w:rsidP="005E59C0">
      <w:pPr>
        <w:pStyle w:val="NoSpacing"/>
      </w:pPr>
      <w:r w:rsidRPr="00C055A8">
        <w:t>UG programmes Level 3 and above – First offence</w:t>
      </w:r>
    </w:p>
    <w:p w:rsidR="005E59C0" w:rsidRPr="00C055A8" w:rsidRDefault="005E59C0" w:rsidP="005E59C0">
      <w:pPr>
        <w:pStyle w:val="NoSpacing"/>
      </w:pPr>
      <w:r w:rsidRPr="00C055A8">
        <w:t>PGT programmes taught element – Subsequent offence</w:t>
      </w:r>
    </w:p>
    <w:p w:rsidR="005E59C0" w:rsidRPr="00C055A8" w:rsidRDefault="005E59C0" w:rsidP="005E59C0">
      <w:pPr>
        <w:pStyle w:val="NoSpacing"/>
      </w:pPr>
      <w:r w:rsidRPr="00C055A8">
        <w:t>PGT dissertation element – First offence</w:t>
      </w:r>
    </w:p>
    <w:p w:rsidR="005E59C0" w:rsidRPr="00C055A8" w:rsidRDefault="005E59C0" w:rsidP="005E59C0">
      <w:pPr>
        <w:pStyle w:val="NoSpacing"/>
      </w:pPr>
    </w:p>
    <w:p w:rsidR="005E59C0" w:rsidRPr="00C055A8" w:rsidRDefault="00C055A8" w:rsidP="00116F1B">
      <w:pPr>
        <w:pStyle w:val="NoSpacing"/>
        <w:rPr>
          <w:b/>
          <w:bCs/>
        </w:rPr>
      </w:pPr>
      <w:r w:rsidRPr="00C055A8">
        <w:rPr>
          <w:b/>
          <w:bCs/>
        </w:rPr>
        <w:t>3.</w:t>
      </w:r>
      <w:r w:rsidRPr="00C055A8">
        <w:rPr>
          <w:b/>
          <w:bCs/>
        </w:rPr>
        <w:tab/>
      </w:r>
      <w:r w:rsidR="00C9084E" w:rsidRPr="00C055A8">
        <w:rPr>
          <w:b/>
          <w:bCs/>
        </w:rPr>
        <w:t xml:space="preserve">Completion of the Information </w:t>
      </w:r>
      <w:r w:rsidR="00116F1B" w:rsidRPr="00C055A8">
        <w:rPr>
          <w:b/>
          <w:bCs/>
        </w:rPr>
        <w:t>for Academic Malpractice Hearings Form</w:t>
      </w:r>
      <w:r w:rsidR="00C9084E" w:rsidRPr="00C055A8">
        <w:rPr>
          <w:b/>
          <w:bCs/>
        </w:rPr>
        <w:t xml:space="preserve"> and </w:t>
      </w:r>
      <w:r w:rsidR="00822478" w:rsidRPr="00C055A8">
        <w:rPr>
          <w:b/>
          <w:bCs/>
        </w:rPr>
        <w:t>Presentation</w:t>
      </w:r>
      <w:r w:rsidR="005C6BC6" w:rsidRPr="00C055A8">
        <w:rPr>
          <w:b/>
          <w:bCs/>
        </w:rPr>
        <w:t xml:space="preserve"> of Documentation</w:t>
      </w:r>
    </w:p>
    <w:p w:rsidR="00C055A8" w:rsidRPr="00C055A8" w:rsidRDefault="00C055A8" w:rsidP="00116F1B">
      <w:pPr>
        <w:pStyle w:val="NoSpacing"/>
        <w:rPr>
          <w:b/>
          <w:bCs/>
        </w:rPr>
      </w:pPr>
    </w:p>
    <w:p w:rsidR="00590A58" w:rsidRPr="00C055A8" w:rsidRDefault="00C055A8" w:rsidP="00C055A8">
      <w:pPr>
        <w:pStyle w:val="NoSpacing"/>
      </w:pPr>
      <w:r w:rsidRPr="00C055A8">
        <w:t>3.1</w:t>
      </w:r>
      <w:r w:rsidRPr="00C055A8">
        <w:tab/>
      </w:r>
      <w:r w:rsidR="00590A58" w:rsidRPr="00C055A8">
        <w:t>Please compl</w:t>
      </w:r>
      <w:r w:rsidR="00116F1B" w:rsidRPr="00C055A8">
        <w:t xml:space="preserve">ete all sections of the </w:t>
      </w:r>
      <w:r w:rsidRPr="00C055A8">
        <w:t>‘Information for Faculty Hearing Form’</w:t>
      </w:r>
      <w:r w:rsidR="00590A58" w:rsidRPr="00C055A8">
        <w:t xml:space="preserve">. Incomplete forms will be returned </w:t>
      </w:r>
      <w:r w:rsidRPr="00C055A8">
        <w:t xml:space="preserve">to the School </w:t>
      </w:r>
      <w:r w:rsidR="00590A58" w:rsidRPr="00C055A8">
        <w:t xml:space="preserve">which </w:t>
      </w:r>
      <w:r w:rsidR="005E59C0" w:rsidRPr="00C055A8">
        <w:t xml:space="preserve">will </w:t>
      </w:r>
      <w:r w:rsidR="00590A58" w:rsidRPr="00C055A8">
        <w:t>result in delays in cases being heard.</w:t>
      </w:r>
    </w:p>
    <w:p w:rsidR="005E59C0" w:rsidRPr="00C055A8" w:rsidRDefault="005E59C0" w:rsidP="005E59C0">
      <w:pPr>
        <w:pStyle w:val="NoSpacing"/>
      </w:pPr>
    </w:p>
    <w:p w:rsidR="00C9084E" w:rsidRPr="00C055A8" w:rsidRDefault="00C055A8" w:rsidP="005E59C0">
      <w:pPr>
        <w:pStyle w:val="NoSpacing"/>
      </w:pPr>
      <w:r w:rsidRPr="00C055A8">
        <w:t>3.2</w:t>
      </w:r>
      <w:r w:rsidRPr="00C055A8">
        <w:tab/>
      </w:r>
      <w:r w:rsidR="00C9084E" w:rsidRPr="00C055A8">
        <w:rPr>
          <w:u w:val="single"/>
        </w:rPr>
        <w:t xml:space="preserve">Section </w:t>
      </w:r>
      <w:proofErr w:type="gramStart"/>
      <w:r w:rsidR="00C9084E" w:rsidRPr="00C055A8">
        <w:rPr>
          <w:u w:val="single"/>
        </w:rPr>
        <w:t>A</w:t>
      </w:r>
      <w:proofErr w:type="gramEnd"/>
      <w:r w:rsidR="00C9084E" w:rsidRPr="00C055A8">
        <w:rPr>
          <w:u w:val="single"/>
        </w:rPr>
        <w:t xml:space="preserve"> – Student Details</w:t>
      </w:r>
    </w:p>
    <w:p w:rsidR="00C9084E" w:rsidRPr="00C055A8" w:rsidRDefault="00C9084E" w:rsidP="005E59C0">
      <w:pPr>
        <w:pStyle w:val="NoSpacing"/>
      </w:pPr>
      <w:r w:rsidRPr="00C055A8">
        <w:t>Please provide the most up to date contact details for the student concerned, including both a home and term time address.</w:t>
      </w:r>
    </w:p>
    <w:p w:rsidR="005E59C0" w:rsidRPr="00C055A8" w:rsidRDefault="005E59C0" w:rsidP="005E59C0">
      <w:pPr>
        <w:pStyle w:val="NoSpacing"/>
      </w:pPr>
    </w:p>
    <w:p w:rsidR="00C9084E" w:rsidRPr="00C055A8" w:rsidRDefault="00C055A8" w:rsidP="005E59C0">
      <w:pPr>
        <w:pStyle w:val="NoSpacing"/>
      </w:pPr>
      <w:r w:rsidRPr="00C055A8">
        <w:t>3.3</w:t>
      </w:r>
      <w:r w:rsidRPr="00C055A8">
        <w:tab/>
      </w:r>
      <w:r w:rsidR="00C9084E" w:rsidRPr="00C055A8">
        <w:rPr>
          <w:u w:val="single"/>
        </w:rPr>
        <w:t xml:space="preserve">Section B – </w:t>
      </w:r>
      <w:proofErr w:type="gramStart"/>
      <w:r w:rsidR="00C9084E" w:rsidRPr="00C055A8">
        <w:rPr>
          <w:u w:val="single"/>
        </w:rPr>
        <w:t>Programme  /</w:t>
      </w:r>
      <w:proofErr w:type="gramEnd"/>
      <w:r w:rsidR="00C9084E" w:rsidRPr="00C055A8">
        <w:rPr>
          <w:u w:val="single"/>
        </w:rPr>
        <w:t xml:space="preserve"> Course Unit Details</w:t>
      </w:r>
    </w:p>
    <w:p w:rsidR="00C9084E" w:rsidRPr="00C055A8" w:rsidRDefault="00C9084E" w:rsidP="005E59C0">
      <w:pPr>
        <w:pStyle w:val="NoSpacing"/>
      </w:pPr>
      <w:r w:rsidRPr="00C055A8">
        <w:t>The procedures governing malpractice cases require panels to apply a proportionate penalty, i</w:t>
      </w:r>
      <w:r w:rsidR="006A3C9B">
        <w:t>.</w:t>
      </w:r>
      <w:r w:rsidRPr="00C055A8">
        <w:t>e</w:t>
      </w:r>
      <w:r w:rsidR="006A3C9B">
        <w:t>.</w:t>
      </w:r>
      <w:r w:rsidRPr="00C055A8">
        <w:t xml:space="preserve"> one that is not disproportionate to the offence. Therefore it is essential that panels are aware of the weighting of the assignment in contention and the credit rating of the course unit. Panels will take this into account when deciding a penalty.</w:t>
      </w:r>
    </w:p>
    <w:p w:rsidR="005E59C0" w:rsidRPr="00C055A8" w:rsidRDefault="005E59C0" w:rsidP="005E59C0">
      <w:pPr>
        <w:pStyle w:val="NoSpacing"/>
      </w:pPr>
    </w:p>
    <w:p w:rsidR="006A3C9B" w:rsidRDefault="006A3C9B" w:rsidP="005E59C0">
      <w:pPr>
        <w:pStyle w:val="NoSpacing"/>
      </w:pPr>
    </w:p>
    <w:p w:rsidR="00590A58" w:rsidRDefault="00C055A8" w:rsidP="005E59C0">
      <w:pPr>
        <w:pStyle w:val="NoSpacing"/>
        <w:rPr>
          <w:u w:val="single"/>
        </w:rPr>
      </w:pPr>
      <w:r w:rsidRPr="00C055A8">
        <w:lastRenderedPageBreak/>
        <w:t>3.4</w:t>
      </w:r>
      <w:r w:rsidRPr="00C055A8">
        <w:tab/>
      </w:r>
      <w:r w:rsidR="00590A58" w:rsidRPr="00C055A8">
        <w:rPr>
          <w:u w:val="single"/>
        </w:rPr>
        <w:t>Section C – Details of Alleged Malpractice</w:t>
      </w:r>
    </w:p>
    <w:p w:rsidR="00821A19" w:rsidRDefault="00821A19" w:rsidP="00821A19">
      <w:pPr>
        <w:pStyle w:val="NoSpacing"/>
        <w:rPr>
          <w:rFonts w:asciiTheme="minorHAnsi" w:eastAsiaTheme="minorEastAsia" w:hAnsiTheme="minorHAnsi" w:cstheme="minorBidi"/>
        </w:rPr>
      </w:pPr>
    </w:p>
    <w:p w:rsidR="00821A19" w:rsidRPr="006A3C9B" w:rsidRDefault="00821A19" w:rsidP="00821A19">
      <w:pPr>
        <w:pStyle w:val="NoSpacing"/>
        <w:rPr>
          <w:rFonts w:asciiTheme="minorHAnsi" w:eastAsiaTheme="minorEastAsia" w:hAnsiTheme="minorHAnsi" w:cstheme="minorBidi"/>
        </w:rPr>
      </w:pPr>
      <w:r w:rsidRPr="006A3C9B">
        <w:rPr>
          <w:rFonts w:asciiTheme="minorHAnsi" w:eastAsiaTheme="minorEastAsia" w:hAnsiTheme="minorHAnsi" w:cstheme="minorBidi"/>
        </w:rPr>
        <w:t xml:space="preserve">Full details should be provided of the nature and extent of the suspected malpractice and how it is thought to have occurred, e.g. copied from another student, copied from already published work, downloaded from the internet. </w:t>
      </w:r>
    </w:p>
    <w:p w:rsidR="00821A19" w:rsidRPr="006A3C9B" w:rsidRDefault="00821A19" w:rsidP="00821A19">
      <w:pPr>
        <w:pStyle w:val="NoSpacing"/>
        <w:rPr>
          <w:rFonts w:asciiTheme="minorHAnsi" w:eastAsiaTheme="minorEastAsia" w:hAnsiTheme="minorHAnsi" w:cstheme="minorBidi"/>
        </w:rPr>
      </w:pPr>
    </w:p>
    <w:p w:rsidR="00821A19" w:rsidRPr="006A3C9B" w:rsidRDefault="00821A19" w:rsidP="00821A19">
      <w:pPr>
        <w:pStyle w:val="NoSpacing"/>
        <w:rPr>
          <w:rFonts w:asciiTheme="minorHAnsi" w:eastAsiaTheme="minorEastAsia" w:hAnsiTheme="minorHAnsi" w:cstheme="minorBidi"/>
        </w:rPr>
      </w:pPr>
      <w:r w:rsidRPr="006A3C9B">
        <w:rPr>
          <w:rFonts w:asciiTheme="minorHAnsi" w:eastAsiaTheme="minorEastAsia" w:hAnsiTheme="minorHAnsi" w:cstheme="minorBidi"/>
        </w:rPr>
        <w:t xml:space="preserve">3.5        Under “Proportion of assessment subject to malpractice” please provide a figure to indicate how much of the piece of work appears to have been copied. This can be most easily obtained from the Similarity Index on the </w:t>
      </w:r>
      <w:proofErr w:type="spellStart"/>
      <w:r w:rsidRPr="006A3C9B">
        <w:rPr>
          <w:rFonts w:asciiTheme="minorHAnsi" w:eastAsiaTheme="minorEastAsia" w:hAnsiTheme="minorHAnsi" w:cstheme="minorBidi"/>
        </w:rPr>
        <w:t>Turnitin</w:t>
      </w:r>
      <w:proofErr w:type="spellEnd"/>
      <w:r w:rsidRPr="006A3C9B">
        <w:rPr>
          <w:rFonts w:asciiTheme="minorHAnsi" w:eastAsiaTheme="minorEastAsia" w:hAnsiTheme="minorHAnsi" w:cstheme="minorBidi"/>
        </w:rPr>
        <w:t xml:space="preserve"> Report.</w:t>
      </w:r>
    </w:p>
    <w:p w:rsidR="00821A19" w:rsidRDefault="00821A19" w:rsidP="005E59C0">
      <w:pPr>
        <w:pStyle w:val="NoSpacing"/>
        <w:rPr>
          <w:rFonts w:asciiTheme="minorHAnsi" w:eastAsiaTheme="minorEastAsia" w:hAnsiTheme="minorHAnsi" w:cstheme="minorBidi"/>
        </w:rPr>
      </w:pPr>
    </w:p>
    <w:p w:rsidR="00821A19" w:rsidRPr="00C055A8" w:rsidRDefault="00821A19" w:rsidP="005E59C0">
      <w:pPr>
        <w:pStyle w:val="NoSpacing"/>
      </w:pPr>
      <w:r w:rsidRPr="006A3C9B">
        <w:rPr>
          <w:rFonts w:asciiTheme="minorHAnsi" w:eastAsiaTheme="minorEastAsia" w:hAnsiTheme="minorHAnsi" w:cstheme="minorBidi"/>
        </w:rPr>
        <w:t xml:space="preserve">3.6          </w:t>
      </w:r>
      <w:r w:rsidRPr="006A3C9B">
        <w:rPr>
          <w:rFonts w:asciiTheme="minorHAnsi" w:eastAsiaTheme="minorEastAsia" w:hAnsiTheme="minorHAnsi" w:cstheme="minorBidi"/>
          <w:u w:val="single"/>
        </w:rPr>
        <w:t>Section D – School Details</w:t>
      </w:r>
    </w:p>
    <w:p w:rsidR="00A47673" w:rsidRPr="00C055A8" w:rsidRDefault="00A47673" w:rsidP="005E59C0">
      <w:pPr>
        <w:pStyle w:val="NoSpacing"/>
      </w:pPr>
    </w:p>
    <w:p w:rsidR="00C055A8" w:rsidRPr="00C055A8" w:rsidRDefault="00C055A8" w:rsidP="00C055A8">
      <w:pPr>
        <w:pStyle w:val="NoSpacing"/>
      </w:pPr>
      <w:r w:rsidRPr="00C055A8">
        <w:rPr>
          <w:i/>
          <w:iCs/>
        </w:rPr>
        <w:t>Referring Academic</w:t>
      </w:r>
      <w:r w:rsidRPr="00C055A8">
        <w:t xml:space="preserve"> – Normally the marker who identified the alleged malpractice</w:t>
      </w:r>
    </w:p>
    <w:p w:rsidR="00C055A8" w:rsidRPr="00C055A8" w:rsidRDefault="00C055A8" w:rsidP="00C055A8">
      <w:pPr>
        <w:pStyle w:val="NoSpacing"/>
      </w:pPr>
      <w:r w:rsidRPr="00C055A8">
        <w:rPr>
          <w:i/>
          <w:iCs/>
        </w:rPr>
        <w:t>Administrator</w:t>
      </w:r>
      <w:r w:rsidRPr="00C055A8">
        <w:t xml:space="preserve"> – The School Administrative Officer the Faculty should contact with any queries about the case and communicate the final decision to</w:t>
      </w:r>
    </w:p>
    <w:p w:rsidR="00C055A8" w:rsidRPr="00C055A8" w:rsidRDefault="00C055A8" w:rsidP="00C055A8">
      <w:pPr>
        <w:pStyle w:val="NoSpacing"/>
      </w:pPr>
      <w:r w:rsidRPr="00C055A8">
        <w:rPr>
          <w:i/>
          <w:iCs/>
        </w:rPr>
        <w:t>School Representative</w:t>
      </w:r>
      <w:r w:rsidRPr="00C055A8">
        <w:t xml:space="preserve"> – The academic member of staff who will be attending the hearing</w:t>
      </w:r>
    </w:p>
    <w:p w:rsidR="00EE6224" w:rsidRPr="00C055A8" w:rsidRDefault="00EE6224" w:rsidP="00C055A8">
      <w:pPr>
        <w:pStyle w:val="NoSpacing"/>
        <w:rPr>
          <w:u w:val="single"/>
        </w:rPr>
      </w:pPr>
    </w:p>
    <w:p w:rsidR="00A47673" w:rsidRPr="00C055A8" w:rsidRDefault="00C055A8" w:rsidP="00C055A8">
      <w:pPr>
        <w:pStyle w:val="NoSpacing"/>
      </w:pPr>
      <w:r w:rsidRPr="00C055A8">
        <w:t>3.7</w:t>
      </w:r>
      <w:r w:rsidRPr="00C055A8">
        <w:tab/>
      </w:r>
      <w:r w:rsidR="00A47673" w:rsidRPr="00C055A8">
        <w:rPr>
          <w:u w:val="single"/>
        </w:rPr>
        <w:t>Sections E, F and G Cover the Presentation of Documentation</w:t>
      </w:r>
    </w:p>
    <w:p w:rsidR="00B46380" w:rsidRPr="00C055A8" w:rsidRDefault="00A47673" w:rsidP="005E59C0">
      <w:pPr>
        <w:pStyle w:val="NoSpacing"/>
      </w:pPr>
      <w:r w:rsidRPr="00C055A8">
        <w:t xml:space="preserve">The </w:t>
      </w:r>
      <w:proofErr w:type="spellStart"/>
      <w:r w:rsidRPr="00C055A8">
        <w:t>Turnitin</w:t>
      </w:r>
      <w:proofErr w:type="spellEnd"/>
      <w:r w:rsidRPr="00C055A8">
        <w:t xml:space="preserve"> Report alone is not sufficient evidence for the panel to consider.</w:t>
      </w:r>
      <w:r w:rsidR="00B46380" w:rsidRPr="00C055A8">
        <w:t xml:space="preserve"> The major sources must also be provided. These should be clearly labelled as Sources 1 – X and cross-referenced to the student’s assignment. </w:t>
      </w:r>
    </w:p>
    <w:p w:rsidR="005E59C0" w:rsidRPr="00C055A8" w:rsidRDefault="005E59C0" w:rsidP="005E59C0">
      <w:pPr>
        <w:pStyle w:val="NoSpacing"/>
      </w:pPr>
    </w:p>
    <w:p w:rsidR="00B46380" w:rsidRPr="00C055A8" w:rsidRDefault="00B46380" w:rsidP="005E59C0">
      <w:pPr>
        <w:pStyle w:val="NoSpacing"/>
      </w:pPr>
      <w:r w:rsidRPr="00C055A8">
        <w:t xml:space="preserve">Whilst the </w:t>
      </w:r>
      <w:proofErr w:type="spellStart"/>
      <w:r w:rsidRPr="00C055A8">
        <w:t>Turnitin</w:t>
      </w:r>
      <w:proofErr w:type="spellEnd"/>
      <w:r w:rsidRPr="00C055A8">
        <w:t xml:space="preserve"> Report gives a broad overview of the similarities an assignment might have to a number of sources, it does not give the </w:t>
      </w:r>
      <w:r w:rsidR="005E59C0" w:rsidRPr="00C055A8">
        <w:t xml:space="preserve">required </w:t>
      </w:r>
      <w:r w:rsidRPr="00C055A8">
        <w:t>cross referencing to individual sources. In considering allegations of malpractice panels have to see the original source material, clearly underlined and cross referenced to the student assignment.</w:t>
      </w:r>
    </w:p>
    <w:p w:rsidR="005E59C0" w:rsidRPr="00C055A8" w:rsidRDefault="005E59C0" w:rsidP="005E59C0">
      <w:pPr>
        <w:pStyle w:val="NoSpacing"/>
      </w:pPr>
    </w:p>
    <w:p w:rsidR="00A47673" w:rsidRPr="00C055A8" w:rsidRDefault="00B46380" w:rsidP="005E59C0">
      <w:pPr>
        <w:pStyle w:val="NoSpacing"/>
      </w:pPr>
      <w:r w:rsidRPr="00C055A8">
        <w:t xml:space="preserve">The cross referencing has to be completed by the referring academic as this is where the allegation originates from. A physical mark up of the documentation is required so the exact nature of the allegation can be understood (e.g. lack of quotation marks, inaccurate </w:t>
      </w:r>
      <w:proofErr w:type="gramStart"/>
      <w:r w:rsidRPr="00C055A8">
        <w:t>citations )</w:t>
      </w:r>
      <w:proofErr w:type="gramEnd"/>
      <w:r w:rsidRPr="00C055A8">
        <w:t>. P</w:t>
      </w:r>
      <w:r w:rsidR="005E59C0" w:rsidRPr="00C055A8">
        <w:t>anels need to be able to see at-a-</w:t>
      </w:r>
      <w:r w:rsidRPr="00C055A8">
        <w:t xml:space="preserve">glance what the problem with the assignment is - a link to an unmarked original source via </w:t>
      </w:r>
      <w:proofErr w:type="spellStart"/>
      <w:r w:rsidRPr="00C055A8">
        <w:t>Turnitin</w:t>
      </w:r>
      <w:proofErr w:type="spellEnd"/>
      <w:r w:rsidRPr="00C055A8">
        <w:t xml:space="preserve"> does not provide this.</w:t>
      </w:r>
    </w:p>
    <w:p w:rsidR="005C6BC6" w:rsidRPr="00C055A8" w:rsidRDefault="005C6BC6" w:rsidP="005E59C0">
      <w:pPr>
        <w:pStyle w:val="NoSpacing"/>
      </w:pPr>
    </w:p>
    <w:p w:rsidR="005C6BC6" w:rsidRPr="00C055A8" w:rsidRDefault="005C6BC6" w:rsidP="005E59C0">
      <w:pPr>
        <w:pStyle w:val="NoSpacing"/>
      </w:pPr>
      <w:r w:rsidRPr="00C055A8">
        <w:t>All documentation must be provided in black and white, with relevant sections underlined (not highlighted). Documentation is run through a black and white photocopier and will not pick up colour highlighting.</w:t>
      </w:r>
    </w:p>
    <w:p w:rsidR="005C6BC6" w:rsidRPr="00C055A8" w:rsidRDefault="005C6BC6" w:rsidP="005E59C0">
      <w:pPr>
        <w:pStyle w:val="NoSpacing"/>
      </w:pPr>
    </w:p>
    <w:p w:rsidR="005C6BC6" w:rsidRPr="00C055A8" w:rsidRDefault="005C6BC6" w:rsidP="005E59C0">
      <w:pPr>
        <w:pStyle w:val="NoSpacing"/>
      </w:pPr>
      <w:r w:rsidRPr="00C055A8">
        <w:t>Please refer to the checklist in Section F to ensure the correct documentation is submitted.</w:t>
      </w:r>
    </w:p>
    <w:p w:rsidR="00822478" w:rsidRPr="00C055A8" w:rsidRDefault="00822478" w:rsidP="005E59C0">
      <w:pPr>
        <w:pStyle w:val="NoSpacing"/>
      </w:pPr>
    </w:p>
    <w:p w:rsidR="00F8519D" w:rsidRPr="00C055A8" w:rsidRDefault="006A3C9B" w:rsidP="005E59C0">
      <w:pPr>
        <w:pStyle w:val="NoSpacing"/>
        <w:rPr>
          <w:b/>
          <w:bCs/>
        </w:rPr>
      </w:pPr>
      <w:r>
        <w:rPr>
          <w:b/>
          <w:bCs/>
        </w:rPr>
        <w:t>4</w:t>
      </w:r>
      <w:r w:rsidR="00C055A8" w:rsidRPr="00C055A8">
        <w:rPr>
          <w:b/>
          <w:bCs/>
        </w:rPr>
        <w:t>.</w:t>
      </w:r>
      <w:r w:rsidR="00C055A8" w:rsidRPr="00C055A8">
        <w:rPr>
          <w:b/>
          <w:bCs/>
        </w:rPr>
        <w:tab/>
      </w:r>
      <w:r w:rsidR="00F8519D" w:rsidRPr="00C055A8">
        <w:rPr>
          <w:b/>
          <w:bCs/>
        </w:rPr>
        <w:t>Role of the School Representative at Faculty Malpractice Hearings</w:t>
      </w:r>
    </w:p>
    <w:p w:rsidR="00C055A8" w:rsidRPr="00C055A8" w:rsidRDefault="00C055A8" w:rsidP="005E59C0">
      <w:pPr>
        <w:pStyle w:val="NoSpacing"/>
        <w:rPr>
          <w:b/>
          <w:bCs/>
        </w:rPr>
      </w:pPr>
    </w:p>
    <w:p w:rsidR="00F8519D" w:rsidRPr="00C055A8" w:rsidRDefault="006A3C9B" w:rsidP="005E59C0">
      <w:pPr>
        <w:pStyle w:val="NoSpacing"/>
      </w:pPr>
      <w:r>
        <w:rPr>
          <w:lang w:eastAsia="en-GB"/>
        </w:rPr>
        <w:t>4</w:t>
      </w:r>
      <w:r w:rsidR="00C055A8" w:rsidRPr="00C055A8">
        <w:rPr>
          <w:lang w:eastAsia="en-GB"/>
        </w:rPr>
        <w:t>.1</w:t>
      </w:r>
      <w:r w:rsidR="00C055A8" w:rsidRPr="00C055A8">
        <w:rPr>
          <w:lang w:eastAsia="en-GB"/>
        </w:rPr>
        <w:tab/>
      </w:r>
      <w:r w:rsidR="00F8519D" w:rsidRPr="00C055A8">
        <w:rPr>
          <w:lang w:eastAsia="en-GB"/>
        </w:rPr>
        <w:t>The School representative must be a member of academic staff with knowledge of the potential effect on the student’s academic progress/final degree result of any proposed penalty. The School Representative will be expected to:</w:t>
      </w:r>
    </w:p>
    <w:p w:rsidR="00F8519D" w:rsidRPr="00C055A8" w:rsidRDefault="00F8519D" w:rsidP="005E59C0">
      <w:pPr>
        <w:pStyle w:val="NoSpacing"/>
      </w:pPr>
    </w:p>
    <w:p w:rsidR="00F8519D" w:rsidRPr="00C055A8" w:rsidRDefault="00F8519D" w:rsidP="005E59C0">
      <w:pPr>
        <w:pStyle w:val="NoSpacing"/>
      </w:pPr>
      <w:r w:rsidRPr="00C055A8">
        <w:t>1.</w:t>
      </w:r>
      <w:r w:rsidRPr="00C055A8">
        <w:tab/>
        <w:t>Ensure familiarity with case documentation before the Panel hearing.</w:t>
      </w:r>
    </w:p>
    <w:p w:rsidR="00F8519D" w:rsidRPr="00C055A8" w:rsidRDefault="00F8519D" w:rsidP="005E59C0">
      <w:pPr>
        <w:pStyle w:val="NoSpacing"/>
      </w:pPr>
    </w:p>
    <w:p w:rsidR="00F8519D" w:rsidRPr="00C055A8" w:rsidRDefault="00F8519D" w:rsidP="005E59C0">
      <w:pPr>
        <w:pStyle w:val="NoSpacing"/>
      </w:pPr>
      <w:r w:rsidRPr="00C055A8">
        <w:t>2.</w:t>
      </w:r>
      <w:r w:rsidRPr="00C055A8">
        <w:tab/>
        <w:t>Have knowledge of the programme or subject area.</w:t>
      </w:r>
    </w:p>
    <w:p w:rsidR="00F8519D" w:rsidRPr="00C055A8" w:rsidRDefault="00F8519D" w:rsidP="005E59C0">
      <w:pPr>
        <w:pStyle w:val="NoSpacing"/>
      </w:pPr>
    </w:p>
    <w:p w:rsidR="00F8519D" w:rsidRPr="00C055A8" w:rsidRDefault="00F8519D" w:rsidP="005E59C0">
      <w:pPr>
        <w:pStyle w:val="NoSpacing"/>
        <w:ind w:left="720" w:hanging="720"/>
      </w:pPr>
      <w:r w:rsidRPr="00C055A8">
        <w:t>3.</w:t>
      </w:r>
      <w:r w:rsidRPr="00C055A8">
        <w:tab/>
        <w:t>Understand and be able to advise Panel on the effect any proposed penalty imposed would have on the student’s academic progress.</w:t>
      </w:r>
    </w:p>
    <w:p w:rsidR="00F8519D" w:rsidRPr="00C055A8" w:rsidRDefault="00F8519D" w:rsidP="005E59C0">
      <w:pPr>
        <w:pStyle w:val="NoSpacing"/>
      </w:pPr>
    </w:p>
    <w:p w:rsidR="00F8519D" w:rsidRPr="00C055A8" w:rsidRDefault="006A3C9B" w:rsidP="00656831">
      <w:pPr>
        <w:pStyle w:val="NoSpacing"/>
      </w:pPr>
      <w:r>
        <w:lastRenderedPageBreak/>
        <w:t>4</w:t>
      </w:r>
      <w:r w:rsidR="00C055A8" w:rsidRPr="00C055A8">
        <w:t>.2</w:t>
      </w:r>
      <w:r w:rsidR="00C055A8" w:rsidRPr="00C055A8">
        <w:tab/>
      </w:r>
      <w:r w:rsidR="00F8519D" w:rsidRPr="00C055A8">
        <w:t xml:space="preserve">In order to help the Panel decide on the most suitable penalty, and the impact potential penalties may have on the student’s progression, School Representatives will be asked to complete </w:t>
      </w:r>
      <w:r w:rsidR="00656831" w:rsidRPr="00C055A8">
        <w:t>a penalty</w:t>
      </w:r>
      <w:r w:rsidR="00F8519D" w:rsidRPr="00C055A8">
        <w:t xml:space="preserve"> </w:t>
      </w:r>
      <w:proofErr w:type="spellStart"/>
      <w:r w:rsidR="00F8519D" w:rsidRPr="00C055A8">
        <w:t>proforma</w:t>
      </w:r>
      <w:proofErr w:type="spellEnd"/>
      <w:r w:rsidR="00F8519D" w:rsidRPr="00C055A8">
        <w:t xml:space="preserve"> prior to the hearing. It is suggested that the School Representative completes</w:t>
      </w:r>
      <w:r w:rsidR="00937BC4" w:rsidRPr="00C055A8">
        <w:t xml:space="preserve"> the </w:t>
      </w:r>
      <w:proofErr w:type="spellStart"/>
      <w:r w:rsidR="00937BC4" w:rsidRPr="00C055A8">
        <w:t>proforma</w:t>
      </w:r>
      <w:proofErr w:type="spellEnd"/>
      <w:r w:rsidR="00937BC4" w:rsidRPr="00C055A8">
        <w:t xml:space="preserve"> in liaison with the </w:t>
      </w:r>
      <w:r w:rsidR="00F8519D" w:rsidRPr="00C055A8">
        <w:t xml:space="preserve">relevant School </w:t>
      </w:r>
      <w:r w:rsidR="00937BC4" w:rsidRPr="00C055A8">
        <w:t>Administrative Officer</w:t>
      </w:r>
      <w:r w:rsidR="00F8519D" w:rsidRPr="00C055A8">
        <w:t xml:space="preserve"> who will be able to advise accordingly.</w:t>
      </w:r>
    </w:p>
    <w:p w:rsidR="00F8519D" w:rsidRPr="00C055A8" w:rsidRDefault="00F8519D" w:rsidP="005E59C0">
      <w:pPr>
        <w:pStyle w:val="NoSpacing"/>
      </w:pPr>
    </w:p>
    <w:p w:rsidR="00F8519D" w:rsidRPr="00C055A8" w:rsidRDefault="006A3C9B" w:rsidP="005E59C0">
      <w:pPr>
        <w:pStyle w:val="NoSpacing"/>
      </w:pPr>
      <w:r>
        <w:t>4</w:t>
      </w:r>
      <w:r w:rsidR="00C055A8" w:rsidRPr="00C055A8">
        <w:t>.3</w:t>
      </w:r>
      <w:r w:rsidR="00C055A8" w:rsidRPr="00C055A8">
        <w:tab/>
      </w:r>
      <w:r w:rsidR="00F8519D" w:rsidRPr="00C055A8">
        <w:t>Nb. The School Representative is not normally the person who made the allegation of academic malpractice (i.e. the person who initially established that there appeared to be evidence of alleged malpractice).  If the person who made the allegation of academic malpractice is a member of the Panel they should not contribute to the penalty decision.</w:t>
      </w:r>
    </w:p>
    <w:p w:rsidR="00C055A8" w:rsidRPr="00C055A8" w:rsidRDefault="00C055A8" w:rsidP="005E59C0">
      <w:pPr>
        <w:pStyle w:val="NoSpacing"/>
      </w:pPr>
    </w:p>
    <w:p w:rsidR="00822478" w:rsidRPr="00C055A8" w:rsidRDefault="006A3C9B" w:rsidP="005E59C0">
      <w:pPr>
        <w:pStyle w:val="NoSpacing"/>
        <w:rPr>
          <w:b/>
          <w:bCs/>
        </w:rPr>
      </w:pPr>
      <w:r>
        <w:rPr>
          <w:b/>
          <w:bCs/>
        </w:rPr>
        <w:t>5</w:t>
      </w:r>
      <w:r w:rsidR="00C055A8" w:rsidRPr="00C055A8">
        <w:rPr>
          <w:b/>
          <w:bCs/>
        </w:rPr>
        <w:t>.</w:t>
      </w:r>
      <w:r w:rsidR="00C055A8" w:rsidRPr="00C055A8">
        <w:rPr>
          <w:b/>
          <w:bCs/>
        </w:rPr>
        <w:tab/>
      </w:r>
      <w:r w:rsidR="00822478" w:rsidRPr="00C055A8">
        <w:rPr>
          <w:b/>
          <w:bCs/>
        </w:rPr>
        <w:t>Actions to be taken following a panel decision (School Administrative Officer)</w:t>
      </w:r>
    </w:p>
    <w:p w:rsidR="00C055A8" w:rsidRPr="00C055A8" w:rsidRDefault="00C055A8" w:rsidP="005E59C0">
      <w:pPr>
        <w:pStyle w:val="NoSpacing"/>
        <w:rPr>
          <w:lang w:eastAsia="en-GB"/>
        </w:rPr>
      </w:pPr>
    </w:p>
    <w:p w:rsidR="00822478" w:rsidRPr="00C055A8" w:rsidRDefault="006A3C9B" w:rsidP="005E59C0">
      <w:pPr>
        <w:pStyle w:val="NoSpacing"/>
        <w:rPr>
          <w:lang w:eastAsia="en-GB"/>
        </w:rPr>
      </w:pPr>
      <w:r>
        <w:rPr>
          <w:lang w:eastAsia="en-GB"/>
        </w:rPr>
        <w:t>5</w:t>
      </w:r>
      <w:r w:rsidR="00C055A8" w:rsidRPr="00C055A8">
        <w:rPr>
          <w:lang w:eastAsia="en-GB"/>
        </w:rPr>
        <w:t>.1</w:t>
      </w:r>
      <w:r w:rsidR="00C055A8" w:rsidRPr="00C055A8">
        <w:rPr>
          <w:lang w:eastAsia="en-GB"/>
        </w:rPr>
        <w:tab/>
      </w:r>
      <w:r w:rsidR="00822478" w:rsidRPr="00C055A8">
        <w:rPr>
          <w:lang w:eastAsia="en-GB"/>
        </w:rPr>
        <w:t>Decisions will normally be emailed to the School Administrative Officer within 5 working days of the hearing.</w:t>
      </w:r>
    </w:p>
    <w:p w:rsidR="00822478" w:rsidRPr="00C055A8" w:rsidRDefault="00822478" w:rsidP="005E59C0">
      <w:pPr>
        <w:pStyle w:val="NoSpacing"/>
        <w:rPr>
          <w:lang w:eastAsia="en-GB"/>
        </w:rPr>
      </w:pPr>
    </w:p>
    <w:p w:rsidR="00822478" w:rsidRPr="00C055A8" w:rsidRDefault="006A3C9B" w:rsidP="005E59C0">
      <w:pPr>
        <w:pStyle w:val="NoSpacing"/>
        <w:rPr>
          <w:lang w:eastAsia="en-GB"/>
        </w:rPr>
      </w:pPr>
      <w:r>
        <w:rPr>
          <w:lang w:eastAsia="en-GB"/>
        </w:rPr>
        <w:t>5</w:t>
      </w:r>
      <w:r w:rsidR="00C055A8" w:rsidRPr="00C055A8">
        <w:rPr>
          <w:lang w:eastAsia="en-GB"/>
        </w:rPr>
        <w:t>.2</w:t>
      </w:r>
      <w:r w:rsidR="00C055A8" w:rsidRPr="00C055A8">
        <w:rPr>
          <w:lang w:eastAsia="en-GB"/>
        </w:rPr>
        <w:tab/>
      </w:r>
      <w:r w:rsidR="00822478" w:rsidRPr="00C055A8">
        <w:rPr>
          <w:lang w:eastAsia="en-GB"/>
        </w:rPr>
        <w:t xml:space="preserve">A copy of the letter should be placed on the student’s file. The </w:t>
      </w:r>
      <w:r w:rsidR="005E59C0" w:rsidRPr="00C055A8">
        <w:rPr>
          <w:lang w:eastAsia="en-GB"/>
        </w:rPr>
        <w:t xml:space="preserve">School </w:t>
      </w:r>
      <w:r w:rsidR="00822478" w:rsidRPr="00C055A8">
        <w:rPr>
          <w:lang w:eastAsia="en-GB"/>
        </w:rPr>
        <w:t xml:space="preserve">Administrative Officer shall ensure that the letter [P] is added to the student’s mark on the mark grids available to the School Examinations Board for the course unit concerned.  This suffix will not be seen by the School Examinations Board unless a query arises as a result of a mark apparently out of line with others.  The suffix shall not be shown on the official transcript for the student concerned. </w:t>
      </w:r>
    </w:p>
    <w:p w:rsidR="00822478" w:rsidRPr="00C055A8" w:rsidRDefault="00822478" w:rsidP="005E59C0">
      <w:pPr>
        <w:pStyle w:val="NoSpacing"/>
        <w:rPr>
          <w:lang w:eastAsia="en-GB"/>
        </w:rPr>
      </w:pPr>
    </w:p>
    <w:p w:rsidR="00822478" w:rsidRDefault="006A3C9B" w:rsidP="005E59C0">
      <w:pPr>
        <w:pStyle w:val="NoSpacing"/>
      </w:pPr>
      <w:r>
        <w:t>5</w:t>
      </w:r>
      <w:r w:rsidR="00C055A8" w:rsidRPr="00C055A8">
        <w:t>.3</w:t>
      </w:r>
      <w:r w:rsidR="00C055A8" w:rsidRPr="00C055A8">
        <w:tab/>
      </w:r>
      <w:r w:rsidR="00822478" w:rsidRPr="00C055A8">
        <w:t>If there is any confusion between the intentions of the Malpractice Panel as regards outcome/penalty, and the interpretation of this by the relevant S</w:t>
      </w:r>
      <w:r w:rsidR="00E62901" w:rsidRPr="00C055A8">
        <w:t xml:space="preserve">chool (Examination) Boards, or </w:t>
      </w:r>
      <w:r w:rsidR="00822478" w:rsidRPr="00C055A8">
        <w:t>if it is not clear how the outcome can be realised within the School, the Faculty</w:t>
      </w:r>
      <w:r w:rsidR="00E62901" w:rsidRPr="00C055A8">
        <w:t xml:space="preserve"> Administrative</w:t>
      </w:r>
      <w:r w:rsidR="00822478" w:rsidRPr="00C055A8">
        <w:t xml:space="preserve"> Officer</w:t>
      </w:r>
      <w:r w:rsidR="00E62901" w:rsidRPr="00C055A8">
        <w:t xml:space="preserve"> who attended the hearing</w:t>
      </w:r>
      <w:r w:rsidR="00822478" w:rsidRPr="00C055A8">
        <w:t xml:space="preserve"> should be informed immediately.</w:t>
      </w:r>
    </w:p>
    <w:p w:rsidR="00DF1847" w:rsidRDefault="00DF1847" w:rsidP="005E59C0">
      <w:pPr>
        <w:pStyle w:val="NoSpacing"/>
      </w:pPr>
    </w:p>
    <w:p w:rsidR="00DF1847" w:rsidRPr="00C055A8" w:rsidRDefault="00DF1847" w:rsidP="005E59C0">
      <w:pPr>
        <w:pStyle w:val="NoSpacing"/>
      </w:pPr>
    </w:p>
    <w:p w:rsidR="00DF4441" w:rsidRDefault="00C14CCA" w:rsidP="00DF4441">
      <w:pPr>
        <w:jc w:val="center"/>
        <w:rPr>
          <w:b/>
          <w:bCs/>
        </w:rPr>
      </w:pPr>
      <w:r>
        <w:rPr>
          <w:b/>
          <w:bC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85"/>
      </w:tblGrid>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Policy Title:</w:t>
            </w:r>
          </w:p>
        </w:tc>
        <w:tc>
          <w:tcPr>
            <w:tcW w:w="7585"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Faculty of Humanities Academic Malpractice Hearings</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Date Approved:</w:t>
            </w:r>
          </w:p>
        </w:tc>
        <w:tc>
          <w:tcPr>
            <w:tcW w:w="7585"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July 2013</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Approving Body:</w:t>
            </w:r>
          </w:p>
        </w:tc>
        <w:tc>
          <w:tcPr>
            <w:tcW w:w="7585" w:type="dxa"/>
          </w:tcPr>
          <w:p w:rsidR="00DF4441" w:rsidRPr="00C14CCA" w:rsidRDefault="00DF4441" w:rsidP="00AD39AB">
            <w:pPr>
              <w:rPr>
                <w:rFonts w:asciiTheme="minorHAnsi" w:hAnsiTheme="minorHAnsi"/>
                <w:b/>
                <w:bCs/>
                <w:sz w:val="20"/>
                <w:szCs w:val="20"/>
              </w:rPr>
            </w:pP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Version:</w:t>
            </w:r>
          </w:p>
        </w:tc>
        <w:tc>
          <w:tcPr>
            <w:tcW w:w="7585"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0.1</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Supersedes:</w:t>
            </w:r>
          </w:p>
        </w:tc>
        <w:tc>
          <w:tcPr>
            <w:tcW w:w="7585"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N/A</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Previous Review Dates:</w:t>
            </w:r>
          </w:p>
        </w:tc>
        <w:tc>
          <w:tcPr>
            <w:tcW w:w="7585" w:type="dxa"/>
          </w:tcPr>
          <w:p w:rsidR="00DF4441" w:rsidRPr="00C14CCA" w:rsidRDefault="0003003C" w:rsidP="00AD39AB">
            <w:pPr>
              <w:rPr>
                <w:rFonts w:asciiTheme="minorHAnsi" w:hAnsiTheme="minorHAnsi"/>
                <w:b/>
                <w:bCs/>
                <w:sz w:val="20"/>
                <w:szCs w:val="20"/>
              </w:rPr>
            </w:pPr>
            <w:r>
              <w:rPr>
                <w:rFonts w:asciiTheme="minorHAnsi" w:hAnsiTheme="minorHAnsi"/>
                <w:b/>
                <w:bCs/>
                <w:sz w:val="20"/>
                <w:szCs w:val="20"/>
              </w:rPr>
              <w:t>N/A</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Next Review Date</w:t>
            </w:r>
          </w:p>
        </w:tc>
        <w:tc>
          <w:tcPr>
            <w:tcW w:w="7585" w:type="dxa"/>
          </w:tcPr>
          <w:p w:rsidR="00DF4441" w:rsidRPr="00C14CCA" w:rsidRDefault="00DF4441" w:rsidP="00AD39AB">
            <w:pPr>
              <w:rPr>
                <w:rFonts w:asciiTheme="minorHAnsi" w:hAnsiTheme="minorHAnsi"/>
                <w:b/>
                <w:bCs/>
                <w:sz w:val="20"/>
                <w:szCs w:val="20"/>
              </w:rPr>
            </w:pP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Related Statutes, Ordinances, General Regulations:</w:t>
            </w:r>
          </w:p>
        </w:tc>
        <w:tc>
          <w:tcPr>
            <w:tcW w:w="7585" w:type="dxa"/>
          </w:tcPr>
          <w:p w:rsidR="00DF4441" w:rsidRPr="00994C25" w:rsidRDefault="00994C25" w:rsidP="00AD39AB">
            <w:pPr>
              <w:rPr>
                <w:rFonts w:asciiTheme="minorHAnsi" w:hAnsiTheme="minorHAnsi"/>
                <w:b/>
                <w:bCs/>
                <w:sz w:val="20"/>
                <w:szCs w:val="20"/>
              </w:rPr>
            </w:pPr>
            <w:r w:rsidRPr="00994C25">
              <w:rPr>
                <w:rFonts w:asciiTheme="minorHAnsi" w:hAnsiTheme="minorHAnsi"/>
                <w:sz w:val="20"/>
                <w:szCs w:val="20"/>
              </w:rPr>
              <w:t>Regulation XVII Conduct and Discipline of Students</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Related Policies:</w:t>
            </w:r>
          </w:p>
        </w:tc>
        <w:tc>
          <w:tcPr>
            <w:tcW w:w="7585" w:type="dxa"/>
          </w:tcPr>
          <w:p w:rsidR="00DF4441" w:rsidRPr="00C14CCA" w:rsidRDefault="00DF4441" w:rsidP="00AD39AB">
            <w:pPr>
              <w:rPr>
                <w:rFonts w:asciiTheme="minorHAnsi" w:hAnsiTheme="minorHAnsi"/>
                <w:b/>
                <w:bCs/>
                <w:sz w:val="20"/>
                <w:szCs w:val="20"/>
              </w:rPr>
            </w:pP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Related Procedures:</w:t>
            </w:r>
          </w:p>
        </w:tc>
        <w:tc>
          <w:tcPr>
            <w:tcW w:w="7585" w:type="dxa"/>
          </w:tcPr>
          <w:p w:rsidR="00DF4441" w:rsidRPr="00994C25" w:rsidRDefault="00B802B8" w:rsidP="00994C25">
            <w:pPr>
              <w:rPr>
                <w:rFonts w:asciiTheme="minorHAnsi" w:hAnsiTheme="minorHAnsi"/>
                <w:bCs/>
                <w:sz w:val="20"/>
                <w:szCs w:val="20"/>
              </w:rPr>
            </w:pPr>
            <w:bookmarkStart w:id="0" w:name="_GoBack"/>
            <w:r w:rsidRPr="00994C25">
              <w:rPr>
                <w:rFonts w:asciiTheme="minorHAnsi" w:hAnsiTheme="minorHAnsi"/>
                <w:bCs/>
                <w:sz w:val="20"/>
                <w:szCs w:val="20"/>
              </w:rPr>
              <w:t xml:space="preserve">Academic Malpractice – </w:t>
            </w:r>
            <w:r w:rsidR="00994C25" w:rsidRPr="00994C25">
              <w:rPr>
                <w:rFonts w:asciiTheme="minorHAnsi" w:hAnsiTheme="minorHAnsi"/>
                <w:bCs/>
                <w:sz w:val="20"/>
                <w:szCs w:val="20"/>
              </w:rPr>
              <w:t>Guidance on the Handling of Cases</w:t>
            </w:r>
            <w:bookmarkEnd w:id="0"/>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 xml:space="preserve">Related Guidance and/or Codes of </w:t>
            </w:r>
            <w:r w:rsidRPr="00C14CCA">
              <w:rPr>
                <w:rFonts w:asciiTheme="minorHAnsi" w:hAnsiTheme="minorHAnsi"/>
                <w:b/>
                <w:bCs/>
                <w:sz w:val="20"/>
                <w:szCs w:val="20"/>
              </w:rPr>
              <w:lastRenderedPageBreak/>
              <w:t>Practice:</w:t>
            </w:r>
          </w:p>
        </w:tc>
        <w:tc>
          <w:tcPr>
            <w:tcW w:w="7585" w:type="dxa"/>
          </w:tcPr>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lastRenderedPageBreak/>
              <w:t>Guidance to students on plagiarism and other forms of</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academic malpractice</w:t>
            </w:r>
          </w:p>
          <w:p w:rsidR="00994C25" w:rsidRPr="00994C25" w:rsidRDefault="00994C25" w:rsidP="00994C25">
            <w:pPr>
              <w:autoSpaceDE w:val="0"/>
              <w:autoSpaceDN w:val="0"/>
              <w:adjustRightInd w:val="0"/>
              <w:spacing w:after="0" w:line="240" w:lineRule="auto"/>
              <w:rPr>
                <w:rFonts w:asciiTheme="minorHAnsi" w:hAnsiTheme="minorHAnsi"/>
                <w:color w:val="0000FF"/>
                <w:sz w:val="20"/>
                <w:szCs w:val="20"/>
              </w:rPr>
            </w:pPr>
            <w:r w:rsidRPr="00994C25">
              <w:rPr>
                <w:rFonts w:asciiTheme="minorHAnsi" w:hAnsiTheme="minorHAnsi"/>
                <w:color w:val="0000FF"/>
                <w:sz w:val="20"/>
                <w:szCs w:val="20"/>
              </w:rPr>
              <w:lastRenderedPageBreak/>
              <w:t>http://documents.manchester.ac.uk/DocuInfo.aspx?DocID=2870</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Plagiarism and other forms of academic malpractice: Guidance</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for Teaching Staff</w:t>
            </w:r>
          </w:p>
          <w:p w:rsidR="00994C25" w:rsidRPr="00994C25" w:rsidRDefault="00994C25" w:rsidP="00994C25">
            <w:pPr>
              <w:autoSpaceDE w:val="0"/>
              <w:autoSpaceDN w:val="0"/>
              <w:adjustRightInd w:val="0"/>
              <w:spacing w:after="0" w:line="240" w:lineRule="auto"/>
              <w:rPr>
                <w:rFonts w:asciiTheme="minorHAnsi" w:hAnsiTheme="minorHAnsi"/>
                <w:color w:val="0000FF"/>
                <w:sz w:val="20"/>
                <w:szCs w:val="20"/>
              </w:rPr>
            </w:pPr>
            <w:r w:rsidRPr="00994C25">
              <w:rPr>
                <w:rFonts w:asciiTheme="minorHAnsi" w:hAnsiTheme="minorHAnsi"/>
                <w:color w:val="0000FF"/>
                <w:sz w:val="20"/>
                <w:szCs w:val="20"/>
              </w:rPr>
              <w:t>http://documents.manchester.ac.uk/DocuInfo.aspx?DocID=2869</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Code of Practice for Dealing with Complaints of Misconduct in</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Research</w:t>
            </w:r>
          </w:p>
          <w:p w:rsidR="00994C25" w:rsidRPr="00994C25" w:rsidRDefault="00994C25" w:rsidP="00994C25">
            <w:pPr>
              <w:autoSpaceDE w:val="0"/>
              <w:autoSpaceDN w:val="0"/>
              <w:adjustRightInd w:val="0"/>
              <w:spacing w:after="0" w:line="240" w:lineRule="auto"/>
              <w:rPr>
                <w:rFonts w:asciiTheme="minorHAnsi" w:hAnsiTheme="minorHAnsi"/>
                <w:color w:val="0000FF"/>
                <w:sz w:val="20"/>
                <w:szCs w:val="20"/>
              </w:rPr>
            </w:pPr>
            <w:r w:rsidRPr="00994C25">
              <w:rPr>
                <w:rFonts w:asciiTheme="minorHAnsi" w:hAnsiTheme="minorHAnsi"/>
                <w:color w:val="0000FF"/>
                <w:sz w:val="20"/>
                <w:szCs w:val="20"/>
              </w:rPr>
              <w:t>http://documents.manchester.ac.uk/DocuInfo.aspx?DocID=611</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Code of Practice for Investigating Concerns about the Conduct</w:t>
            </w:r>
          </w:p>
          <w:p w:rsidR="00994C25" w:rsidRPr="00994C25" w:rsidRDefault="00994C25" w:rsidP="00994C25">
            <w:pPr>
              <w:autoSpaceDE w:val="0"/>
              <w:autoSpaceDN w:val="0"/>
              <w:adjustRightInd w:val="0"/>
              <w:spacing w:after="0" w:line="240" w:lineRule="auto"/>
              <w:rPr>
                <w:rFonts w:asciiTheme="minorHAnsi" w:hAnsiTheme="minorHAnsi"/>
                <w:color w:val="000000"/>
                <w:sz w:val="20"/>
                <w:szCs w:val="20"/>
              </w:rPr>
            </w:pPr>
            <w:r w:rsidRPr="00994C25">
              <w:rPr>
                <w:rFonts w:asciiTheme="minorHAnsi" w:hAnsiTheme="minorHAnsi"/>
                <w:color w:val="000000"/>
                <w:sz w:val="20"/>
                <w:szCs w:val="20"/>
              </w:rPr>
              <w:t>of Research</w:t>
            </w:r>
          </w:p>
          <w:p w:rsidR="00B802B8" w:rsidRPr="00C14CCA" w:rsidRDefault="00994C25" w:rsidP="00994C25">
            <w:pPr>
              <w:rPr>
                <w:rFonts w:asciiTheme="minorHAnsi" w:hAnsiTheme="minorHAnsi"/>
                <w:b/>
                <w:bCs/>
                <w:sz w:val="20"/>
                <w:szCs w:val="20"/>
              </w:rPr>
            </w:pPr>
            <w:r w:rsidRPr="00994C25">
              <w:rPr>
                <w:rFonts w:asciiTheme="minorHAnsi" w:hAnsiTheme="minorHAnsi"/>
                <w:color w:val="0000FF"/>
                <w:sz w:val="20"/>
                <w:szCs w:val="20"/>
              </w:rPr>
              <w:t>http://documents.manchester.ac.uk/display.aspx?DocID=611</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lastRenderedPageBreak/>
              <w:t>Related Information:</w:t>
            </w:r>
          </w:p>
        </w:tc>
        <w:tc>
          <w:tcPr>
            <w:tcW w:w="7585" w:type="dxa"/>
          </w:tcPr>
          <w:p w:rsidR="00DF4441" w:rsidRPr="00C14CCA" w:rsidRDefault="00DF4441" w:rsidP="00AD39AB">
            <w:pPr>
              <w:rPr>
                <w:rFonts w:asciiTheme="minorHAnsi" w:hAnsiTheme="minorHAnsi"/>
                <w:b/>
                <w:bCs/>
                <w:sz w:val="20"/>
                <w:szCs w:val="20"/>
              </w:rPr>
            </w:pP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Policy Owner:</w:t>
            </w:r>
          </w:p>
        </w:tc>
        <w:tc>
          <w:tcPr>
            <w:tcW w:w="7585" w:type="dxa"/>
          </w:tcPr>
          <w:p w:rsidR="00DF4441" w:rsidRPr="00C14CCA" w:rsidRDefault="00C14CCA" w:rsidP="00AD39AB">
            <w:pPr>
              <w:rPr>
                <w:rFonts w:asciiTheme="minorHAnsi" w:hAnsiTheme="minorHAnsi"/>
                <w:b/>
                <w:bCs/>
                <w:sz w:val="20"/>
                <w:szCs w:val="20"/>
              </w:rPr>
            </w:pPr>
            <w:r>
              <w:rPr>
                <w:rFonts w:asciiTheme="minorHAnsi" w:hAnsiTheme="minorHAnsi"/>
                <w:b/>
                <w:bCs/>
                <w:sz w:val="20"/>
                <w:szCs w:val="20"/>
              </w:rPr>
              <w:t>Damien Tolan</w:t>
            </w:r>
          </w:p>
        </w:tc>
      </w:tr>
      <w:tr w:rsidR="00DF4441" w:rsidRPr="00DF4441" w:rsidTr="00DF4441">
        <w:tc>
          <w:tcPr>
            <w:tcW w:w="2268" w:type="dxa"/>
          </w:tcPr>
          <w:p w:rsidR="00DF4441" w:rsidRPr="00C14CCA" w:rsidRDefault="00DF4441" w:rsidP="00AD39AB">
            <w:pPr>
              <w:rPr>
                <w:rFonts w:asciiTheme="minorHAnsi" w:hAnsiTheme="minorHAnsi"/>
                <w:b/>
                <w:bCs/>
                <w:sz w:val="20"/>
                <w:szCs w:val="20"/>
              </w:rPr>
            </w:pPr>
            <w:r w:rsidRPr="00C14CCA">
              <w:rPr>
                <w:rFonts w:asciiTheme="minorHAnsi" w:hAnsiTheme="minorHAnsi"/>
                <w:b/>
                <w:bCs/>
                <w:sz w:val="20"/>
                <w:szCs w:val="20"/>
              </w:rPr>
              <w:t>Lead Contact:</w:t>
            </w:r>
          </w:p>
        </w:tc>
        <w:tc>
          <w:tcPr>
            <w:tcW w:w="7585" w:type="dxa"/>
          </w:tcPr>
          <w:p w:rsidR="00DF4441" w:rsidRPr="00C14CCA" w:rsidRDefault="00C14CCA" w:rsidP="00AD39AB">
            <w:pPr>
              <w:rPr>
                <w:rFonts w:asciiTheme="minorHAnsi" w:hAnsiTheme="minorHAnsi"/>
                <w:b/>
                <w:bCs/>
                <w:sz w:val="20"/>
                <w:szCs w:val="20"/>
              </w:rPr>
            </w:pPr>
            <w:r>
              <w:rPr>
                <w:rFonts w:asciiTheme="minorHAnsi" w:hAnsiTheme="minorHAnsi"/>
                <w:b/>
                <w:bCs/>
                <w:sz w:val="20"/>
                <w:szCs w:val="20"/>
              </w:rPr>
              <w:t>Damien Tolan</w:t>
            </w:r>
          </w:p>
        </w:tc>
      </w:tr>
    </w:tbl>
    <w:p w:rsidR="00822478" w:rsidRPr="00C055A8" w:rsidRDefault="00822478" w:rsidP="00B46380">
      <w:pPr>
        <w:rPr>
          <w:b/>
          <w:bCs/>
        </w:rPr>
      </w:pPr>
    </w:p>
    <w:sectPr w:rsidR="00822478" w:rsidRPr="00C055A8" w:rsidSect="006A3C9B">
      <w:headerReference w:type="default" r:id="rId11"/>
      <w:footerReference w:type="default" r:id="rId12"/>
      <w:pgSz w:w="11906" w:h="16838"/>
      <w:pgMar w:top="1134" w:right="851" w:bottom="1134" w:left="1418"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5C" w:rsidRDefault="00096E5C" w:rsidP="006A3C9B">
      <w:pPr>
        <w:spacing w:after="0" w:line="240" w:lineRule="auto"/>
      </w:pPr>
      <w:r>
        <w:separator/>
      </w:r>
    </w:p>
  </w:endnote>
  <w:endnote w:type="continuationSeparator" w:id="0">
    <w:p w:rsidR="00096E5C" w:rsidRDefault="00096E5C" w:rsidP="006A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9B" w:rsidRDefault="00994C25">
    <w:pPr>
      <w:pStyle w:val="Footer"/>
      <w:jc w:val="right"/>
    </w:pPr>
    <w:r>
      <w:fldChar w:fldCharType="begin"/>
    </w:r>
    <w:r>
      <w:instrText xml:space="preserve"> PAGE   \* MER</w:instrText>
    </w:r>
    <w:r>
      <w:instrText xml:space="preserve">GEFORMAT </w:instrText>
    </w:r>
    <w:r>
      <w:fldChar w:fldCharType="separate"/>
    </w:r>
    <w:r>
      <w:rPr>
        <w:noProof/>
      </w:rPr>
      <w:t>3</w:t>
    </w:r>
    <w:r>
      <w:rPr>
        <w:noProof/>
      </w:rPr>
      <w:fldChar w:fldCharType="end"/>
    </w:r>
  </w:p>
  <w:p w:rsidR="006A3C9B" w:rsidRDefault="006A3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5C" w:rsidRDefault="00096E5C" w:rsidP="006A3C9B">
      <w:pPr>
        <w:spacing w:after="0" w:line="240" w:lineRule="auto"/>
      </w:pPr>
      <w:r>
        <w:separator/>
      </w:r>
    </w:p>
  </w:footnote>
  <w:footnote w:type="continuationSeparator" w:id="0">
    <w:p w:rsidR="00096E5C" w:rsidRDefault="00096E5C" w:rsidP="006A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9B" w:rsidRPr="006A3C9B" w:rsidRDefault="006A3C9B" w:rsidP="006A3C9B">
    <w:pPr>
      <w:pStyle w:val="NoSpacing"/>
      <w:rPr>
        <w:rFonts w:asciiTheme="minorHAnsi" w:hAnsiTheme="minorHAnsi"/>
        <w:b/>
        <w:bCs/>
        <w:color w:val="808080" w:themeColor="background1" w:themeShade="80"/>
        <w:sz w:val="18"/>
        <w:szCs w:val="18"/>
      </w:rPr>
    </w:pPr>
    <w:r>
      <w:rPr>
        <w:b/>
        <w:bCs/>
        <w:color w:val="808080" w:themeColor="background1" w:themeShade="80"/>
        <w:sz w:val="18"/>
        <w:szCs w:val="18"/>
      </w:rPr>
      <w:t xml:space="preserve">                                                                                               </w:t>
    </w:r>
    <w:r w:rsidRPr="006A3C9B">
      <w:rPr>
        <w:rFonts w:asciiTheme="minorHAnsi" w:hAnsiTheme="minorHAnsi"/>
        <w:b/>
        <w:bCs/>
        <w:color w:val="808080" w:themeColor="background1" w:themeShade="80"/>
        <w:sz w:val="18"/>
        <w:szCs w:val="18"/>
      </w:rPr>
      <w:t>Faculty of Humanities Academic Malpractice Hearings – Guidance for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65C"/>
    <w:multiLevelType w:val="hybridMultilevel"/>
    <w:tmpl w:val="7C6CB93C"/>
    <w:lvl w:ilvl="0" w:tplc="E188B22E">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7CE28A9"/>
    <w:multiLevelType w:val="hybridMultilevel"/>
    <w:tmpl w:val="4150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4E"/>
    <w:rsid w:val="00001941"/>
    <w:rsid w:val="0000246F"/>
    <w:rsid w:val="000052C5"/>
    <w:rsid w:val="000066A1"/>
    <w:rsid w:val="000126AD"/>
    <w:rsid w:val="00013CD9"/>
    <w:rsid w:val="00015039"/>
    <w:rsid w:val="00015805"/>
    <w:rsid w:val="0001767F"/>
    <w:rsid w:val="00017D30"/>
    <w:rsid w:val="000239A0"/>
    <w:rsid w:val="0002491A"/>
    <w:rsid w:val="00024DB2"/>
    <w:rsid w:val="00026E1B"/>
    <w:rsid w:val="00027B32"/>
    <w:rsid w:val="0003003C"/>
    <w:rsid w:val="0003103E"/>
    <w:rsid w:val="00032105"/>
    <w:rsid w:val="00032E19"/>
    <w:rsid w:val="00035704"/>
    <w:rsid w:val="000358F7"/>
    <w:rsid w:val="00036FED"/>
    <w:rsid w:val="00040B93"/>
    <w:rsid w:val="000412A0"/>
    <w:rsid w:val="00044759"/>
    <w:rsid w:val="00045522"/>
    <w:rsid w:val="00050746"/>
    <w:rsid w:val="00050FC3"/>
    <w:rsid w:val="00054E65"/>
    <w:rsid w:val="00055474"/>
    <w:rsid w:val="00055CE2"/>
    <w:rsid w:val="00056666"/>
    <w:rsid w:val="00056E1C"/>
    <w:rsid w:val="00060D5E"/>
    <w:rsid w:val="00062FBB"/>
    <w:rsid w:val="00065082"/>
    <w:rsid w:val="00065AC3"/>
    <w:rsid w:val="0006677E"/>
    <w:rsid w:val="000671EC"/>
    <w:rsid w:val="00067AC0"/>
    <w:rsid w:val="000706A5"/>
    <w:rsid w:val="00070B21"/>
    <w:rsid w:val="00071B7B"/>
    <w:rsid w:val="000738B9"/>
    <w:rsid w:val="0008255C"/>
    <w:rsid w:val="00082911"/>
    <w:rsid w:val="00082B84"/>
    <w:rsid w:val="00082DDD"/>
    <w:rsid w:val="0008410D"/>
    <w:rsid w:val="000849B3"/>
    <w:rsid w:val="00086B80"/>
    <w:rsid w:val="0008777C"/>
    <w:rsid w:val="00090549"/>
    <w:rsid w:val="000914F8"/>
    <w:rsid w:val="00091CD9"/>
    <w:rsid w:val="00093610"/>
    <w:rsid w:val="00093D78"/>
    <w:rsid w:val="00096E5C"/>
    <w:rsid w:val="000A04D8"/>
    <w:rsid w:val="000A0B3D"/>
    <w:rsid w:val="000A417B"/>
    <w:rsid w:val="000A518D"/>
    <w:rsid w:val="000B18CA"/>
    <w:rsid w:val="000B21C7"/>
    <w:rsid w:val="000B27EA"/>
    <w:rsid w:val="000B3935"/>
    <w:rsid w:val="000B3B36"/>
    <w:rsid w:val="000B506A"/>
    <w:rsid w:val="000C082B"/>
    <w:rsid w:val="000C12B8"/>
    <w:rsid w:val="000D089B"/>
    <w:rsid w:val="000D197D"/>
    <w:rsid w:val="000D36E7"/>
    <w:rsid w:val="000D4CB6"/>
    <w:rsid w:val="000D513D"/>
    <w:rsid w:val="000E3898"/>
    <w:rsid w:val="000E42E5"/>
    <w:rsid w:val="000E7BB1"/>
    <w:rsid w:val="000F167A"/>
    <w:rsid w:val="000F23BA"/>
    <w:rsid w:val="000F3B7A"/>
    <w:rsid w:val="000F3CD3"/>
    <w:rsid w:val="000F798E"/>
    <w:rsid w:val="000F7A43"/>
    <w:rsid w:val="0010002C"/>
    <w:rsid w:val="00101C12"/>
    <w:rsid w:val="001020C9"/>
    <w:rsid w:val="00102FA4"/>
    <w:rsid w:val="00103A16"/>
    <w:rsid w:val="00106D7D"/>
    <w:rsid w:val="001074FD"/>
    <w:rsid w:val="001110F9"/>
    <w:rsid w:val="001142B9"/>
    <w:rsid w:val="001155F8"/>
    <w:rsid w:val="00116F0A"/>
    <w:rsid w:val="00116F1B"/>
    <w:rsid w:val="00117901"/>
    <w:rsid w:val="00121C11"/>
    <w:rsid w:val="00122C5D"/>
    <w:rsid w:val="0012340D"/>
    <w:rsid w:val="0012456C"/>
    <w:rsid w:val="0012560A"/>
    <w:rsid w:val="001315D5"/>
    <w:rsid w:val="00135D17"/>
    <w:rsid w:val="00137DAA"/>
    <w:rsid w:val="0014393F"/>
    <w:rsid w:val="00147478"/>
    <w:rsid w:val="001475F6"/>
    <w:rsid w:val="00151128"/>
    <w:rsid w:val="00151CCF"/>
    <w:rsid w:val="00152FC2"/>
    <w:rsid w:val="001537FF"/>
    <w:rsid w:val="00153FFA"/>
    <w:rsid w:val="001542EF"/>
    <w:rsid w:val="00155CB7"/>
    <w:rsid w:val="00160280"/>
    <w:rsid w:val="00160390"/>
    <w:rsid w:val="00162473"/>
    <w:rsid w:val="00162A73"/>
    <w:rsid w:val="00162D8F"/>
    <w:rsid w:val="00163769"/>
    <w:rsid w:val="00166AF0"/>
    <w:rsid w:val="0016789F"/>
    <w:rsid w:val="001714C8"/>
    <w:rsid w:val="00171821"/>
    <w:rsid w:val="00171C7D"/>
    <w:rsid w:val="00173451"/>
    <w:rsid w:val="0017404B"/>
    <w:rsid w:val="00176D7D"/>
    <w:rsid w:val="00177012"/>
    <w:rsid w:val="00177D66"/>
    <w:rsid w:val="00177E5F"/>
    <w:rsid w:val="00180023"/>
    <w:rsid w:val="001814C9"/>
    <w:rsid w:val="0018295F"/>
    <w:rsid w:val="00183AA4"/>
    <w:rsid w:val="001963E1"/>
    <w:rsid w:val="001A0EF4"/>
    <w:rsid w:val="001A1291"/>
    <w:rsid w:val="001A6735"/>
    <w:rsid w:val="001A6E36"/>
    <w:rsid w:val="001A7483"/>
    <w:rsid w:val="001B0549"/>
    <w:rsid w:val="001B3942"/>
    <w:rsid w:val="001B3D4C"/>
    <w:rsid w:val="001B4F44"/>
    <w:rsid w:val="001B7A1D"/>
    <w:rsid w:val="001C1061"/>
    <w:rsid w:val="001C4570"/>
    <w:rsid w:val="001C4DD1"/>
    <w:rsid w:val="001C62BB"/>
    <w:rsid w:val="001C6601"/>
    <w:rsid w:val="001D357E"/>
    <w:rsid w:val="001D39EB"/>
    <w:rsid w:val="001D7114"/>
    <w:rsid w:val="001E1189"/>
    <w:rsid w:val="001E3335"/>
    <w:rsid w:val="001E3AB4"/>
    <w:rsid w:val="001E56A4"/>
    <w:rsid w:val="001E56AD"/>
    <w:rsid w:val="001E7DCF"/>
    <w:rsid w:val="001F1CA6"/>
    <w:rsid w:val="001F25FC"/>
    <w:rsid w:val="001F2E49"/>
    <w:rsid w:val="001F2F52"/>
    <w:rsid w:val="001F458A"/>
    <w:rsid w:val="001F4E25"/>
    <w:rsid w:val="00202145"/>
    <w:rsid w:val="002053D6"/>
    <w:rsid w:val="00205490"/>
    <w:rsid w:val="00205F40"/>
    <w:rsid w:val="00207B2D"/>
    <w:rsid w:val="00210DFA"/>
    <w:rsid w:val="002146BF"/>
    <w:rsid w:val="00216405"/>
    <w:rsid w:val="0021792B"/>
    <w:rsid w:val="00233514"/>
    <w:rsid w:val="00235EA8"/>
    <w:rsid w:val="002369A6"/>
    <w:rsid w:val="00237007"/>
    <w:rsid w:val="00237E15"/>
    <w:rsid w:val="00242B0A"/>
    <w:rsid w:val="00243CB6"/>
    <w:rsid w:val="00250DB4"/>
    <w:rsid w:val="0025138F"/>
    <w:rsid w:val="00251437"/>
    <w:rsid w:val="002516AE"/>
    <w:rsid w:val="00251821"/>
    <w:rsid w:val="00251A2C"/>
    <w:rsid w:val="00251A92"/>
    <w:rsid w:val="002532DC"/>
    <w:rsid w:val="0025388E"/>
    <w:rsid w:val="00254F14"/>
    <w:rsid w:val="00255022"/>
    <w:rsid w:val="00255DBF"/>
    <w:rsid w:val="00256BA3"/>
    <w:rsid w:val="0026259A"/>
    <w:rsid w:val="0026710C"/>
    <w:rsid w:val="002700AD"/>
    <w:rsid w:val="002703AA"/>
    <w:rsid w:val="002712A6"/>
    <w:rsid w:val="00272B9D"/>
    <w:rsid w:val="0027359E"/>
    <w:rsid w:val="00280477"/>
    <w:rsid w:val="0028134A"/>
    <w:rsid w:val="00281883"/>
    <w:rsid w:val="00282D27"/>
    <w:rsid w:val="002841B0"/>
    <w:rsid w:val="00284515"/>
    <w:rsid w:val="00285B71"/>
    <w:rsid w:val="00286B4F"/>
    <w:rsid w:val="00290DDF"/>
    <w:rsid w:val="002916AC"/>
    <w:rsid w:val="00292FF5"/>
    <w:rsid w:val="0029414D"/>
    <w:rsid w:val="00294C18"/>
    <w:rsid w:val="00295319"/>
    <w:rsid w:val="00296798"/>
    <w:rsid w:val="002A2A40"/>
    <w:rsid w:val="002A4199"/>
    <w:rsid w:val="002A621E"/>
    <w:rsid w:val="002A6805"/>
    <w:rsid w:val="002B0042"/>
    <w:rsid w:val="002B051B"/>
    <w:rsid w:val="002B0CB1"/>
    <w:rsid w:val="002B35A3"/>
    <w:rsid w:val="002B38EB"/>
    <w:rsid w:val="002B5FEA"/>
    <w:rsid w:val="002B69D2"/>
    <w:rsid w:val="002C06EC"/>
    <w:rsid w:val="002C0DF8"/>
    <w:rsid w:val="002C2893"/>
    <w:rsid w:val="002C2E54"/>
    <w:rsid w:val="002C430F"/>
    <w:rsid w:val="002C4969"/>
    <w:rsid w:val="002C66DC"/>
    <w:rsid w:val="002C73FD"/>
    <w:rsid w:val="002D21CD"/>
    <w:rsid w:val="002D240D"/>
    <w:rsid w:val="002D31C1"/>
    <w:rsid w:val="002D6EB6"/>
    <w:rsid w:val="002D6F23"/>
    <w:rsid w:val="002D7132"/>
    <w:rsid w:val="002E0FC7"/>
    <w:rsid w:val="002E1588"/>
    <w:rsid w:val="002E1655"/>
    <w:rsid w:val="002E6D93"/>
    <w:rsid w:val="002E71C6"/>
    <w:rsid w:val="002E7208"/>
    <w:rsid w:val="002E7E2F"/>
    <w:rsid w:val="002F3A2C"/>
    <w:rsid w:val="002F46A9"/>
    <w:rsid w:val="0030058C"/>
    <w:rsid w:val="00301840"/>
    <w:rsid w:val="00301AC6"/>
    <w:rsid w:val="003032F6"/>
    <w:rsid w:val="00311196"/>
    <w:rsid w:val="00315597"/>
    <w:rsid w:val="003161E6"/>
    <w:rsid w:val="00317CDD"/>
    <w:rsid w:val="0032093F"/>
    <w:rsid w:val="00322FA6"/>
    <w:rsid w:val="003272D9"/>
    <w:rsid w:val="003279F3"/>
    <w:rsid w:val="00327D1B"/>
    <w:rsid w:val="00332F44"/>
    <w:rsid w:val="0033389A"/>
    <w:rsid w:val="00335712"/>
    <w:rsid w:val="00335C7E"/>
    <w:rsid w:val="0034068B"/>
    <w:rsid w:val="00340D89"/>
    <w:rsid w:val="00345D0B"/>
    <w:rsid w:val="0034704B"/>
    <w:rsid w:val="00347526"/>
    <w:rsid w:val="00347A80"/>
    <w:rsid w:val="003531D4"/>
    <w:rsid w:val="00354C02"/>
    <w:rsid w:val="00356A57"/>
    <w:rsid w:val="003572CE"/>
    <w:rsid w:val="0036094C"/>
    <w:rsid w:val="00360AB5"/>
    <w:rsid w:val="00360DDB"/>
    <w:rsid w:val="003622AA"/>
    <w:rsid w:val="00362D8B"/>
    <w:rsid w:val="00365865"/>
    <w:rsid w:val="00365F11"/>
    <w:rsid w:val="00366787"/>
    <w:rsid w:val="00367A1D"/>
    <w:rsid w:val="0037240A"/>
    <w:rsid w:val="0037263E"/>
    <w:rsid w:val="00374A59"/>
    <w:rsid w:val="003751F2"/>
    <w:rsid w:val="00376122"/>
    <w:rsid w:val="0038002A"/>
    <w:rsid w:val="00381329"/>
    <w:rsid w:val="0038501E"/>
    <w:rsid w:val="0038596C"/>
    <w:rsid w:val="00385B9E"/>
    <w:rsid w:val="0038732D"/>
    <w:rsid w:val="00387E23"/>
    <w:rsid w:val="00395B61"/>
    <w:rsid w:val="0039637C"/>
    <w:rsid w:val="00397C5E"/>
    <w:rsid w:val="003A07EE"/>
    <w:rsid w:val="003A0B58"/>
    <w:rsid w:val="003A1049"/>
    <w:rsid w:val="003A1D99"/>
    <w:rsid w:val="003A4CCB"/>
    <w:rsid w:val="003B27B7"/>
    <w:rsid w:val="003B2E0A"/>
    <w:rsid w:val="003B4529"/>
    <w:rsid w:val="003B58F5"/>
    <w:rsid w:val="003C0D31"/>
    <w:rsid w:val="003C0DC3"/>
    <w:rsid w:val="003C14CF"/>
    <w:rsid w:val="003C244A"/>
    <w:rsid w:val="003C3E98"/>
    <w:rsid w:val="003C54C5"/>
    <w:rsid w:val="003C6FA0"/>
    <w:rsid w:val="003D1550"/>
    <w:rsid w:val="003D1F1C"/>
    <w:rsid w:val="003D276C"/>
    <w:rsid w:val="003D38D5"/>
    <w:rsid w:val="003E0391"/>
    <w:rsid w:val="003E2875"/>
    <w:rsid w:val="003E3EF2"/>
    <w:rsid w:val="003E5C86"/>
    <w:rsid w:val="003E783A"/>
    <w:rsid w:val="003F254B"/>
    <w:rsid w:val="003F29F8"/>
    <w:rsid w:val="003F38C0"/>
    <w:rsid w:val="003F6295"/>
    <w:rsid w:val="00400ACA"/>
    <w:rsid w:val="0040218C"/>
    <w:rsid w:val="00411437"/>
    <w:rsid w:val="00411D82"/>
    <w:rsid w:val="0041235C"/>
    <w:rsid w:val="0041297C"/>
    <w:rsid w:val="004137A4"/>
    <w:rsid w:val="0041385D"/>
    <w:rsid w:val="00413BC6"/>
    <w:rsid w:val="00420A1A"/>
    <w:rsid w:val="00420F22"/>
    <w:rsid w:val="00421AA9"/>
    <w:rsid w:val="00423140"/>
    <w:rsid w:val="00424021"/>
    <w:rsid w:val="0042533C"/>
    <w:rsid w:val="00427BD3"/>
    <w:rsid w:val="0043109C"/>
    <w:rsid w:val="00431329"/>
    <w:rsid w:val="0043152F"/>
    <w:rsid w:val="004326D3"/>
    <w:rsid w:val="00433F4B"/>
    <w:rsid w:val="00440978"/>
    <w:rsid w:val="00440F1B"/>
    <w:rsid w:val="00444266"/>
    <w:rsid w:val="00444D5C"/>
    <w:rsid w:val="00446EBC"/>
    <w:rsid w:val="00446FD8"/>
    <w:rsid w:val="00450FFD"/>
    <w:rsid w:val="0045369B"/>
    <w:rsid w:val="00454A81"/>
    <w:rsid w:val="004552AF"/>
    <w:rsid w:val="00455A2E"/>
    <w:rsid w:val="0045640B"/>
    <w:rsid w:val="0045718B"/>
    <w:rsid w:val="00457A05"/>
    <w:rsid w:val="00460E4B"/>
    <w:rsid w:val="004612FA"/>
    <w:rsid w:val="00465091"/>
    <w:rsid w:val="004650D0"/>
    <w:rsid w:val="00465714"/>
    <w:rsid w:val="0046598A"/>
    <w:rsid w:val="00467473"/>
    <w:rsid w:val="00470558"/>
    <w:rsid w:val="00473FAC"/>
    <w:rsid w:val="004750E6"/>
    <w:rsid w:val="004773EB"/>
    <w:rsid w:val="004817A3"/>
    <w:rsid w:val="0049231F"/>
    <w:rsid w:val="00496832"/>
    <w:rsid w:val="00496AEA"/>
    <w:rsid w:val="00496FC5"/>
    <w:rsid w:val="004A0D47"/>
    <w:rsid w:val="004A1F44"/>
    <w:rsid w:val="004A25E3"/>
    <w:rsid w:val="004A5039"/>
    <w:rsid w:val="004A6A1B"/>
    <w:rsid w:val="004B03A2"/>
    <w:rsid w:val="004B1F93"/>
    <w:rsid w:val="004B215E"/>
    <w:rsid w:val="004B2873"/>
    <w:rsid w:val="004B3E8F"/>
    <w:rsid w:val="004C02A6"/>
    <w:rsid w:val="004C17A4"/>
    <w:rsid w:val="004C2136"/>
    <w:rsid w:val="004C23AE"/>
    <w:rsid w:val="004C41CF"/>
    <w:rsid w:val="004C5CB7"/>
    <w:rsid w:val="004C6B15"/>
    <w:rsid w:val="004D0268"/>
    <w:rsid w:val="004D2BD2"/>
    <w:rsid w:val="004D3F39"/>
    <w:rsid w:val="004D4262"/>
    <w:rsid w:val="004D58DD"/>
    <w:rsid w:val="004D7060"/>
    <w:rsid w:val="004E16BF"/>
    <w:rsid w:val="004E6EDA"/>
    <w:rsid w:val="004E79A9"/>
    <w:rsid w:val="004F00F0"/>
    <w:rsid w:val="004F2639"/>
    <w:rsid w:val="004F58CE"/>
    <w:rsid w:val="00500CC3"/>
    <w:rsid w:val="005114B6"/>
    <w:rsid w:val="00512B58"/>
    <w:rsid w:val="00513311"/>
    <w:rsid w:val="00514A86"/>
    <w:rsid w:val="005155A8"/>
    <w:rsid w:val="00515AB0"/>
    <w:rsid w:val="00526D1F"/>
    <w:rsid w:val="005329D5"/>
    <w:rsid w:val="00532BF1"/>
    <w:rsid w:val="005339E3"/>
    <w:rsid w:val="0053402A"/>
    <w:rsid w:val="005367B4"/>
    <w:rsid w:val="00536B30"/>
    <w:rsid w:val="00536C3B"/>
    <w:rsid w:val="00540A48"/>
    <w:rsid w:val="00540A7D"/>
    <w:rsid w:val="00546E7E"/>
    <w:rsid w:val="0054769C"/>
    <w:rsid w:val="0055101F"/>
    <w:rsid w:val="005546D8"/>
    <w:rsid w:val="00554D60"/>
    <w:rsid w:val="00554D80"/>
    <w:rsid w:val="00555E3A"/>
    <w:rsid w:val="0056133B"/>
    <w:rsid w:val="00561F15"/>
    <w:rsid w:val="00564C8F"/>
    <w:rsid w:val="00567A9B"/>
    <w:rsid w:val="00567CA9"/>
    <w:rsid w:val="005710E8"/>
    <w:rsid w:val="00573E8C"/>
    <w:rsid w:val="00574A89"/>
    <w:rsid w:val="00576D8C"/>
    <w:rsid w:val="005836FB"/>
    <w:rsid w:val="00583D31"/>
    <w:rsid w:val="005853B7"/>
    <w:rsid w:val="00585854"/>
    <w:rsid w:val="00587F4D"/>
    <w:rsid w:val="00590A58"/>
    <w:rsid w:val="00591221"/>
    <w:rsid w:val="00591F9A"/>
    <w:rsid w:val="00591FA3"/>
    <w:rsid w:val="005958E6"/>
    <w:rsid w:val="005A067D"/>
    <w:rsid w:val="005A1773"/>
    <w:rsid w:val="005A25B7"/>
    <w:rsid w:val="005A398E"/>
    <w:rsid w:val="005A483E"/>
    <w:rsid w:val="005A51EA"/>
    <w:rsid w:val="005A673E"/>
    <w:rsid w:val="005B4DF1"/>
    <w:rsid w:val="005B5ED4"/>
    <w:rsid w:val="005C29BE"/>
    <w:rsid w:val="005C38C6"/>
    <w:rsid w:val="005C4A96"/>
    <w:rsid w:val="005C4A9C"/>
    <w:rsid w:val="005C6231"/>
    <w:rsid w:val="005C64AB"/>
    <w:rsid w:val="005C6BC6"/>
    <w:rsid w:val="005D1BF0"/>
    <w:rsid w:val="005D5FAC"/>
    <w:rsid w:val="005D76E5"/>
    <w:rsid w:val="005E1B7E"/>
    <w:rsid w:val="005E2838"/>
    <w:rsid w:val="005E2E88"/>
    <w:rsid w:val="005E3893"/>
    <w:rsid w:val="005E5444"/>
    <w:rsid w:val="005E59C0"/>
    <w:rsid w:val="005E6C94"/>
    <w:rsid w:val="005E745C"/>
    <w:rsid w:val="005E7754"/>
    <w:rsid w:val="005F4199"/>
    <w:rsid w:val="005F4607"/>
    <w:rsid w:val="005F47F2"/>
    <w:rsid w:val="005F501D"/>
    <w:rsid w:val="005F7C66"/>
    <w:rsid w:val="006007F7"/>
    <w:rsid w:val="00603390"/>
    <w:rsid w:val="00604B18"/>
    <w:rsid w:val="0061143D"/>
    <w:rsid w:val="0061267F"/>
    <w:rsid w:val="0061493E"/>
    <w:rsid w:val="006172DB"/>
    <w:rsid w:val="0061792D"/>
    <w:rsid w:val="00622C4E"/>
    <w:rsid w:val="00626FD4"/>
    <w:rsid w:val="006270AE"/>
    <w:rsid w:val="006301DE"/>
    <w:rsid w:val="00631D6A"/>
    <w:rsid w:val="0063495D"/>
    <w:rsid w:val="00634B55"/>
    <w:rsid w:val="0063542D"/>
    <w:rsid w:val="00636024"/>
    <w:rsid w:val="00637BE3"/>
    <w:rsid w:val="00640B5A"/>
    <w:rsid w:val="0064233E"/>
    <w:rsid w:val="0064536C"/>
    <w:rsid w:val="00646658"/>
    <w:rsid w:val="006533CB"/>
    <w:rsid w:val="00655A14"/>
    <w:rsid w:val="00656831"/>
    <w:rsid w:val="00660A35"/>
    <w:rsid w:val="006625FF"/>
    <w:rsid w:val="00666E6E"/>
    <w:rsid w:val="00667647"/>
    <w:rsid w:val="00671BE6"/>
    <w:rsid w:val="00673E76"/>
    <w:rsid w:val="006771A1"/>
    <w:rsid w:val="0068031C"/>
    <w:rsid w:val="006804AC"/>
    <w:rsid w:val="00680A7D"/>
    <w:rsid w:val="00683C2A"/>
    <w:rsid w:val="006849C6"/>
    <w:rsid w:val="00685D9A"/>
    <w:rsid w:val="0069125C"/>
    <w:rsid w:val="00693FD4"/>
    <w:rsid w:val="00694219"/>
    <w:rsid w:val="00694364"/>
    <w:rsid w:val="00695B1D"/>
    <w:rsid w:val="006A3C9B"/>
    <w:rsid w:val="006A480A"/>
    <w:rsid w:val="006A61E4"/>
    <w:rsid w:val="006A650A"/>
    <w:rsid w:val="006B133B"/>
    <w:rsid w:val="006B1932"/>
    <w:rsid w:val="006B221A"/>
    <w:rsid w:val="006B4297"/>
    <w:rsid w:val="006B7638"/>
    <w:rsid w:val="006C42BB"/>
    <w:rsid w:val="006C444A"/>
    <w:rsid w:val="006C721A"/>
    <w:rsid w:val="006C7C75"/>
    <w:rsid w:val="006D2080"/>
    <w:rsid w:val="006D3734"/>
    <w:rsid w:val="006D5AC3"/>
    <w:rsid w:val="006E0772"/>
    <w:rsid w:val="006E21C4"/>
    <w:rsid w:val="006E2E6A"/>
    <w:rsid w:val="006E3E65"/>
    <w:rsid w:val="006E626E"/>
    <w:rsid w:val="006E6AB3"/>
    <w:rsid w:val="006E7328"/>
    <w:rsid w:val="006E7FEF"/>
    <w:rsid w:val="006F009C"/>
    <w:rsid w:val="006F1579"/>
    <w:rsid w:val="006F62C2"/>
    <w:rsid w:val="006F6808"/>
    <w:rsid w:val="006F69D7"/>
    <w:rsid w:val="006F6EB6"/>
    <w:rsid w:val="006F731C"/>
    <w:rsid w:val="00700374"/>
    <w:rsid w:val="00702E1E"/>
    <w:rsid w:val="007060C7"/>
    <w:rsid w:val="0071093D"/>
    <w:rsid w:val="00711138"/>
    <w:rsid w:val="00711A5D"/>
    <w:rsid w:val="007120B7"/>
    <w:rsid w:val="0071258F"/>
    <w:rsid w:val="007138B1"/>
    <w:rsid w:val="00716685"/>
    <w:rsid w:val="0071689F"/>
    <w:rsid w:val="00716BDA"/>
    <w:rsid w:val="00716D1B"/>
    <w:rsid w:val="00720F12"/>
    <w:rsid w:val="007231D9"/>
    <w:rsid w:val="00723F8E"/>
    <w:rsid w:val="00724F24"/>
    <w:rsid w:val="00725DB7"/>
    <w:rsid w:val="00726D6C"/>
    <w:rsid w:val="00726EF0"/>
    <w:rsid w:val="0072750C"/>
    <w:rsid w:val="00732152"/>
    <w:rsid w:val="00733534"/>
    <w:rsid w:val="00733A4F"/>
    <w:rsid w:val="00733FD7"/>
    <w:rsid w:val="007361BD"/>
    <w:rsid w:val="007362B6"/>
    <w:rsid w:val="00740F0A"/>
    <w:rsid w:val="00741B3D"/>
    <w:rsid w:val="00741DEA"/>
    <w:rsid w:val="00743D34"/>
    <w:rsid w:val="0074460A"/>
    <w:rsid w:val="00744EAA"/>
    <w:rsid w:val="00745ECE"/>
    <w:rsid w:val="0074743F"/>
    <w:rsid w:val="00747654"/>
    <w:rsid w:val="007502F0"/>
    <w:rsid w:val="007601E0"/>
    <w:rsid w:val="0076066B"/>
    <w:rsid w:val="00760C9A"/>
    <w:rsid w:val="00761101"/>
    <w:rsid w:val="00761DFC"/>
    <w:rsid w:val="0076202C"/>
    <w:rsid w:val="007671F9"/>
    <w:rsid w:val="007713C6"/>
    <w:rsid w:val="00771FEB"/>
    <w:rsid w:val="007739A2"/>
    <w:rsid w:val="00781377"/>
    <w:rsid w:val="007828A1"/>
    <w:rsid w:val="0078299F"/>
    <w:rsid w:val="0078478D"/>
    <w:rsid w:val="00786BB2"/>
    <w:rsid w:val="0078736A"/>
    <w:rsid w:val="00790605"/>
    <w:rsid w:val="007910D8"/>
    <w:rsid w:val="00791E2E"/>
    <w:rsid w:val="00792A8B"/>
    <w:rsid w:val="00792C42"/>
    <w:rsid w:val="00793174"/>
    <w:rsid w:val="007931B2"/>
    <w:rsid w:val="007931BB"/>
    <w:rsid w:val="007948E7"/>
    <w:rsid w:val="00795506"/>
    <w:rsid w:val="0079770D"/>
    <w:rsid w:val="007A00B6"/>
    <w:rsid w:val="007A3E51"/>
    <w:rsid w:val="007A7A6F"/>
    <w:rsid w:val="007B00D2"/>
    <w:rsid w:val="007B075D"/>
    <w:rsid w:val="007B3B2C"/>
    <w:rsid w:val="007B40C1"/>
    <w:rsid w:val="007B51AD"/>
    <w:rsid w:val="007C103F"/>
    <w:rsid w:val="007C12CF"/>
    <w:rsid w:val="007C306A"/>
    <w:rsid w:val="007D02FD"/>
    <w:rsid w:val="007D12F1"/>
    <w:rsid w:val="007D24C2"/>
    <w:rsid w:val="007D262E"/>
    <w:rsid w:val="007D2C8A"/>
    <w:rsid w:val="007D2F35"/>
    <w:rsid w:val="007D3099"/>
    <w:rsid w:val="007D585B"/>
    <w:rsid w:val="007D62CF"/>
    <w:rsid w:val="007E0486"/>
    <w:rsid w:val="007E12CD"/>
    <w:rsid w:val="007E1A8F"/>
    <w:rsid w:val="007E4219"/>
    <w:rsid w:val="007E4773"/>
    <w:rsid w:val="007E5CEB"/>
    <w:rsid w:val="007E5D8C"/>
    <w:rsid w:val="007E60EB"/>
    <w:rsid w:val="007E6688"/>
    <w:rsid w:val="007E7CEC"/>
    <w:rsid w:val="007E7F84"/>
    <w:rsid w:val="007F2B1D"/>
    <w:rsid w:val="007F4A13"/>
    <w:rsid w:val="007F4CD8"/>
    <w:rsid w:val="007F5A1D"/>
    <w:rsid w:val="008005A7"/>
    <w:rsid w:val="00800E8C"/>
    <w:rsid w:val="00801FE0"/>
    <w:rsid w:val="00804A69"/>
    <w:rsid w:val="0080537C"/>
    <w:rsid w:val="0080598E"/>
    <w:rsid w:val="00814EEC"/>
    <w:rsid w:val="00820780"/>
    <w:rsid w:val="0082150B"/>
    <w:rsid w:val="00821A19"/>
    <w:rsid w:val="00822478"/>
    <w:rsid w:val="00823A0A"/>
    <w:rsid w:val="00827197"/>
    <w:rsid w:val="00827717"/>
    <w:rsid w:val="00830249"/>
    <w:rsid w:val="008308E0"/>
    <w:rsid w:val="00835405"/>
    <w:rsid w:val="00836AE6"/>
    <w:rsid w:val="00837099"/>
    <w:rsid w:val="008404CF"/>
    <w:rsid w:val="00840B81"/>
    <w:rsid w:val="00842A4E"/>
    <w:rsid w:val="00844207"/>
    <w:rsid w:val="00844FC8"/>
    <w:rsid w:val="00845770"/>
    <w:rsid w:val="008459ED"/>
    <w:rsid w:val="00846AF5"/>
    <w:rsid w:val="0085081D"/>
    <w:rsid w:val="0085289F"/>
    <w:rsid w:val="00853154"/>
    <w:rsid w:val="00853158"/>
    <w:rsid w:val="008532EB"/>
    <w:rsid w:val="00854BCC"/>
    <w:rsid w:val="00856713"/>
    <w:rsid w:val="0086056F"/>
    <w:rsid w:val="0086251D"/>
    <w:rsid w:val="0086251E"/>
    <w:rsid w:val="00863F69"/>
    <w:rsid w:val="00864756"/>
    <w:rsid w:val="00866C91"/>
    <w:rsid w:val="00874A5E"/>
    <w:rsid w:val="00874C44"/>
    <w:rsid w:val="00876B22"/>
    <w:rsid w:val="008770F8"/>
    <w:rsid w:val="00883006"/>
    <w:rsid w:val="00883E76"/>
    <w:rsid w:val="00885B44"/>
    <w:rsid w:val="008870C6"/>
    <w:rsid w:val="00887FCB"/>
    <w:rsid w:val="00890971"/>
    <w:rsid w:val="00891BDE"/>
    <w:rsid w:val="00894314"/>
    <w:rsid w:val="00897611"/>
    <w:rsid w:val="008A02B8"/>
    <w:rsid w:val="008A2D3E"/>
    <w:rsid w:val="008A38A9"/>
    <w:rsid w:val="008A4E4E"/>
    <w:rsid w:val="008A4EE5"/>
    <w:rsid w:val="008A4FCA"/>
    <w:rsid w:val="008A52AE"/>
    <w:rsid w:val="008A5596"/>
    <w:rsid w:val="008A5EAD"/>
    <w:rsid w:val="008A6CC5"/>
    <w:rsid w:val="008B3082"/>
    <w:rsid w:val="008B4ECD"/>
    <w:rsid w:val="008B513F"/>
    <w:rsid w:val="008B6F18"/>
    <w:rsid w:val="008C065B"/>
    <w:rsid w:val="008C2B48"/>
    <w:rsid w:val="008C3FE3"/>
    <w:rsid w:val="008C55C6"/>
    <w:rsid w:val="008C60C2"/>
    <w:rsid w:val="008D2230"/>
    <w:rsid w:val="008D639A"/>
    <w:rsid w:val="008D7B3D"/>
    <w:rsid w:val="008D7F22"/>
    <w:rsid w:val="008E02EC"/>
    <w:rsid w:val="008E167A"/>
    <w:rsid w:val="008E21A8"/>
    <w:rsid w:val="008E2822"/>
    <w:rsid w:val="008E33A4"/>
    <w:rsid w:val="008E37FA"/>
    <w:rsid w:val="008E3CDF"/>
    <w:rsid w:val="008E5EDD"/>
    <w:rsid w:val="008E736C"/>
    <w:rsid w:val="008E7609"/>
    <w:rsid w:val="008F165A"/>
    <w:rsid w:val="008F42DF"/>
    <w:rsid w:val="008F6822"/>
    <w:rsid w:val="008F7224"/>
    <w:rsid w:val="00900D38"/>
    <w:rsid w:val="0090177B"/>
    <w:rsid w:val="0090200A"/>
    <w:rsid w:val="00902A43"/>
    <w:rsid w:val="00902E06"/>
    <w:rsid w:val="009055BC"/>
    <w:rsid w:val="00910F05"/>
    <w:rsid w:val="00910F71"/>
    <w:rsid w:val="00912751"/>
    <w:rsid w:val="00913CEB"/>
    <w:rsid w:val="00914F10"/>
    <w:rsid w:val="00916A62"/>
    <w:rsid w:val="00916E1E"/>
    <w:rsid w:val="00917497"/>
    <w:rsid w:val="00920E59"/>
    <w:rsid w:val="009232EB"/>
    <w:rsid w:val="00924502"/>
    <w:rsid w:val="009259C4"/>
    <w:rsid w:val="00926337"/>
    <w:rsid w:val="00930550"/>
    <w:rsid w:val="00930FEB"/>
    <w:rsid w:val="00931FA3"/>
    <w:rsid w:val="009321E0"/>
    <w:rsid w:val="00933B0E"/>
    <w:rsid w:val="0093705A"/>
    <w:rsid w:val="009373E7"/>
    <w:rsid w:val="00937BC4"/>
    <w:rsid w:val="00940051"/>
    <w:rsid w:val="009428C6"/>
    <w:rsid w:val="00943444"/>
    <w:rsid w:val="0094480B"/>
    <w:rsid w:val="00944C90"/>
    <w:rsid w:val="0094676B"/>
    <w:rsid w:val="00950490"/>
    <w:rsid w:val="0095092C"/>
    <w:rsid w:val="0095209C"/>
    <w:rsid w:val="00954040"/>
    <w:rsid w:val="009554E3"/>
    <w:rsid w:val="00955DBD"/>
    <w:rsid w:val="00955F84"/>
    <w:rsid w:val="00957B45"/>
    <w:rsid w:val="00960EBE"/>
    <w:rsid w:val="00962F89"/>
    <w:rsid w:val="00963104"/>
    <w:rsid w:val="00963670"/>
    <w:rsid w:val="009648F0"/>
    <w:rsid w:val="009660A3"/>
    <w:rsid w:val="00966D1E"/>
    <w:rsid w:val="009704AF"/>
    <w:rsid w:val="00972512"/>
    <w:rsid w:val="00974DC5"/>
    <w:rsid w:val="00975CD3"/>
    <w:rsid w:val="00976763"/>
    <w:rsid w:val="00977E9E"/>
    <w:rsid w:val="009803BA"/>
    <w:rsid w:val="00980A4A"/>
    <w:rsid w:val="00980C1A"/>
    <w:rsid w:val="0098148E"/>
    <w:rsid w:val="00984530"/>
    <w:rsid w:val="00984A60"/>
    <w:rsid w:val="00985BD6"/>
    <w:rsid w:val="00985CD7"/>
    <w:rsid w:val="0099384C"/>
    <w:rsid w:val="009939D6"/>
    <w:rsid w:val="00994C25"/>
    <w:rsid w:val="009A4679"/>
    <w:rsid w:val="009A71A4"/>
    <w:rsid w:val="009B0431"/>
    <w:rsid w:val="009B26A2"/>
    <w:rsid w:val="009B37F0"/>
    <w:rsid w:val="009B3B1C"/>
    <w:rsid w:val="009B407B"/>
    <w:rsid w:val="009B6DF7"/>
    <w:rsid w:val="009B79A0"/>
    <w:rsid w:val="009C4A72"/>
    <w:rsid w:val="009C5CD8"/>
    <w:rsid w:val="009C61E7"/>
    <w:rsid w:val="009C6C0E"/>
    <w:rsid w:val="009D26EE"/>
    <w:rsid w:val="009D34FA"/>
    <w:rsid w:val="009E2C0F"/>
    <w:rsid w:val="009E4C9C"/>
    <w:rsid w:val="009E5014"/>
    <w:rsid w:val="009F0163"/>
    <w:rsid w:val="009F1D67"/>
    <w:rsid w:val="009F2C09"/>
    <w:rsid w:val="009F32DE"/>
    <w:rsid w:val="009F6577"/>
    <w:rsid w:val="00A00C03"/>
    <w:rsid w:val="00A01151"/>
    <w:rsid w:val="00A01B66"/>
    <w:rsid w:val="00A022AD"/>
    <w:rsid w:val="00A0308E"/>
    <w:rsid w:val="00A03BE1"/>
    <w:rsid w:val="00A0457E"/>
    <w:rsid w:val="00A074E0"/>
    <w:rsid w:val="00A077EA"/>
    <w:rsid w:val="00A07CED"/>
    <w:rsid w:val="00A12128"/>
    <w:rsid w:val="00A12CF4"/>
    <w:rsid w:val="00A1406A"/>
    <w:rsid w:val="00A141B6"/>
    <w:rsid w:val="00A160DC"/>
    <w:rsid w:val="00A1692F"/>
    <w:rsid w:val="00A21C15"/>
    <w:rsid w:val="00A23AFB"/>
    <w:rsid w:val="00A24DC8"/>
    <w:rsid w:val="00A27A58"/>
    <w:rsid w:val="00A30394"/>
    <w:rsid w:val="00A31685"/>
    <w:rsid w:val="00A327EB"/>
    <w:rsid w:val="00A3344D"/>
    <w:rsid w:val="00A355B6"/>
    <w:rsid w:val="00A36398"/>
    <w:rsid w:val="00A4320C"/>
    <w:rsid w:val="00A45EBE"/>
    <w:rsid w:val="00A473EB"/>
    <w:rsid w:val="00A47673"/>
    <w:rsid w:val="00A501CD"/>
    <w:rsid w:val="00A50E61"/>
    <w:rsid w:val="00A538B2"/>
    <w:rsid w:val="00A547FF"/>
    <w:rsid w:val="00A5648C"/>
    <w:rsid w:val="00A5747C"/>
    <w:rsid w:val="00A577A3"/>
    <w:rsid w:val="00A577BE"/>
    <w:rsid w:val="00A617ED"/>
    <w:rsid w:val="00A63E2A"/>
    <w:rsid w:val="00A64630"/>
    <w:rsid w:val="00A65424"/>
    <w:rsid w:val="00A6751B"/>
    <w:rsid w:val="00A7076A"/>
    <w:rsid w:val="00A7320E"/>
    <w:rsid w:val="00A7325A"/>
    <w:rsid w:val="00A756D0"/>
    <w:rsid w:val="00A81C71"/>
    <w:rsid w:val="00A8392C"/>
    <w:rsid w:val="00A83D25"/>
    <w:rsid w:val="00A84623"/>
    <w:rsid w:val="00A8466A"/>
    <w:rsid w:val="00A85771"/>
    <w:rsid w:val="00A870A2"/>
    <w:rsid w:val="00A870AF"/>
    <w:rsid w:val="00A9093B"/>
    <w:rsid w:val="00A91D1F"/>
    <w:rsid w:val="00A934F0"/>
    <w:rsid w:val="00A93642"/>
    <w:rsid w:val="00A9630F"/>
    <w:rsid w:val="00A96D52"/>
    <w:rsid w:val="00AA0FFE"/>
    <w:rsid w:val="00AA402D"/>
    <w:rsid w:val="00AA45DA"/>
    <w:rsid w:val="00AA5123"/>
    <w:rsid w:val="00AA6678"/>
    <w:rsid w:val="00AA7B0C"/>
    <w:rsid w:val="00AC1038"/>
    <w:rsid w:val="00AC19E8"/>
    <w:rsid w:val="00AC3BBA"/>
    <w:rsid w:val="00AC5044"/>
    <w:rsid w:val="00AC50DE"/>
    <w:rsid w:val="00AC7BB0"/>
    <w:rsid w:val="00AD0547"/>
    <w:rsid w:val="00AD1AD9"/>
    <w:rsid w:val="00AD298C"/>
    <w:rsid w:val="00AD6E0F"/>
    <w:rsid w:val="00AD7FED"/>
    <w:rsid w:val="00AE1E29"/>
    <w:rsid w:val="00AE40E8"/>
    <w:rsid w:val="00AE4764"/>
    <w:rsid w:val="00AE5433"/>
    <w:rsid w:val="00AF1496"/>
    <w:rsid w:val="00AF3B8B"/>
    <w:rsid w:val="00AF5607"/>
    <w:rsid w:val="00B001B6"/>
    <w:rsid w:val="00B009EF"/>
    <w:rsid w:val="00B028E3"/>
    <w:rsid w:val="00B05DD4"/>
    <w:rsid w:val="00B065F8"/>
    <w:rsid w:val="00B06F4D"/>
    <w:rsid w:val="00B155E4"/>
    <w:rsid w:val="00B210D5"/>
    <w:rsid w:val="00B21C3F"/>
    <w:rsid w:val="00B22662"/>
    <w:rsid w:val="00B22BE9"/>
    <w:rsid w:val="00B2537B"/>
    <w:rsid w:val="00B258EB"/>
    <w:rsid w:val="00B262E6"/>
    <w:rsid w:val="00B26614"/>
    <w:rsid w:val="00B27688"/>
    <w:rsid w:val="00B302D0"/>
    <w:rsid w:val="00B31093"/>
    <w:rsid w:val="00B32363"/>
    <w:rsid w:val="00B329FE"/>
    <w:rsid w:val="00B32D0B"/>
    <w:rsid w:val="00B32D98"/>
    <w:rsid w:val="00B340F6"/>
    <w:rsid w:val="00B372DD"/>
    <w:rsid w:val="00B40808"/>
    <w:rsid w:val="00B40CF6"/>
    <w:rsid w:val="00B40DFD"/>
    <w:rsid w:val="00B41911"/>
    <w:rsid w:val="00B421C8"/>
    <w:rsid w:val="00B45047"/>
    <w:rsid w:val="00B45925"/>
    <w:rsid w:val="00B46380"/>
    <w:rsid w:val="00B469AC"/>
    <w:rsid w:val="00B50968"/>
    <w:rsid w:val="00B518C3"/>
    <w:rsid w:val="00B54690"/>
    <w:rsid w:val="00B57334"/>
    <w:rsid w:val="00B61DC9"/>
    <w:rsid w:val="00B632E9"/>
    <w:rsid w:val="00B6340B"/>
    <w:rsid w:val="00B6455E"/>
    <w:rsid w:val="00B66CD4"/>
    <w:rsid w:val="00B67DC6"/>
    <w:rsid w:val="00B70557"/>
    <w:rsid w:val="00B72580"/>
    <w:rsid w:val="00B73701"/>
    <w:rsid w:val="00B74196"/>
    <w:rsid w:val="00B7425F"/>
    <w:rsid w:val="00B74DCF"/>
    <w:rsid w:val="00B75AAE"/>
    <w:rsid w:val="00B76968"/>
    <w:rsid w:val="00B802B8"/>
    <w:rsid w:val="00B84202"/>
    <w:rsid w:val="00B855DF"/>
    <w:rsid w:val="00B85F29"/>
    <w:rsid w:val="00B86687"/>
    <w:rsid w:val="00B9086F"/>
    <w:rsid w:val="00B91273"/>
    <w:rsid w:val="00B91985"/>
    <w:rsid w:val="00B91B26"/>
    <w:rsid w:val="00B925EB"/>
    <w:rsid w:val="00B92EC4"/>
    <w:rsid w:val="00B9684D"/>
    <w:rsid w:val="00B96FA8"/>
    <w:rsid w:val="00BA03F1"/>
    <w:rsid w:val="00BA0B03"/>
    <w:rsid w:val="00BA33E8"/>
    <w:rsid w:val="00BA35EB"/>
    <w:rsid w:val="00BA3FF2"/>
    <w:rsid w:val="00BA7384"/>
    <w:rsid w:val="00BB120E"/>
    <w:rsid w:val="00BB2106"/>
    <w:rsid w:val="00BB3196"/>
    <w:rsid w:val="00BB35AC"/>
    <w:rsid w:val="00BB3933"/>
    <w:rsid w:val="00BB6E24"/>
    <w:rsid w:val="00BB7855"/>
    <w:rsid w:val="00BC3EAA"/>
    <w:rsid w:val="00BC4E07"/>
    <w:rsid w:val="00BD2231"/>
    <w:rsid w:val="00BD224C"/>
    <w:rsid w:val="00BD5263"/>
    <w:rsid w:val="00BD5FEB"/>
    <w:rsid w:val="00BE1974"/>
    <w:rsid w:val="00BE2650"/>
    <w:rsid w:val="00BE266D"/>
    <w:rsid w:val="00BE2984"/>
    <w:rsid w:val="00BE2D31"/>
    <w:rsid w:val="00BE5CD4"/>
    <w:rsid w:val="00BE5CE0"/>
    <w:rsid w:val="00BE5E55"/>
    <w:rsid w:val="00BE672F"/>
    <w:rsid w:val="00BE7716"/>
    <w:rsid w:val="00BF1F05"/>
    <w:rsid w:val="00BF30E8"/>
    <w:rsid w:val="00BF3BFF"/>
    <w:rsid w:val="00BF5389"/>
    <w:rsid w:val="00BF66CF"/>
    <w:rsid w:val="00BF6924"/>
    <w:rsid w:val="00C00088"/>
    <w:rsid w:val="00C00112"/>
    <w:rsid w:val="00C02378"/>
    <w:rsid w:val="00C055A8"/>
    <w:rsid w:val="00C1238F"/>
    <w:rsid w:val="00C139FE"/>
    <w:rsid w:val="00C14CCA"/>
    <w:rsid w:val="00C16412"/>
    <w:rsid w:val="00C16465"/>
    <w:rsid w:val="00C20805"/>
    <w:rsid w:val="00C22FBE"/>
    <w:rsid w:val="00C2355E"/>
    <w:rsid w:val="00C2549C"/>
    <w:rsid w:val="00C276F3"/>
    <w:rsid w:val="00C42E3D"/>
    <w:rsid w:val="00C4367B"/>
    <w:rsid w:val="00C45304"/>
    <w:rsid w:val="00C4610D"/>
    <w:rsid w:val="00C5159A"/>
    <w:rsid w:val="00C5557D"/>
    <w:rsid w:val="00C56848"/>
    <w:rsid w:val="00C60BF1"/>
    <w:rsid w:val="00C60D57"/>
    <w:rsid w:val="00C6250F"/>
    <w:rsid w:val="00C64308"/>
    <w:rsid w:val="00C64E14"/>
    <w:rsid w:val="00C65D4B"/>
    <w:rsid w:val="00C67493"/>
    <w:rsid w:val="00C71484"/>
    <w:rsid w:val="00C7269E"/>
    <w:rsid w:val="00C728C9"/>
    <w:rsid w:val="00C73FB5"/>
    <w:rsid w:val="00C741BE"/>
    <w:rsid w:val="00C85A61"/>
    <w:rsid w:val="00C86618"/>
    <w:rsid w:val="00C86B92"/>
    <w:rsid w:val="00C9084E"/>
    <w:rsid w:val="00C920CF"/>
    <w:rsid w:val="00C92F71"/>
    <w:rsid w:val="00C93342"/>
    <w:rsid w:val="00C94103"/>
    <w:rsid w:val="00C94C9D"/>
    <w:rsid w:val="00C952DC"/>
    <w:rsid w:val="00C95664"/>
    <w:rsid w:val="00C96222"/>
    <w:rsid w:val="00C96282"/>
    <w:rsid w:val="00C97D51"/>
    <w:rsid w:val="00CA07A9"/>
    <w:rsid w:val="00CA23B3"/>
    <w:rsid w:val="00CA2C4D"/>
    <w:rsid w:val="00CB0317"/>
    <w:rsid w:val="00CB08EA"/>
    <w:rsid w:val="00CB2EA2"/>
    <w:rsid w:val="00CB6E89"/>
    <w:rsid w:val="00CB6EB5"/>
    <w:rsid w:val="00CC1AD2"/>
    <w:rsid w:val="00CC20B9"/>
    <w:rsid w:val="00CC5601"/>
    <w:rsid w:val="00CC5A43"/>
    <w:rsid w:val="00CD142E"/>
    <w:rsid w:val="00CD18C0"/>
    <w:rsid w:val="00CD378D"/>
    <w:rsid w:val="00CD40AE"/>
    <w:rsid w:val="00CD4AB9"/>
    <w:rsid w:val="00CE03C1"/>
    <w:rsid w:val="00CE6253"/>
    <w:rsid w:val="00CE6546"/>
    <w:rsid w:val="00CF10F0"/>
    <w:rsid w:val="00CF4048"/>
    <w:rsid w:val="00CF7405"/>
    <w:rsid w:val="00D00A53"/>
    <w:rsid w:val="00D0412B"/>
    <w:rsid w:val="00D0588E"/>
    <w:rsid w:val="00D059FB"/>
    <w:rsid w:val="00D06454"/>
    <w:rsid w:val="00D06E81"/>
    <w:rsid w:val="00D06FE0"/>
    <w:rsid w:val="00D07ECA"/>
    <w:rsid w:val="00D114CA"/>
    <w:rsid w:val="00D15D88"/>
    <w:rsid w:val="00D16389"/>
    <w:rsid w:val="00D2060A"/>
    <w:rsid w:val="00D238D2"/>
    <w:rsid w:val="00D242F0"/>
    <w:rsid w:val="00D27B67"/>
    <w:rsid w:val="00D27F31"/>
    <w:rsid w:val="00D32463"/>
    <w:rsid w:val="00D3341D"/>
    <w:rsid w:val="00D36C39"/>
    <w:rsid w:val="00D377F0"/>
    <w:rsid w:val="00D41292"/>
    <w:rsid w:val="00D444AF"/>
    <w:rsid w:val="00D513B1"/>
    <w:rsid w:val="00D5550E"/>
    <w:rsid w:val="00D639BC"/>
    <w:rsid w:val="00D651AA"/>
    <w:rsid w:val="00D67795"/>
    <w:rsid w:val="00D726D1"/>
    <w:rsid w:val="00D74ED0"/>
    <w:rsid w:val="00D812B3"/>
    <w:rsid w:val="00D823DA"/>
    <w:rsid w:val="00D82405"/>
    <w:rsid w:val="00D8601C"/>
    <w:rsid w:val="00D86402"/>
    <w:rsid w:val="00D873DB"/>
    <w:rsid w:val="00D92C99"/>
    <w:rsid w:val="00D92CF3"/>
    <w:rsid w:val="00D92E8F"/>
    <w:rsid w:val="00D93BE8"/>
    <w:rsid w:val="00D93E42"/>
    <w:rsid w:val="00DA12D3"/>
    <w:rsid w:val="00DA17F5"/>
    <w:rsid w:val="00DA1E7B"/>
    <w:rsid w:val="00DA2E3C"/>
    <w:rsid w:val="00DA47BD"/>
    <w:rsid w:val="00DA4B6D"/>
    <w:rsid w:val="00DA58FB"/>
    <w:rsid w:val="00DB0DD0"/>
    <w:rsid w:val="00DB11F2"/>
    <w:rsid w:val="00DB2097"/>
    <w:rsid w:val="00DB2BBA"/>
    <w:rsid w:val="00DB357A"/>
    <w:rsid w:val="00DB42C4"/>
    <w:rsid w:val="00DB4498"/>
    <w:rsid w:val="00DC010B"/>
    <w:rsid w:val="00DC0E92"/>
    <w:rsid w:val="00DC152C"/>
    <w:rsid w:val="00DC51AB"/>
    <w:rsid w:val="00DC622D"/>
    <w:rsid w:val="00DC66A1"/>
    <w:rsid w:val="00DC71AE"/>
    <w:rsid w:val="00DC7C93"/>
    <w:rsid w:val="00DD07A6"/>
    <w:rsid w:val="00DD1D2B"/>
    <w:rsid w:val="00DD207D"/>
    <w:rsid w:val="00DD577C"/>
    <w:rsid w:val="00DD5CEC"/>
    <w:rsid w:val="00DD61DF"/>
    <w:rsid w:val="00DD7E39"/>
    <w:rsid w:val="00DE00F2"/>
    <w:rsid w:val="00DE0602"/>
    <w:rsid w:val="00DE454D"/>
    <w:rsid w:val="00DE4776"/>
    <w:rsid w:val="00DE78BA"/>
    <w:rsid w:val="00DE7DE0"/>
    <w:rsid w:val="00DF053E"/>
    <w:rsid w:val="00DF1847"/>
    <w:rsid w:val="00DF19AB"/>
    <w:rsid w:val="00DF4441"/>
    <w:rsid w:val="00DF4815"/>
    <w:rsid w:val="00DF5D53"/>
    <w:rsid w:val="00DF6436"/>
    <w:rsid w:val="00DF71BB"/>
    <w:rsid w:val="00E00030"/>
    <w:rsid w:val="00E001BB"/>
    <w:rsid w:val="00E04D29"/>
    <w:rsid w:val="00E04E7C"/>
    <w:rsid w:val="00E0661D"/>
    <w:rsid w:val="00E1243F"/>
    <w:rsid w:val="00E159A6"/>
    <w:rsid w:val="00E16014"/>
    <w:rsid w:val="00E247FB"/>
    <w:rsid w:val="00E26756"/>
    <w:rsid w:val="00E322B3"/>
    <w:rsid w:val="00E364F7"/>
    <w:rsid w:val="00E37C11"/>
    <w:rsid w:val="00E37D84"/>
    <w:rsid w:val="00E404B3"/>
    <w:rsid w:val="00E4194B"/>
    <w:rsid w:val="00E42F97"/>
    <w:rsid w:val="00E435AF"/>
    <w:rsid w:val="00E449D1"/>
    <w:rsid w:val="00E45ECE"/>
    <w:rsid w:val="00E47515"/>
    <w:rsid w:val="00E50147"/>
    <w:rsid w:val="00E502A5"/>
    <w:rsid w:val="00E51BDE"/>
    <w:rsid w:val="00E52D76"/>
    <w:rsid w:val="00E54242"/>
    <w:rsid w:val="00E55695"/>
    <w:rsid w:val="00E56360"/>
    <w:rsid w:val="00E56DA0"/>
    <w:rsid w:val="00E5711D"/>
    <w:rsid w:val="00E62901"/>
    <w:rsid w:val="00E659AB"/>
    <w:rsid w:val="00E65C62"/>
    <w:rsid w:val="00E67477"/>
    <w:rsid w:val="00E720EC"/>
    <w:rsid w:val="00E73F2D"/>
    <w:rsid w:val="00E740BE"/>
    <w:rsid w:val="00E762D7"/>
    <w:rsid w:val="00E77206"/>
    <w:rsid w:val="00E81063"/>
    <w:rsid w:val="00E84A83"/>
    <w:rsid w:val="00E86C6C"/>
    <w:rsid w:val="00E9010E"/>
    <w:rsid w:val="00E9015A"/>
    <w:rsid w:val="00E90775"/>
    <w:rsid w:val="00E9521F"/>
    <w:rsid w:val="00E95E6B"/>
    <w:rsid w:val="00EA1097"/>
    <w:rsid w:val="00EA3047"/>
    <w:rsid w:val="00EA34D8"/>
    <w:rsid w:val="00EA4289"/>
    <w:rsid w:val="00EA4B8D"/>
    <w:rsid w:val="00EA613D"/>
    <w:rsid w:val="00EA797B"/>
    <w:rsid w:val="00EB0490"/>
    <w:rsid w:val="00EB0C82"/>
    <w:rsid w:val="00EB17FA"/>
    <w:rsid w:val="00EB3BF2"/>
    <w:rsid w:val="00EB4FE5"/>
    <w:rsid w:val="00EB548A"/>
    <w:rsid w:val="00EB6A79"/>
    <w:rsid w:val="00EC3EA7"/>
    <w:rsid w:val="00EC45E5"/>
    <w:rsid w:val="00EC4E5A"/>
    <w:rsid w:val="00EC5A74"/>
    <w:rsid w:val="00ED17FE"/>
    <w:rsid w:val="00ED2551"/>
    <w:rsid w:val="00ED3234"/>
    <w:rsid w:val="00ED70AB"/>
    <w:rsid w:val="00ED7AAE"/>
    <w:rsid w:val="00ED7CC5"/>
    <w:rsid w:val="00EE4425"/>
    <w:rsid w:val="00EE6224"/>
    <w:rsid w:val="00EE7C84"/>
    <w:rsid w:val="00EF4301"/>
    <w:rsid w:val="00EF4C7D"/>
    <w:rsid w:val="00EF5BC5"/>
    <w:rsid w:val="00EF6DAB"/>
    <w:rsid w:val="00F02AFF"/>
    <w:rsid w:val="00F03794"/>
    <w:rsid w:val="00F05D1E"/>
    <w:rsid w:val="00F0698F"/>
    <w:rsid w:val="00F07FD8"/>
    <w:rsid w:val="00F11372"/>
    <w:rsid w:val="00F12DC1"/>
    <w:rsid w:val="00F13D73"/>
    <w:rsid w:val="00F1511D"/>
    <w:rsid w:val="00F15826"/>
    <w:rsid w:val="00F15C7F"/>
    <w:rsid w:val="00F16678"/>
    <w:rsid w:val="00F16B50"/>
    <w:rsid w:val="00F17B16"/>
    <w:rsid w:val="00F20476"/>
    <w:rsid w:val="00F20683"/>
    <w:rsid w:val="00F22D8C"/>
    <w:rsid w:val="00F2421B"/>
    <w:rsid w:val="00F25370"/>
    <w:rsid w:val="00F26EB7"/>
    <w:rsid w:val="00F27B56"/>
    <w:rsid w:val="00F303C5"/>
    <w:rsid w:val="00F34AB8"/>
    <w:rsid w:val="00F3580E"/>
    <w:rsid w:val="00F41AF1"/>
    <w:rsid w:val="00F42E01"/>
    <w:rsid w:val="00F432D7"/>
    <w:rsid w:val="00F435DF"/>
    <w:rsid w:val="00F5417E"/>
    <w:rsid w:val="00F54A39"/>
    <w:rsid w:val="00F54C9D"/>
    <w:rsid w:val="00F57302"/>
    <w:rsid w:val="00F61038"/>
    <w:rsid w:val="00F611D5"/>
    <w:rsid w:val="00F7294A"/>
    <w:rsid w:val="00F73BD3"/>
    <w:rsid w:val="00F753DB"/>
    <w:rsid w:val="00F7601B"/>
    <w:rsid w:val="00F8020E"/>
    <w:rsid w:val="00F828BA"/>
    <w:rsid w:val="00F83C27"/>
    <w:rsid w:val="00F8519D"/>
    <w:rsid w:val="00F8787D"/>
    <w:rsid w:val="00F975A3"/>
    <w:rsid w:val="00FA0ABA"/>
    <w:rsid w:val="00FA0B43"/>
    <w:rsid w:val="00FA1666"/>
    <w:rsid w:val="00FA233C"/>
    <w:rsid w:val="00FA34C5"/>
    <w:rsid w:val="00FA7294"/>
    <w:rsid w:val="00FB03CD"/>
    <w:rsid w:val="00FB0928"/>
    <w:rsid w:val="00FB2BB8"/>
    <w:rsid w:val="00FB3780"/>
    <w:rsid w:val="00FB4DBE"/>
    <w:rsid w:val="00FB56F7"/>
    <w:rsid w:val="00FB6CDD"/>
    <w:rsid w:val="00FC2A1B"/>
    <w:rsid w:val="00FC4936"/>
    <w:rsid w:val="00FD13C8"/>
    <w:rsid w:val="00FD286C"/>
    <w:rsid w:val="00FD41DB"/>
    <w:rsid w:val="00FD4937"/>
    <w:rsid w:val="00FE0B15"/>
    <w:rsid w:val="00FE459F"/>
    <w:rsid w:val="00FE4AA4"/>
    <w:rsid w:val="00FE5025"/>
    <w:rsid w:val="00FE65FC"/>
    <w:rsid w:val="00FE7541"/>
    <w:rsid w:val="00FF27F6"/>
    <w:rsid w:val="00FF4F4D"/>
    <w:rsid w:val="00FF654E"/>
    <w:rsid w:val="00FF76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B3"/>
    <w:pPr>
      <w:spacing w:after="200" w:line="276" w:lineRule="auto"/>
    </w:pPr>
    <w:rPr>
      <w:sz w:val="22"/>
      <w:szCs w:val="22"/>
    </w:rPr>
  </w:style>
  <w:style w:type="paragraph" w:styleId="Heading1">
    <w:name w:val="heading 1"/>
    <w:basedOn w:val="Normal"/>
    <w:link w:val="Heading1Char"/>
    <w:uiPriority w:val="9"/>
    <w:qFormat/>
    <w:rsid w:val="00822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A58"/>
    <w:pPr>
      <w:autoSpaceDE w:val="0"/>
      <w:autoSpaceDN w:val="0"/>
      <w:adjustRightInd w:val="0"/>
    </w:pPr>
    <w:rPr>
      <w:rFonts w:ascii="Garamond" w:hAnsi="Garamond" w:cs="Garamond"/>
      <w:color w:val="000000"/>
      <w:sz w:val="24"/>
      <w:szCs w:val="24"/>
    </w:rPr>
  </w:style>
  <w:style w:type="paragraph" w:styleId="NoSpacing">
    <w:name w:val="No Spacing"/>
    <w:uiPriority w:val="1"/>
    <w:qFormat/>
    <w:rsid w:val="00C20805"/>
    <w:rPr>
      <w:sz w:val="22"/>
      <w:szCs w:val="22"/>
    </w:rPr>
  </w:style>
  <w:style w:type="paragraph" w:styleId="ListParagraph">
    <w:name w:val="List Paragraph"/>
    <w:basedOn w:val="Normal"/>
    <w:uiPriority w:val="34"/>
    <w:qFormat/>
    <w:rsid w:val="00F8519D"/>
    <w:pPr>
      <w:spacing w:after="0" w:line="240" w:lineRule="auto"/>
      <w:ind w:left="720"/>
    </w:pPr>
    <w:rPr>
      <w:rFonts w:ascii="Arial" w:eastAsia="Times New Roman" w:hAnsi="Arial" w:cs="Times New Roman"/>
      <w:szCs w:val="24"/>
      <w:lang w:val="en-US" w:eastAsia="en-US"/>
    </w:rPr>
  </w:style>
  <w:style w:type="character" w:styleId="Hyperlink">
    <w:name w:val="Hyperlink"/>
    <w:basedOn w:val="DefaultParagraphFont"/>
    <w:uiPriority w:val="99"/>
    <w:unhideWhenUsed/>
    <w:rsid w:val="00822478"/>
    <w:rPr>
      <w:color w:val="0000FF"/>
      <w:u w:val="single"/>
    </w:rPr>
  </w:style>
  <w:style w:type="character" w:styleId="FollowedHyperlink">
    <w:name w:val="FollowedHyperlink"/>
    <w:basedOn w:val="DefaultParagraphFont"/>
    <w:uiPriority w:val="99"/>
    <w:semiHidden/>
    <w:unhideWhenUsed/>
    <w:rsid w:val="00822478"/>
    <w:rPr>
      <w:color w:val="800080"/>
      <w:u w:val="single"/>
    </w:rPr>
  </w:style>
  <w:style w:type="character" w:customStyle="1" w:styleId="Heading1Char">
    <w:name w:val="Heading 1 Char"/>
    <w:basedOn w:val="DefaultParagraphFont"/>
    <w:link w:val="Heading1"/>
    <w:uiPriority w:val="9"/>
    <w:rsid w:val="0082247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A3C9B"/>
    <w:pPr>
      <w:tabs>
        <w:tab w:val="center" w:pos="4513"/>
        <w:tab w:val="right" w:pos="9026"/>
      </w:tabs>
    </w:pPr>
  </w:style>
  <w:style w:type="character" w:customStyle="1" w:styleId="HeaderChar">
    <w:name w:val="Header Char"/>
    <w:basedOn w:val="DefaultParagraphFont"/>
    <w:link w:val="Header"/>
    <w:uiPriority w:val="99"/>
    <w:rsid w:val="006A3C9B"/>
  </w:style>
  <w:style w:type="paragraph" w:styleId="Footer">
    <w:name w:val="footer"/>
    <w:basedOn w:val="Normal"/>
    <w:link w:val="FooterChar"/>
    <w:uiPriority w:val="99"/>
    <w:unhideWhenUsed/>
    <w:rsid w:val="006A3C9B"/>
    <w:pPr>
      <w:tabs>
        <w:tab w:val="center" w:pos="4513"/>
        <w:tab w:val="right" w:pos="9026"/>
      </w:tabs>
    </w:pPr>
  </w:style>
  <w:style w:type="character" w:customStyle="1" w:styleId="FooterChar">
    <w:name w:val="Footer Char"/>
    <w:basedOn w:val="DefaultParagraphFont"/>
    <w:link w:val="Footer"/>
    <w:uiPriority w:val="99"/>
    <w:rsid w:val="006A3C9B"/>
  </w:style>
  <w:style w:type="paragraph" w:styleId="BalloonText">
    <w:name w:val="Balloon Text"/>
    <w:basedOn w:val="Normal"/>
    <w:link w:val="BalloonTextChar"/>
    <w:uiPriority w:val="99"/>
    <w:semiHidden/>
    <w:unhideWhenUsed/>
    <w:rsid w:val="006A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9B"/>
    <w:rPr>
      <w:rFonts w:ascii="Tahoma" w:hAnsi="Tahoma" w:cs="Tahoma"/>
      <w:sz w:val="16"/>
      <w:szCs w:val="16"/>
    </w:rPr>
  </w:style>
  <w:style w:type="table" w:styleId="TableGrid">
    <w:name w:val="Table Grid"/>
    <w:basedOn w:val="TableNormal"/>
    <w:rsid w:val="00DF444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B3"/>
    <w:pPr>
      <w:spacing w:after="200" w:line="276" w:lineRule="auto"/>
    </w:pPr>
    <w:rPr>
      <w:sz w:val="22"/>
      <w:szCs w:val="22"/>
    </w:rPr>
  </w:style>
  <w:style w:type="paragraph" w:styleId="Heading1">
    <w:name w:val="heading 1"/>
    <w:basedOn w:val="Normal"/>
    <w:link w:val="Heading1Char"/>
    <w:uiPriority w:val="9"/>
    <w:qFormat/>
    <w:rsid w:val="00822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A58"/>
    <w:pPr>
      <w:autoSpaceDE w:val="0"/>
      <w:autoSpaceDN w:val="0"/>
      <w:adjustRightInd w:val="0"/>
    </w:pPr>
    <w:rPr>
      <w:rFonts w:ascii="Garamond" w:hAnsi="Garamond" w:cs="Garamond"/>
      <w:color w:val="000000"/>
      <w:sz w:val="24"/>
      <w:szCs w:val="24"/>
    </w:rPr>
  </w:style>
  <w:style w:type="paragraph" w:styleId="NoSpacing">
    <w:name w:val="No Spacing"/>
    <w:uiPriority w:val="1"/>
    <w:qFormat/>
    <w:rsid w:val="00C20805"/>
    <w:rPr>
      <w:sz w:val="22"/>
      <w:szCs w:val="22"/>
    </w:rPr>
  </w:style>
  <w:style w:type="paragraph" w:styleId="ListParagraph">
    <w:name w:val="List Paragraph"/>
    <w:basedOn w:val="Normal"/>
    <w:uiPriority w:val="34"/>
    <w:qFormat/>
    <w:rsid w:val="00F8519D"/>
    <w:pPr>
      <w:spacing w:after="0" w:line="240" w:lineRule="auto"/>
      <w:ind w:left="720"/>
    </w:pPr>
    <w:rPr>
      <w:rFonts w:ascii="Arial" w:eastAsia="Times New Roman" w:hAnsi="Arial" w:cs="Times New Roman"/>
      <w:szCs w:val="24"/>
      <w:lang w:val="en-US" w:eastAsia="en-US"/>
    </w:rPr>
  </w:style>
  <w:style w:type="character" w:styleId="Hyperlink">
    <w:name w:val="Hyperlink"/>
    <w:basedOn w:val="DefaultParagraphFont"/>
    <w:uiPriority w:val="99"/>
    <w:unhideWhenUsed/>
    <w:rsid w:val="00822478"/>
    <w:rPr>
      <w:color w:val="0000FF"/>
      <w:u w:val="single"/>
    </w:rPr>
  </w:style>
  <w:style w:type="character" w:styleId="FollowedHyperlink">
    <w:name w:val="FollowedHyperlink"/>
    <w:basedOn w:val="DefaultParagraphFont"/>
    <w:uiPriority w:val="99"/>
    <w:semiHidden/>
    <w:unhideWhenUsed/>
    <w:rsid w:val="00822478"/>
    <w:rPr>
      <w:color w:val="800080"/>
      <w:u w:val="single"/>
    </w:rPr>
  </w:style>
  <w:style w:type="character" w:customStyle="1" w:styleId="Heading1Char">
    <w:name w:val="Heading 1 Char"/>
    <w:basedOn w:val="DefaultParagraphFont"/>
    <w:link w:val="Heading1"/>
    <w:uiPriority w:val="9"/>
    <w:rsid w:val="0082247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A3C9B"/>
    <w:pPr>
      <w:tabs>
        <w:tab w:val="center" w:pos="4513"/>
        <w:tab w:val="right" w:pos="9026"/>
      </w:tabs>
    </w:pPr>
  </w:style>
  <w:style w:type="character" w:customStyle="1" w:styleId="HeaderChar">
    <w:name w:val="Header Char"/>
    <w:basedOn w:val="DefaultParagraphFont"/>
    <w:link w:val="Header"/>
    <w:uiPriority w:val="99"/>
    <w:rsid w:val="006A3C9B"/>
  </w:style>
  <w:style w:type="paragraph" w:styleId="Footer">
    <w:name w:val="footer"/>
    <w:basedOn w:val="Normal"/>
    <w:link w:val="FooterChar"/>
    <w:uiPriority w:val="99"/>
    <w:unhideWhenUsed/>
    <w:rsid w:val="006A3C9B"/>
    <w:pPr>
      <w:tabs>
        <w:tab w:val="center" w:pos="4513"/>
        <w:tab w:val="right" w:pos="9026"/>
      </w:tabs>
    </w:pPr>
  </w:style>
  <w:style w:type="character" w:customStyle="1" w:styleId="FooterChar">
    <w:name w:val="Footer Char"/>
    <w:basedOn w:val="DefaultParagraphFont"/>
    <w:link w:val="Footer"/>
    <w:uiPriority w:val="99"/>
    <w:rsid w:val="006A3C9B"/>
  </w:style>
  <w:style w:type="paragraph" w:styleId="BalloonText">
    <w:name w:val="Balloon Text"/>
    <w:basedOn w:val="Normal"/>
    <w:link w:val="BalloonTextChar"/>
    <w:uiPriority w:val="99"/>
    <w:semiHidden/>
    <w:unhideWhenUsed/>
    <w:rsid w:val="006A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9B"/>
    <w:rPr>
      <w:rFonts w:ascii="Tahoma" w:hAnsi="Tahoma" w:cs="Tahoma"/>
      <w:sz w:val="16"/>
      <w:szCs w:val="16"/>
    </w:rPr>
  </w:style>
  <w:style w:type="table" w:styleId="TableGrid">
    <w:name w:val="Table Grid"/>
    <w:basedOn w:val="TableNormal"/>
    <w:rsid w:val="00DF444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9373">
      <w:bodyDiv w:val="1"/>
      <w:marLeft w:val="0"/>
      <w:marRight w:val="0"/>
      <w:marTop w:val="0"/>
      <w:marBottom w:val="0"/>
      <w:divBdr>
        <w:top w:val="none" w:sz="0" w:space="0" w:color="auto"/>
        <w:left w:val="none" w:sz="0" w:space="0" w:color="auto"/>
        <w:bottom w:val="none" w:sz="0" w:space="0" w:color="auto"/>
        <w:right w:val="none" w:sz="0" w:space="0" w:color="auto"/>
      </w:divBdr>
    </w:div>
    <w:div w:id="9888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uments.manchester.ac.uk/DocuInfo.aspx?DocID=28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6883B-19A0-4BC7-BD54-FF187CA6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mfztsdt2</dc:creator>
  <cp:lastModifiedBy>Nicola Lord</cp:lastModifiedBy>
  <cp:revision>3</cp:revision>
  <cp:lastPrinted>2013-07-12T14:54:00Z</cp:lastPrinted>
  <dcterms:created xsi:type="dcterms:W3CDTF">2013-08-08T15:16:00Z</dcterms:created>
  <dcterms:modified xsi:type="dcterms:W3CDTF">2013-08-08T15:17:00Z</dcterms:modified>
</cp:coreProperties>
</file>