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1"/>
        <w:tblW w:w="0" w:type="auto"/>
        <w:tblLook w:val="04A0" w:firstRow="1" w:lastRow="0" w:firstColumn="1" w:lastColumn="0" w:noHBand="0" w:noVBand="1"/>
      </w:tblPr>
      <w:tblGrid>
        <w:gridCol w:w="7051"/>
      </w:tblGrid>
      <w:tr w:rsidR="00FD5BC5" w:rsidTr="00FD5BC5">
        <w:tc>
          <w:tcPr>
            <w:tcW w:w="7051" w:type="dxa"/>
          </w:tcPr>
          <w:p w:rsidR="00FD5BC5" w:rsidRDefault="00FD5BC5" w:rsidP="00FD5BC5">
            <w:pPr>
              <w:jc w:val="center"/>
              <w:rPr>
                <w:b/>
                <w:sz w:val="28"/>
                <w:szCs w:val="28"/>
                <w:u w:val="single"/>
              </w:rPr>
            </w:pPr>
            <w:bookmarkStart w:id="0" w:name="_GoBack"/>
            <w:bookmarkEnd w:id="0"/>
            <w:r>
              <w:rPr>
                <w:b/>
                <w:sz w:val="28"/>
                <w:szCs w:val="28"/>
                <w:u w:val="single"/>
              </w:rPr>
              <w:t>Faculty of Humanities</w:t>
            </w:r>
          </w:p>
          <w:p w:rsidR="00FD5BC5" w:rsidRDefault="00FD5BC5" w:rsidP="00FD5BC5">
            <w:pPr>
              <w:jc w:val="center"/>
              <w:rPr>
                <w:b/>
                <w:sz w:val="28"/>
                <w:szCs w:val="28"/>
                <w:u w:val="single"/>
              </w:rPr>
            </w:pPr>
            <w:r>
              <w:rPr>
                <w:b/>
                <w:sz w:val="28"/>
                <w:szCs w:val="28"/>
                <w:u w:val="single"/>
              </w:rPr>
              <w:t>Reduced Scale Stepped Marking FAQs for Postgraduate Taught Students</w:t>
            </w:r>
          </w:p>
          <w:p w:rsidR="00FD5BC5" w:rsidRDefault="00FD5BC5" w:rsidP="00FD5BC5">
            <w:pPr>
              <w:rPr>
                <w:b/>
                <w:sz w:val="28"/>
                <w:szCs w:val="28"/>
                <w:u w:val="single"/>
              </w:rPr>
            </w:pPr>
          </w:p>
        </w:tc>
      </w:tr>
    </w:tbl>
    <w:p w:rsidR="00FD5BC5" w:rsidRDefault="00FD5BC5" w:rsidP="00FD5BC5">
      <w:pPr>
        <w:rPr>
          <w:b/>
          <w:sz w:val="28"/>
          <w:szCs w:val="28"/>
          <w:u w:val="single"/>
        </w:rPr>
      </w:pPr>
      <w:r>
        <w:rPr>
          <w:noProof/>
          <w:lang w:eastAsia="en-GB"/>
        </w:rPr>
        <w:drawing>
          <wp:inline distT="0" distB="0" distL="0" distR="0" wp14:anchorId="6BE7F29F" wp14:editId="3C53B1FA">
            <wp:extent cx="1609725" cy="6826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682625"/>
                    </a:xfrm>
                    <a:prstGeom prst="rect">
                      <a:avLst/>
                    </a:prstGeom>
                    <a:noFill/>
                  </pic:spPr>
                </pic:pic>
              </a:graphicData>
            </a:graphic>
          </wp:inline>
        </w:drawing>
      </w:r>
    </w:p>
    <w:p w:rsidR="00FD5BC5" w:rsidRDefault="00FD5BC5" w:rsidP="00FD5BC5">
      <w:pPr>
        <w:rPr>
          <w:b/>
          <w:sz w:val="28"/>
          <w:szCs w:val="28"/>
          <w:u w:val="single"/>
        </w:rPr>
      </w:pPr>
    </w:p>
    <w:p w:rsidR="009F0E0D" w:rsidRDefault="009F0E0D" w:rsidP="009F0E0D">
      <w:pPr>
        <w:pStyle w:val="ListParagraph"/>
        <w:numPr>
          <w:ilvl w:val="0"/>
          <w:numId w:val="3"/>
        </w:numPr>
        <w:rPr>
          <w:b/>
        </w:rPr>
      </w:pPr>
      <w:r>
        <w:rPr>
          <w:b/>
        </w:rPr>
        <w:t>What is reduced scale stepped marking?</w:t>
      </w:r>
    </w:p>
    <w:p w:rsidR="009F0E0D" w:rsidRDefault="009F0E0D" w:rsidP="009F0E0D">
      <w:pPr>
        <w:ind w:firstLine="360"/>
      </w:pPr>
      <w:r>
        <w:t xml:space="preserve">Marking that uses a restricted number of marks with the 0-100% range.  </w:t>
      </w:r>
    </w:p>
    <w:p w:rsidR="009F0E0D" w:rsidRDefault="009F0E0D" w:rsidP="009F0E0D">
      <w:pPr>
        <w:pStyle w:val="ListParagraph"/>
        <w:numPr>
          <w:ilvl w:val="0"/>
          <w:numId w:val="3"/>
        </w:numPr>
        <w:rPr>
          <w:b/>
        </w:rPr>
      </w:pPr>
      <w:r>
        <w:rPr>
          <w:b/>
        </w:rPr>
        <w:t>Why has reduced scale stepped marking been introduced?</w:t>
      </w:r>
    </w:p>
    <w:p w:rsidR="009F0E0D" w:rsidRDefault="009F0E0D" w:rsidP="009F0E0D">
      <w:pPr>
        <w:ind w:left="360"/>
      </w:pPr>
      <w:r>
        <w:t xml:space="preserve">Feedback from students suggests that they are not always sure about the difference between different percentage marks (e.g. what the difference is between a piece of work that is graded at 66% and one that is graded at 68%).  </w:t>
      </w:r>
    </w:p>
    <w:p w:rsidR="009F0E0D" w:rsidRDefault="009F0E0D" w:rsidP="009F0E0D">
      <w:pPr>
        <w:ind w:left="360"/>
      </w:pPr>
      <w:r>
        <w:t xml:space="preserve">Reduced scale stepped marking will provide you with greater clarity about the quality of your work.  It will allow clearer comparisons between marks attained in one </w:t>
      </w:r>
      <w:r w:rsidRPr="00FC1E3E">
        <w:t>course unit</w:t>
      </w:r>
      <w:r>
        <w:t xml:space="preserve"> and another.   </w:t>
      </w:r>
    </w:p>
    <w:p w:rsidR="009F0E0D" w:rsidRDefault="009F0E0D" w:rsidP="009F0E0D">
      <w:pPr>
        <w:ind w:left="360"/>
      </w:pPr>
      <w:r>
        <w:t>Reduced scale stepped marking is also intended to allow excellence to be appropriately rewarded.  Markers are encouraged to reward the best quality work with the highest marks using the full mark range, but this doesn’t always happen.  We hope that the introduction of reduced scale stepped marking will help markers to make greater use of the full range of marks at the upper and lower ends of the scale, thus ensuring that marks reflect the quality of the work presented.</w:t>
      </w:r>
    </w:p>
    <w:p w:rsidR="009F0E0D" w:rsidRDefault="009F0E0D" w:rsidP="009F0E0D">
      <w:pPr>
        <w:pStyle w:val="ListParagraph"/>
        <w:numPr>
          <w:ilvl w:val="0"/>
          <w:numId w:val="3"/>
        </w:numPr>
        <w:rPr>
          <w:b/>
        </w:rPr>
      </w:pPr>
      <w:r>
        <w:rPr>
          <w:b/>
        </w:rPr>
        <w:t>Will I be advantaged or disadvantaged by the introduction of reduced scale stepped marking?</w:t>
      </w:r>
    </w:p>
    <w:p w:rsidR="009F0E0D" w:rsidRDefault="009F0E0D" w:rsidP="009F0E0D">
      <w:pPr>
        <w:ind w:left="360"/>
      </w:pPr>
      <w:r>
        <w:t>No.  All assessments are moderated which means that the marking is reviewed.  External Examiners also review marking.  This ensures that you can be confident that the mark you receive reflects the quality of the work you have submitted.</w:t>
      </w:r>
    </w:p>
    <w:p w:rsidR="009F0E0D" w:rsidRDefault="009F0E0D" w:rsidP="009F0E0D">
      <w:pPr>
        <w:ind w:left="360"/>
      </w:pPr>
      <w:r>
        <w:t>The introduction of this marking scheme is intended to help you get greater clarity about the quality of that work and, in turn, this will improve the feedback you get on your work and provide you with ideas about how to improve your work.</w:t>
      </w:r>
    </w:p>
    <w:p w:rsidR="009F0E0D" w:rsidRDefault="009F0E0D" w:rsidP="009F0E0D">
      <w:pPr>
        <w:pStyle w:val="ListParagraph"/>
        <w:numPr>
          <w:ilvl w:val="0"/>
          <w:numId w:val="3"/>
        </w:numPr>
        <w:rPr>
          <w:b/>
        </w:rPr>
      </w:pPr>
      <w:r>
        <w:rPr>
          <w:b/>
        </w:rPr>
        <w:t>How does it work?</w:t>
      </w:r>
    </w:p>
    <w:p w:rsidR="009F0E0D" w:rsidRDefault="009F0E0D" w:rsidP="009F0E0D">
      <w:pPr>
        <w:ind w:left="360"/>
        <w:rPr>
          <w:rFonts w:cs="Arial"/>
        </w:rPr>
      </w:pPr>
      <w:r>
        <w:t xml:space="preserve">Up to now, summative assessments on postgraduate course units have been marked using a scale that </w:t>
      </w:r>
      <w:r>
        <w:rPr>
          <w:rFonts w:cs="Arial"/>
        </w:rPr>
        <w:t xml:space="preserve">ranged from 0 to 100%, with marked work falling into different classes of performance, as follows: </w:t>
      </w:r>
    </w:p>
    <w:tbl>
      <w:tblPr>
        <w:tblStyle w:val="TableGrid"/>
        <w:tblW w:w="0" w:type="auto"/>
        <w:jc w:val="center"/>
        <w:tblLook w:val="04A0" w:firstRow="1" w:lastRow="0" w:firstColumn="1" w:lastColumn="0" w:noHBand="0" w:noVBand="1"/>
      </w:tblPr>
      <w:tblGrid>
        <w:gridCol w:w="1526"/>
        <w:gridCol w:w="2693"/>
      </w:tblGrid>
      <w:tr w:rsidR="009F0E0D" w:rsidTr="001D2890">
        <w:trPr>
          <w:jc w:val="center"/>
        </w:trPr>
        <w:tc>
          <w:tcPr>
            <w:tcW w:w="1526" w:type="dxa"/>
          </w:tcPr>
          <w:p w:rsidR="009F0E0D" w:rsidRDefault="009F0E0D" w:rsidP="001D2890">
            <w:pPr>
              <w:spacing w:line="276" w:lineRule="auto"/>
              <w:rPr>
                <w:b/>
              </w:rPr>
            </w:pPr>
            <w:r>
              <w:rPr>
                <w:b/>
              </w:rPr>
              <w:t>%</w:t>
            </w:r>
          </w:p>
        </w:tc>
        <w:tc>
          <w:tcPr>
            <w:tcW w:w="2693" w:type="dxa"/>
          </w:tcPr>
          <w:p w:rsidR="009F0E0D" w:rsidRDefault="009F0E0D" w:rsidP="001D2890">
            <w:pPr>
              <w:spacing w:line="276" w:lineRule="auto"/>
              <w:rPr>
                <w:b/>
              </w:rPr>
            </w:pPr>
            <w:r>
              <w:rPr>
                <w:b/>
              </w:rPr>
              <w:t>Class</w:t>
            </w:r>
          </w:p>
        </w:tc>
      </w:tr>
      <w:tr w:rsidR="009F0E0D" w:rsidTr="001D2890">
        <w:trPr>
          <w:jc w:val="center"/>
        </w:trPr>
        <w:tc>
          <w:tcPr>
            <w:tcW w:w="1526" w:type="dxa"/>
          </w:tcPr>
          <w:p w:rsidR="009F0E0D" w:rsidRDefault="009F0E0D" w:rsidP="001D2890">
            <w:pPr>
              <w:spacing w:line="276" w:lineRule="auto"/>
            </w:pPr>
            <w:r>
              <w:t>70-100</w:t>
            </w:r>
          </w:p>
        </w:tc>
        <w:tc>
          <w:tcPr>
            <w:tcW w:w="2693" w:type="dxa"/>
          </w:tcPr>
          <w:p w:rsidR="009F0E0D" w:rsidRDefault="009F0E0D" w:rsidP="001D2890">
            <w:pPr>
              <w:spacing w:line="276" w:lineRule="auto"/>
            </w:pPr>
            <w:r>
              <w:t>Distinction</w:t>
            </w:r>
          </w:p>
        </w:tc>
      </w:tr>
      <w:tr w:rsidR="009F0E0D" w:rsidTr="001D2890">
        <w:trPr>
          <w:jc w:val="center"/>
        </w:trPr>
        <w:tc>
          <w:tcPr>
            <w:tcW w:w="1526" w:type="dxa"/>
          </w:tcPr>
          <w:p w:rsidR="009F0E0D" w:rsidRDefault="009F0E0D" w:rsidP="001D2890">
            <w:pPr>
              <w:spacing w:line="276" w:lineRule="auto"/>
            </w:pPr>
            <w:r>
              <w:t>60-69</w:t>
            </w:r>
          </w:p>
        </w:tc>
        <w:tc>
          <w:tcPr>
            <w:tcW w:w="2693" w:type="dxa"/>
          </w:tcPr>
          <w:p w:rsidR="009F0E0D" w:rsidRDefault="009F0E0D" w:rsidP="001D2890">
            <w:pPr>
              <w:spacing w:line="276" w:lineRule="auto"/>
            </w:pPr>
            <w:r>
              <w:t>Merit</w:t>
            </w:r>
          </w:p>
        </w:tc>
      </w:tr>
      <w:tr w:rsidR="009F0E0D" w:rsidTr="001D2890">
        <w:trPr>
          <w:jc w:val="center"/>
        </w:trPr>
        <w:tc>
          <w:tcPr>
            <w:tcW w:w="1526" w:type="dxa"/>
          </w:tcPr>
          <w:p w:rsidR="009F0E0D" w:rsidRDefault="009F0E0D" w:rsidP="001D2890">
            <w:pPr>
              <w:spacing w:line="276" w:lineRule="auto"/>
            </w:pPr>
            <w:r>
              <w:t>50-59</w:t>
            </w:r>
          </w:p>
        </w:tc>
        <w:tc>
          <w:tcPr>
            <w:tcW w:w="2693" w:type="dxa"/>
          </w:tcPr>
          <w:p w:rsidR="009F0E0D" w:rsidRDefault="009F0E0D" w:rsidP="001D2890">
            <w:pPr>
              <w:spacing w:line="276" w:lineRule="auto"/>
            </w:pPr>
            <w:r>
              <w:t>Pass</w:t>
            </w:r>
          </w:p>
        </w:tc>
      </w:tr>
      <w:tr w:rsidR="009F0E0D" w:rsidTr="001D2890">
        <w:trPr>
          <w:jc w:val="center"/>
        </w:trPr>
        <w:tc>
          <w:tcPr>
            <w:tcW w:w="1526" w:type="dxa"/>
          </w:tcPr>
          <w:p w:rsidR="009F0E0D" w:rsidRDefault="009F0E0D" w:rsidP="001D2890">
            <w:pPr>
              <w:spacing w:line="276" w:lineRule="auto"/>
            </w:pPr>
            <w:r>
              <w:t>40-49</w:t>
            </w:r>
          </w:p>
        </w:tc>
        <w:tc>
          <w:tcPr>
            <w:tcW w:w="2693" w:type="dxa"/>
          </w:tcPr>
          <w:p w:rsidR="009F0E0D" w:rsidRDefault="009F0E0D" w:rsidP="001D2890">
            <w:pPr>
              <w:spacing w:line="276" w:lineRule="auto"/>
            </w:pPr>
            <w:r>
              <w:t>Compensatable fail</w:t>
            </w:r>
          </w:p>
        </w:tc>
      </w:tr>
      <w:tr w:rsidR="009F0E0D" w:rsidTr="001D2890">
        <w:trPr>
          <w:jc w:val="center"/>
        </w:trPr>
        <w:tc>
          <w:tcPr>
            <w:tcW w:w="1526" w:type="dxa"/>
          </w:tcPr>
          <w:p w:rsidR="009F0E0D" w:rsidRDefault="009F0E0D" w:rsidP="001D2890">
            <w:pPr>
              <w:spacing w:line="276" w:lineRule="auto"/>
            </w:pPr>
            <w:r>
              <w:t>39 or less</w:t>
            </w:r>
          </w:p>
        </w:tc>
        <w:tc>
          <w:tcPr>
            <w:tcW w:w="2693" w:type="dxa"/>
          </w:tcPr>
          <w:p w:rsidR="009F0E0D" w:rsidRDefault="009F0E0D" w:rsidP="001D2890">
            <w:pPr>
              <w:spacing w:line="276" w:lineRule="auto"/>
            </w:pPr>
            <w:r>
              <w:t>Non-compensatable fail</w:t>
            </w:r>
          </w:p>
        </w:tc>
      </w:tr>
    </w:tbl>
    <w:p w:rsidR="00FD5BC5" w:rsidRDefault="00FD5BC5" w:rsidP="009F0E0D">
      <w:pPr>
        <w:ind w:left="360"/>
      </w:pPr>
    </w:p>
    <w:p w:rsidR="009F0E0D" w:rsidRDefault="009F0E0D" w:rsidP="009F0E0D">
      <w:pPr>
        <w:ind w:left="360"/>
        <w:rPr>
          <w:bCs/>
        </w:rPr>
      </w:pPr>
      <w:r>
        <w:t xml:space="preserve">On the reduced scale </w:t>
      </w:r>
      <w:r w:rsidRPr="00FC1E3E">
        <w:t>stepped</w:t>
      </w:r>
      <w:r>
        <w:rPr>
          <w:b/>
        </w:rPr>
        <w:t xml:space="preserve"> </w:t>
      </w:r>
      <w:r>
        <w:t xml:space="preserve">marking scale, </w:t>
      </w:r>
      <w:r>
        <w:rPr>
          <w:bCs/>
        </w:rPr>
        <w:t xml:space="preserve">a restricted number of marks or </w:t>
      </w:r>
      <w:r>
        <w:t>fixed percentages, which r</w:t>
      </w:r>
      <w:r>
        <w:rPr>
          <w:bCs/>
        </w:rPr>
        <w:t xml:space="preserve">epresent the lower, middle and upper ranges of the standard classification bands (Distinction, Merit, </w:t>
      </w:r>
      <w:r>
        <w:rPr>
          <w:bCs/>
        </w:rPr>
        <w:lastRenderedPageBreak/>
        <w:t xml:space="preserve">Pass, Fail), is used. For each of the above classification bands, work is deemed to meet the criteria minimally (lower range), well (mid range) or very well (upper range).  </w:t>
      </w:r>
    </w:p>
    <w:p w:rsidR="009F0E0D" w:rsidRDefault="009F0E0D" w:rsidP="009F0E0D">
      <w:pPr>
        <w:ind w:left="360"/>
      </w:pPr>
      <w:r>
        <w:rPr>
          <w:bCs/>
        </w:rPr>
        <w:t xml:space="preserve">To facilitate the best spread of marks along this spectrum, the </w:t>
      </w:r>
      <w:r>
        <w:t xml:space="preserve">reduced scale </w:t>
      </w:r>
      <w:r>
        <w:rPr>
          <w:bCs/>
        </w:rPr>
        <w:t xml:space="preserve">uses percentage figures ending in 2, 5 and 8 in each band (with the exception of the very lowest band in the Fail class). </w:t>
      </w:r>
      <w:r>
        <w:t xml:space="preserve">So, for example, work that is considered to meet the criteria for a mid-range Distinction will be awarded either 82%, 85% or 88%. The same applies to work that meets the criteria for other classification bands. </w:t>
      </w:r>
    </w:p>
    <w:p w:rsidR="009F0E0D" w:rsidRDefault="009F0E0D" w:rsidP="009F0E0D">
      <w:pPr>
        <w:ind w:left="360"/>
      </w:pPr>
      <w:r>
        <w:t>Here is the full range of available marks or fixed percentages on the reduced scale</w:t>
      </w:r>
      <w:r>
        <w:rPr>
          <w:bCs/>
        </w:rPr>
        <w:t>:</w:t>
      </w:r>
    </w:p>
    <w:tbl>
      <w:tblPr>
        <w:tblStyle w:val="TableGrid"/>
        <w:tblW w:w="0" w:type="auto"/>
        <w:jc w:val="center"/>
        <w:tblLook w:val="04A0" w:firstRow="1" w:lastRow="0" w:firstColumn="1" w:lastColumn="0" w:noHBand="0" w:noVBand="1"/>
      </w:tblPr>
      <w:tblGrid>
        <w:gridCol w:w="2235"/>
        <w:gridCol w:w="2693"/>
      </w:tblGrid>
      <w:tr w:rsidR="009F0E0D" w:rsidTr="001D2890">
        <w:trPr>
          <w:jc w:val="center"/>
        </w:trPr>
        <w:tc>
          <w:tcPr>
            <w:tcW w:w="2235" w:type="dxa"/>
          </w:tcPr>
          <w:p w:rsidR="009F0E0D" w:rsidRDefault="009F0E0D" w:rsidP="001D2890">
            <w:pPr>
              <w:spacing w:line="276" w:lineRule="auto"/>
              <w:rPr>
                <w:b/>
              </w:rPr>
            </w:pPr>
            <w:r>
              <w:rPr>
                <w:b/>
              </w:rPr>
              <w:t>Range / Class</w:t>
            </w:r>
          </w:p>
        </w:tc>
        <w:tc>
          <w:tcPr>
            <w:tcW w:w="2693" w:type="dxa"/>
          </w:tcPr>
          <w:p w:rsidR="009F0E0D" w:rsidRDefault="009F0E0D" w:rsidP="001D2890">
            <w:pPr>
              <w:spacing w:line="276" w:lineRule="auto"/>
              <w:rPr>
                <w:b/>
              </w:rPr>
            </w:pPr>
            <w:r>
              <w:rPr>
                <w:b/>
              </w:rPr>
              <w:t>Reduced scale stepped marking (fixed %)</w:t>
            </w:r>
          </w:p>
        </w:tc>
      </w:tr>
      <w:tr w:rsidR="009F0E0D" w:rsidTr="001D2890">
        <w:trPr>
          <w:jc w:val="center"/>
        </w:trPr>
        <w:tc>
          <w:tcPr>
            <w:tcW w:w="2235" w:type="dxa"/>
            <w:vMerge w:val="restart"/>
          </w:tcPr>
          <w:p w:rsidR="009F0E0D" w:rsidRDefault="009F0E0D" w:rsidP="001D2890">
            <w:pPr>
              <w:spacing w:line="276" w:lineRule="auto"/>
            </w:pPr>
            <w:r>
              <w:t>High Distinction</w:t>
            </w:r>
          </w:p>
        </w:tc>
        <w:tc>
          <w:tcPr>
            <w:tcW w:w="2693" w:type="dxa"/>
          </w:tcPr>
          <w:p w:rsidR="009F0E0D" w:rsidRDefault="009F0E0D" w:rsidP="001D2890">
            <w:pPr>
              <w:spacing w:line="276" w:lineRule="auto"/>
            </w:pPr>
            <w:r>
              <w:t>100</w:t>
            </w:r>
          </w:p>
        </w:tc>
      </w:tr>
      <w:tr w:rsidR="009F0E0D" w:rsidTr="001D2890">
        <w:trPr>
          <w:jc w:val="center"/>
        </w:trPr>
        <w:tc>
          <w:tcPr>
            <w:tcW w:w="2235" w:type="dxa"/>
            <w:vMerge/>
          </w:tcPr>
          <w:p w:rsidR="009F0E0D" w:rsidRDefault="009F0E0D" w:rsidP="001D2890">
            <w:pPr>
              <w:spacing w:line="276" w:lineRule="auto"/>
            </w:pPr>
          </w:p>
        </w:tc>
        <w:tc>
          <w:tcPr>
            <w:tcW w:w="2693" w:type="dxa"/>
          </w:tcPr>
          <w:p w:rsidR="009F0E0D" w:rsidRDefault="009F0E0D" w:rsidP="001D2890">
            <w:pPr>
              <w:spacing w:line="276" w:lineRule="auto"/>
            </w:pPr>
            <w:r>
              <w:t>95</w:t>
            </w:r>
          </w:p>
        </w:tc>
      </w:tr>
      <w:tr w:rsidR="009F0E0D" w:rsidTr="001D2890">
        <w:trPr>
          <w:jc w:val="center"/>
        </w:trPr>
        <w:tc>
          <w:tcPr>
            <w:tcW w:w="2235" w:type="dxa"/>
            <w:vMerge/>
          </w:tcPr>
          <w:p w:rsidR="009F0E0D" w:rsidRDefault="009F0E0D" w:rsidP="001D2890">
            <w:pPr>
              <w:spacing w:line="276" w:lineRule="auto"/>
            </w:pPr>
          </w:p>
        </w:tc>
        <w:tc>
          <w:tcPr>
            <w:tcW w:w="2693" w:type="dxa"/>
          </w:tcPr>
          <w:p w:rsidR="009F0E0D" w:rsidRDefault="009F0E0D" w:rsidP="001D2890">
            <w:pPr>
              <w:spacing w:line="276" w:lineRule="auto"/>
            </w:pPr>
            <w:r>
              <w:t>92</w:t>
            </w:r>
          </w:p>
        </w:tc>
      </w:tr>
      <w:tr w:rsidR="009F0E0D" w:rsidTr="001D2890">
        <w:trPr>
          <w:jc w:val="center"/>
        </w:trPr>
        <w:tc>
          <w:tcPr>
            <w:tcW w:w="2235" w:type="dxa"/>
            <w:vMerge w:val="restart"/>
          </w:tcPr>
          <w:p w:rsidR="009F0E0D" w:rsidRDefault="009F0E0D" w:rsidP="001D2890">
            <w:pPr>
              <w:spacing w:line="276" w:lineRule="auto"/>
            </w:pPr>
            <w:r>
              <w:t>Mid- range Distinction</w:t>
            </w:r>
          </w:p>
        </w:tc>
        <w:tc>
          <w:tcPr>
            <w:tcW w:w="2693" w:type="dxa"/>
          </w:tcPr>
          <w:p w:rsidR="009F0E0D" w:rsidRDefault="009F0E0D" w:rsidP="001D2890">
            <w:pPr>
              <w:spacing w:line="276" w:lineRule="auto"/>
            </w:pPr>
            <w:r>
              <w:t>88</w:t>
            </w:r>
          </w:p>
        </w:tc>
      </w:tr>
      <w:tr w:rsidR="009F0E0D" w:rsidTr="001D2890">
        <w:trPr>
          <w:jc w:val="center"/>
        </w:trPr>
        <w:tc>
          <w:tcPr>
            <w:tcW w:w="2235" w:type="dxa"/>
            <w:vMerge/>
          </w:tcPr>
          <w:p w:rsidR="009F0E0D" w:rsidRDefault="009F0E0D" w:rsidP="001D2890">
            <w:pPr>
              <w:spacing w:line="276" w:lineRule="auto"/>
            </w:pPr>
          </w:p>
        </w:tc>
        <w:tc>
          <w:tcPr>
            <w:tcW w:w="2693" w:type="dxa"/>
          </w:tcPr>
          <w:p w:rsidR="009F0E0D" w:rsidRDefault="009F0E0D" w:rsidP="001D2890">
            <w:pPr>
              <w:spacing w:line="276" w:lineRule="auto"/>
            </w:pPr>
            <w:r>
              <w:t>85</w:t>
            </w:r>
          </w:p>
        </w:tc>
      </w:tr>
      <w:tr w:rsidR="009F0E0D" w:rsidTr="001D2890">
        <w:trPr>
          <w:jc w:val="center"/>
        </w:trPr>
        <w:tc>
          <w:tcPr>
            <w:tcW w:w="2235" w:type="dxa"/>
            <w:vMerge/>
          </w:tcPr>
          <w:p w:rsidR="009F0E0D" w:rsidRDefault="009F0E0D" w:rsidP="001D2890">
            <w:pPr>
              <w:spacing w:line="276" w:lineRule="auto"/>
            </w:pPr>
          </w:p>
        </w:tc>
        <w:tc>
          <w:tcPr>
            <w:tcW w:w="2693" w:type="dxa"/>
          </w:tcPr>
          <w:p w:rsidR="009F0E0D" w:rsidRDefault="009F0E0D" w:rsidP="001D2890">
            <w:pPr>
              <w:spacing w:line="276" w:lineRule="auto"/>
            </w:pPr>
            <w:r>
              <w:t>82</w:t>
            </w:r>
          </w:p>
        </w:tc>
      </w:tr>
      <w:tr w:rsidR="009F0E0D" w:rsidTr="001D2890">
        <w:trPr>
          <w:jc w:val="center"/>
        </w:trPr>
        <w:tc>
          <w:tcPr>
            <w:tcW w:w="2235" w:type="dxa"/>
            <w:vMerge w:val="restart"/>
          </w:tcPr>
          <w:p w:rsidR="009F0E0D" w:rsidRDefault="009F0E0D" w:rsidP="001D2890">
            <w:pPr>
              <w:spacing w:line="276" w:lineRule="auto"/>
            </w:pPr>
            <w:r>
              <w:t>Lower-range Distinction</w:t>
            </w:r>
          </w:p>
        </w:tc>
        <w:tc>
          <w:tcPr>
            <w:tcW w:w="2693" w:type="dxa"/>
          </w:tcPr>
          <w:p w:rsidR="009F0E0D" w:rsidRDefault="009F0E0D" w:rsidP="001D2890">
            <w:pPr>
              <w:spacing w:line="276" w:lineRule="auto"/>
            </w:pPr>
            <w:r>
              <w:t>78</w:t>
            </w:r>
          </w:p>
        </w:tc>
      </w:tr>
      <w:tr w:rsidR="009F0E0D" w:rsidTr="001D2890">
        <w:trPr>
          <w:jc w:val="center"/>
        </w:trPr>
        <w:tc>
          <w:tcPr>
            <w:tcW w:w="2235" w:type="dxa"/>
            <w:vMerge/>
          </w:tcPr>
          <w:p w:rsidR="009F0E0D" w:rsidRDefault="009F0E0D" w:rsidP="001D2890">
            <w:pPr>
              <w:spacing w:line="276" w:lineRule="auto"/>
            </w:pPr>
          </w:p>
        </w:tc>
        <w:tc>
          <w:tcPr>
            <w:tcW w:w="2693" w:type="dxa"/>
          </w:tcPr>
          <w:p w:rsidR="009F0E0D" w:rsidRDefault="009F0E0D" w:rsidP="001D2890">
            <w:pPr>
              <w:spacing w:line="276" w:lineRule="auto"/>
            </w:pPr>
            <w:r>
              <w:t>75</w:t>
            </w:r>
          </w:p>
        </w:tc>
      </w:tr>
      <w:tr w:rsidR="009F0E0D" w:rsidTr="001D2890">
        <w:trPr>
          <w:jc w:val="center"/>
        </w:trPr>
        <w:tc>
          <w:tcPr>
            <w:tcW w:w="2235" w:type="dxa"/>
            <w:vMerge/>
          </w:tcPr>
          <w:p w:rsidR="009F0E0D" w:rsidRDefault="009F0E0D" w:rsidP="001D2890">
            <w:pPr>
              <w:spacing w:line="276" w:lineRule="auto"/>
            </w:pPr>
          </w:p>
        </w:tc>
        <w:tc>
          <w:tcPr>
            <w:tcW w:w="2693" w:type="dxa"/>
          </w:tcPr>
          <w:p w:rsidR="009F0E0D" w:rsidRDefault="009F0E0D" w:rsidP="001D2890">
            <w:pPr>
              <w:spacing w:line="276" w:lineRule="auto"/>
            </w:pPr>
            <w:r>
              <w:t>72</w:t>
            </w:r>
          </w:p>
        </w:tc>
      </w:tr>
      <w:tr w:rsidR="009F0E0D" w:rsidTr="001D2890">
        <w:trPr>
          <w:jc w:val="center"/>
        </w:trPr>
        <w:tc>
          <w:tcPr>
            <w:tcW w:w="2235" w:type="dxa"/>
            <w:vMerge w:val="restart"/>
          </w:tcPr>
          <w:p w:rsidR="009F0E0D" w:rsidRDefault="009F0E0D" w:rsidP="001D2890">
            <w:pPr>
              <w:spacing w:line="276" w:lineRule="auto"/>
            </w:pPr>
            <w:r>
              <w:t>Merit</w:t>
            </w:r>
          </w:p>
        </w:tc>
        <w:tc>
          <w:tcPr>
            <w:tcW w:w="2693" w:type="dxa"/>
          </w:tcPr>
          <w:p w:rsidR="009F0E0D" w:rsidRDefault="009F0E0D" w:rsidP="001D2890">
            <w:pPr>
              <w:spacing w:line="276" w:lineRule="auto"/>
            </w:pPr>
            <w:r>
              <w:t>68</w:t>
            </w:r>
          </w:p>
        </w:tc>
      </w:tr>
      <w:tr w:rsidR="009F0E0D" w:rsidTr="001D2890">
        <w:trPr>
          <w:jc w:val="center"/>
        </w:trPr>
        <w:tc>
          <w:tcPr>
            <w:tcW w:w="2235" w:type="dxa"/>
            <w:vMerge/>
          </w:tcPr>
          <w:p w:rsidR="009F0E0D" w:rsidRDefault="009F0E0D" w:rsidP="001D2890">
            <w:pPr>
              <w:spacing w:line="276" w:lineRule="auto"/>
            </w:pPr>
          </w:p>
        </w:tc>
        <w:tc>
          <w:tcPr>
            <w:tcW w:w="2693" w:type="dxa"/>
          </w:tcPr>
          <w:p w:rsidR="009F0E0D" w:rsidRDefault="009F0E0D" w:rsidP="001D2890">
            <w:pPr>
              <w:spacing w:line="276" w:lineRule="auto"/>
            </w:pPr>
            <w:r>
              <w:t>65</w:t>
            </w:r>
          </w:p>
        </w:tc>
      </w:tr>
      <w:tr w:rsidR="009F0E0D" w:rsidTr="001D2890">
        <w:trPr>
          <w:jc w:val="center"/>
        </w:trPr>
        <w:tc>
          <w:tcPr>
            <w:tcW w:w="2235" w:type="dxa"/>
            <w:vMerge/>
          </w:tcPr>
          <w:p w:rsidR="009F0E0D" w:rsidRDefault="009F0E0D" w:rsidP="001D2890">
            <w:pPr>
              <w:spacing w:line="276" w:lineRule="auto"/>
            </w:pPr>
          </w:p>
        </w:tc>
        <w:tc>
          <w:tcPr>
            <w:tcW w:w="2693" w:type="dxa"/>
          </w:tcPr>
          <w:p w:rsidR="009F0E0D" w:rsidRDefault="009F0E0D" w:rsidP="001D2890">
            <w:pPr>
              <w:spacing w:line="276" w:lineRule="auto"/>
            </w:pPr>
            <w:r>
              <w:t>62</w:t>
            </w:r>
          </w:p>
        </w:tc>
      </w:tr>
      <w:tr w:rsidR="009F0E0D" w:rsidTr="001D2890">
        <w:trPr>
          <w:jc w:val="center"/>
        </w:trPr>
        <w:tc>
          <w:tcPr>
            <w:tcW w:w="2235" w:type="dxa"/>
            <w:vMerge w:val="restart"/>
          </w:tcPr>
          <w:p w:rsidR="009F0E0D" w:rsidRDefault="009F0E0D" w:rsidP="001D2890">
            <w:pPr>
              <w:spacing w:line="276" w:lineRule="auto"/>
            </w:pPr>
            <w:r>
              <w:t>Pass</w:t>
            </w:r>
          </w:p>
        </w:tc>
        <w:tc>
          <w:tcPr>
            <w:tcW w:w="2693" w:type="dxa"/>
          </w:tcPr>
          <w:p w:rsidR="009F0E0D" w:rsidRDefault="009F0E0D" w:rsidP="001D2890">
            <w:pPr>
              <w:spacing w:line="276" w:lineRule="auto"/>
            </w:pPr>
            <w:r>
              <w:t>58</w:t>
            </w:r>
          </w:p>
        </w:tc>
      </w:tr>
      <w:tr w:rsidR="009F0E0D" w:rsidTr="001D2890">
        <w:trPr>
          <w:jc w:val="center"/>
        </w:trPr>
        <w:tc>
          <w:tcPr>
            <w:tcW w:w="2235" w:type="dxa"/>
            <w:vMerge/>
          </w:tcPr>
          <w:p w:rsidR="009F0E0D" w:rsidRDefault="009F0E0D" w:rsidP="001D2890">
            <w:pPr>
              <w:spacing w:line="276" w:lineRule="auto"/>
            </w:pPr>
          </w:p>
        </w:tc>
        <w:tc>
          <w:tcPr>
            <w:tcW w:w="2693" w:type="dxa"/>
          </w:tcPr>
          <w:p w:rsidR="009F0E0D" w:rsidRDefault="009F0E0D" w:rsidP="001D2890">
            <w:pPr>
              <w:spacing w:line="276" w:lineRule="auto"/>
            </w:pPr>
            <w:r>
              <w:t>55</w:t>
            </w:r>
          </w:p>
        </w:tc>
      </w:tr>
      <w:tr w:rsidR="009F0E0D" w:rsidTr="001D2890">
        <w:trPr>
          <w:jc w:val="center"/>
        </w:trPr>
        <w:tc>
          <w:tcPr>
            <w:tcW w:w="2235" w:type="dxa"/>
            <w:vMerge/>
          </w:tcPr>
          <w:p w:rsidR="009F0E0D" w:rsidRDefault="009F0E0D" w:rsidP="001D2890">
            <w:pPr>
              <w:spacing w:line="276" w:lineRule="auto"/>
            </w:pPr>
          </w:p>
        </w:tc>
        <w:tc>
          <w:tcPr>
            <w:tcW w:w="2693" w:type="dxa"/>
          </w:tcPr>
          <w:p w:rsidR="009F0E0D" w:rsidRDefault="009F0E0D" w:rsidP="001D2890">
            <w:pPr>
              <w:spacing w:line="276" w:lineRule="auto"/>
            </w:pPr>
            <w:r>
              <w:t>52</w:t>
            </w:r>
          </w:p>
        </w:tc>
      </w:tr>
      <w:tr w:rsidR="009F0E0D" w:rsidTr="001D2890">
        <w:trPr>
          <w:jc w:val="center"/>
        </w:trPr>
        <w:tc>
          <w:tcPr>
            <w:tcW w:w="2235" w:type="dxa"/>
            <w:vMerge w:val="restart"/>
          </w:tcPr>
          <w:p w:rsidR="009F0E0D" w:rsidRDefault="009F0E0D" w:rsidP="001D2890">
            <w:pPr>
              <w:spacing w:line="276" w:lineRule="auto"/>
            </w:pPr>
            <w:r>
              <w:t>Compensatable Fail</w:t>
            </w:r>
          </w:p>
        </w:tc>
        <w:tc>
          <w:tcPr>
            <w:tcW w:w="2693" w:type="dxa"/>
          </w:tcPr>
          <w:p w:rsidR="009F0E0D" w:rsidRDefault="009F0E0D" w:rsidP="001D2890">
            <w:pPr>
              <w:spacing w:line="276" w:lineRule="auto"/>
            </w:pPr>
            <w:r>
              <w:t>48</w:t>
            </w:r>
          </w:p>
        </w:tc>
      </w:tr>
      <w:tr w:rsidR="009F0E0D" w:rsidTr="001D2890">
        <w:trPr>
          <w:jc w:val="center"/>
        </w:trPr>
        <w:tc>
          <w:tcPr>
            <w:tcW w:w="2235" w:type="dxa"/>
            <w:vMerge/>
          </w:tcPr>
          <w:p w:rsidR="009F0E0D" w:rsidRDefault="009F0E0D" w:rsidP="001D2890">
            <w:pPr>
              <w:spacing w:line="276" w:lineRule="auto"/>
            </w:pPr>
          </w:p>
        </w:tc>
        <w:tc>
          <w:tcPr>
            <w:tcW w:w="2693" w:type="dxa"/>
          </w:tcPr>
          <w:p w:rsidR="009F0E0D" w:rsidRDefault="009F0E0D" w:rsidP="001D2890">
            <w:pPr>
              <w:spacing w:line="276" w:lineRule="auto"/>
            </w:pPr>
            <w:r>
              <w:t>45</w:t>
            </w:r>
          </w:p>
        </w:tc>
      </w:tr>
      <w:tr w:rsidR="009F0E0D" w:rsidTr="001D2890">
        <w:trPr>
          <w:jc w:val="center"/>
        </w:trPr>
        <w:tc>
          <w:tcPr>
            <w:tcW w:w="2235" w:type="dxa"/>
            <w:vMerge/>
          </w:tcPr>
          <w:p w:rsidR="009F0E0D" w:rsidRDefault="009F0E0D" w:rsidP="001D2890">
            <w:pPr>
              <w:spacing w:line="276" w:lineRule="auto"/>
            </w:pPr>
          </w:p>
        </w:tc>
        <w:tc>
          <w:tcPr>
            <w:tcW w:w="2693" w:type="dxa"/>
          </w:tcPr>
          <w:p w:rsidR="009F0E0D" w:rsidRDefault="009F0E0D" w:rsidP="001D2890">
            <w:pPr>
              <w:spacing w:line="276" w:lineRule="auto"/>
            </w:pPr>
            <w:r>
              <w:t>42</w:t>
            </w:r>
          </w:p>
        </w:tc>
      </w:tr>
      <w:tr w:rsidR="009F0E0D" w:rsidTr="001D2890">
        <w:trPr>
          <w:jc w:val="center"/>
        </w:trPr>
        <w:tc>
          <w:tcPr>
            <w:tcW w:w="2235" w:type="dxa"/>
            <w:vMerge w:val="restart"/>
          </w:tcPr>
          <w:p w:rsidR="009F0E0D" w:rsidRDefault="009F0E0D" w:rsidP="001D2890">
            <w:pPr>
              <w:spacing w:line="276" w:lineRule="auto"/>
            </w:pPr>
            <w:r>
              <w:t>Fail</w:t>
            </w:r>
          </w:p>
        </w:tc>
        <w:tc>
          <w:tcPr>
            <w:tcW w:w="2693" w:type="dxa"/>
          </w:tcPr>
          <w:p w:rsidR="009F0E0D" w:rsidRDefault="009F0E0D" w:rsidP="001D2890">
            <w:pPr>
              <w:spacing w:line="276" w:lineRule="auto"/>
            </w:pPr>
            <w:r>
              <w:t>38</w:t>
            </w:r>
          </w:p>
        </w:tc>
      </w:tr>
      <w:tr w:rsidR="009F0E0D" w:rsidTr="001D2890">
        <w:trPr>
          <w:jc w:val="center"/>
        </w:trPr>
        <w:tc>
          <w:tcPr>
            <w:tcW w:w="2235" w:type="dxa"/>
            <w:vMerge/>
          </w:tcPr>
          <w:p w:rsidR="009F0E0D" w:rsidRDefault="009F0E0D" w:rsidP="001D2890">
            <w:pPr>
              <w:spacing w:line="276" w:lineRule="auto"/>
            </w:pPr>
          </w:p>
        </w:tc>
        <w:tc>
          <w:tcPr>
            <w:tcW w:w="2693" w:type="dxa"/>
          </w:tcPr>
          <w:p w:rsidR="009F0E0D" w:rsidRDefault="009F0E0D" w:rsidP="001D2890">
            <w:pPr>
              <w:spacing w:line="276" w:lineRule="auto"/>
            </w:pPr>
            <w:r>
              <w:t>35</w:t>
            </w:r>
          </w:p>
        </w:tc>
      </w:tr>
      <w:tr w:rsidR="009F0E0D" w:rsidTr="001D2890">
        <w:trPr>
          <w:jc w:val="center"/>
        </w:trPr>
        <w:tc>
          <w:tcPr>
            <w:tcW w:w="2235" w:type="dxa"/>
            <w:vMerge/>
          </w:tcPr>
          <w:p w:rsidR="009F0E0D" w:rsidRDefault="009F0E0D" w:rsidP="001D2890">
            <w:pPr>
              <w:spacing w:line="276" w:lineRule="auto"/>
            </w:pPr>
          </w:p>
        </w:tc>
        <w:tc>
          <w:tcPr>
            <w:tcW w:w="2693" w:type="dxa"/>
          </w:tcPr>
          <w:p w:rsidR="009F0E0D" w:rsidRDefault="009F0E0D" w:rsidP="001D2890">
            <w:pPr>
              <w:spacing w:line="276" w:lineRule="auto"/>
            </w:pPr>
            <w:r>
              <w:t>32</w:t>
            </w:r>
          </w:p>
        </w:tc>
      </w:tr>
      <w:tr w:rsidR="009F0E0D" w:rsidTr="001D2890">
        <w:trPr>
          <w:jc w:val="center"/>
        </w:trPr>
        <w:tc>
          <w:tcPr>
            <w:tcW w:w="2235" w:type="dxa"/>
            <w:vMerge/>
          </w:tcPr>
          <w:p w:rsidR="009F0E0D" w:rsidRDefault="009F0E0D" w:rsidP="001D2890">
            <w:pPr>
              <w:spacing w:line="276" w:lineRule="auto"/>
            </w:pPr>
          </w:p>
        </w:tc>
        <w:tc>
          <w:tcPr>
            <w:tcW w:w="2693" w:type="dxa"/>
          </w:tcPr>
          <w:p w:rsidR="009F0E0D" w:rsidRDefault="009F0E0D" w:rsidP="001D2890">
            <w:pPr>
              <w:spacing w:line="276" w:lineRule="auto"/>
            </w:pPr>
            <w:r>
              <w:t>28</w:t>
            </w:r>
          </w:p>
        </w:tc>
      </w:tr>
      <w:tr w:rsidR="009F0E0D" w:rsidTr="001D2890">
        <w:trPr>
          <w:jc w:val="center"/>
        </w:trPr>
        <w:tc>
          <w:tcPr>
            <w:tcW w:w="2235" w:type="dxa"/>
            <w:vMerge/>
          </w:tcPr>
          <w:p w:rsidR="009F0E0D" w:rsidRDefault="009F0E0D" w:rsidP="001D2890">
            <w:pPr>
              <w:spacing w:line="276" w:lineRule="auto"/>
            </w:pPr>
          </w:p>
        </w:tc>
        <w:tc>
          <w:tcPr>
            <w:tcW w:w="2693" w:type="dxa"/>
          </w:tcPr>
          <w:p w:rsidR="009F0E0D" w:rsidRDefault="009F0E0D" w:rsidP="001D2890">
            <w:pPr>
              <w:spacing w:line="276" w:lineRule="auto"/>
            </w:pPr>
            <w:r>
              <w:t>25</w:t>
            </w:r>
          </w:p>
        </w:tc>
      </w:tr>
      <w:tr w:rsidR="009F0E0D" w:rsidTr="001D2890">
        <w:trPr>
          <w:jc w:val="center"/>
        </w:trPr>
        <w:tc>
          <w:tcPr>
            <w:tcW w:w="2235" w:type="dxa"/>
            <w:vMerge/>
          </w:tcPr>
          <w:p w:rsidR="009F0E0D" w:rsidRDefault="009F0E0D" w:rsidP="001D2890">
            <w:pPr>
              <w:spacing w:line="276" w:lineRule="auto"/>
            </w:pPr>
          </w:p>
        </w:tc>
        <w:tc>
          <w:tcPr>
            <w:tcW w:w="2693" w:type="dxa"/>
          </w:tcPr>
          <w:p w:rsidR="009F0E0D" w:rsidRDefault="009F0E0D" w:rsidP="001D2890">
            <w:pPr>
              <w:spacing w:line="276" w:lineRule="auto"/>
            </w:pPr>
            <w:r>
              <w:t>15</w:t>
            </w:r>
          </w:p>
        </w:tc>
      </w:tr>
      <w:tr w:rsidR="009F0E0D" w:rsidTr="001D2890">
        <w:trPr>
          <w:jc w:val="center"/>
        </w:trPr>
        <w:tc>
          <w:tcPr>
            <w:tcW w:w="2235" w:type="dxa"/>
            <w:vMerge/>
          </w:tcPr>
          <w:p w:rsidR="009F0E0D" w:rsidRDefault="009F0E0D" w:rsidP="001D2890">
            <w:pPr>
              <w:spacing w:line="276" w:lineRule="auto"/>
            </w:pPr>
          </w:p>
        </w:tc>
        <w:tc>
          <w:tcPr>
            <w:tcW w:w="2693" w:type="dxa"/>
          </w:tcPr>
          <w:p w:rsidR="009F0E0D" w:rsidRDefault="009F0E0D" w:rsidP="001D2890">
            <w:pPr>
              <w:spacing w:line="276" w:lineRule="auto"/>
            </w:pPr>
            <w:r>
              <w:t>5</w:t>
            </w:r>
          </w:p>
        </w:tc>
      </w:tr>
      <w:tr w:rsidR="009F0E0D" w:rsidTr="001D2890">
        <w:trPr>
          <w:jc w:val="center"/>
        </w:trPr>
        <w:tc>
          <w:tcPr>
            <w:tcW w:w="2235" w:type="dxa"/>
            <w:vMerge/>
          </w:tcPr>
          <w:p w:rsidR="009F0E0D" w:rsidRDefault="009F0E0D" w:rsidP="001D2890">
            <w:pPr>
              <w:spacing w:line="276" w:lineRule="auto"/>
            </w:pPr>
          </w:p>
        </w:tc>
        <w:tc>
          <w:tcPr>
            <w:tcW w:w="2693" w:type="dxa"/>
          </w:tcPr>
          <w:p w:rsidR="009F0E0D" w:rsidRDefault="009F0E0D" w:rsidP="001D2890">
            <w:pPr>
              <w:spacing w:line="276" w:lineRule="auto"/>
            </w:pPr>
            <w:r>
              <w:t>0</w:t>
            </w:r>
          </w:p>
        </w:tc>
      </w:tr>
    </w:tbl>
    <w:p w:rsidR="009F0E0D" w:rsidRDefault="009F0E0D" w:rsidP="009F0E0D"/>
    <w:p w:rsidR="009F0E0D" w:rsidRPr="00FD5BC5" w:rsidRDefault="009F0E0D" w:rsidP="00FD5BC5">
      <w:pPr>
        <w:pStyle w:val="ListParagraph"/>
        <w:numPr>
          <w:ilvl w:val="0"/>
          <w:numId w:val="3"/>
        </w:numPr>
        <w:rPr>
          <w:b/>
        </w:rPr>
      </w:pPr>
      <w:r w:rsidRPr="00FD5BC5">
        <w:rPr>
          <w:b/>
        </w:rPr>
        <w:t>How is th</w:t>
      </w:r>
      <w:r w:rsidR="00FD5BC5">
        <w:rPr>
          <w:b/>
        </w:rPr>
        <w:t>e final mark for my course unit</w:t>
      </w:r>
      <w:r w:rsidRPr="00FD5BC5">
        <w:rPr>
          <w:b/>
        </w:rPr>
        <w:t xml:space="preserve"> calculated?</w:t>
      </w:r>
    </w:p>
    <w:p w:rsidR="009F0E0D" w:rsidRDefault="009F0E0D" w:rsidP="009F0E0D">
      <w:pPr>
        <w:ind w:left="360"/>
      </w:pPr>
      <w:r>
        <w:t xml:space="preserve">There will be no change in the way that final marks for </w:t>
      </w:r>
      <w:r w:rsidRPr="00FC1E3E">
        <w:t>course unit</w:t>
      </w:r>
      <w:r>
        <w:t xml:space="preserve">s are calculated.  </w:t>
      </w:r>
    </w:p>
    <w:p w:rsidR="009F0E0D" w:rsidRDefault="009F0E0D" w:rsidP="009F0E0D">
      <w:pPr>
        <w:ind w:left="360"/>
      </w:pPr>
      <w:r>
        <w:t xml:space="preserve">If your </w:t>
      </w:r>
      <w:r w:rsidRPr="00FC1E3E">
        <w:t>course unit</w:t>
      </w:r>
      <w:r>
        <w:t xml:space="preserve"> is assessed by one component of assessment only (e.g. an essay or dissertation) the fixed percentage point becomes the </w:t>
      </w:r>
      <w:r w:rsidRPr="00FC1E3E">
        <w:t>course unit</w:t>
      </w:r>
      <w:r>
        <w:t xml:space="preserve"> mark.</w:t>
      </w:r>
    </w:p>
    <w:p w:rsidR="009F0E0D" w:rsidRDefault="009F0E0D" w:rsidP="009F0E0D">
      <w:pPr>
        <w:ind w:left="360"/>
      </w:pPr>
      <w:r>
        <w:lastRenderedPageBreak/>
        <w:t xml:space="preserve">If your </w:t>
      </w:r>
      <w:r w:rsidRPr="00FC1E3E">
        <w:t>course unit</w:t>
      </w:r>
      <w:r>
        <w:t xml:space="preserve"> is assessed by more than one component of assessment, the fixed percentage points for each component of assessment will be averaged (with appropriate weighting) to produce the overall </w:t>
      </w:r>
      <w:r w:rsidRPr="00FC1E3E">
        <w:t>course unit</w:t>
      </w:r>
      <w:r>
        <w:t xml:space="preserve"> mark.  As the overall </w:t>
      </w:r>
      <w:r w:rsidRPr="00FC1E3E">
        <w:t>course unit</w:t>
      </w:r>
      <w:r>
        <w:t xml:space="preserve"> mark is calculated by averaging the fixed percentage points, the final result for the </w:t>
      </w:r>
      <w:r w:rsidRPr="00FC1E3E">
        <w:t>course unit</w:t>
      </w:r>
      <w:r>
        <w:t xml:space="preserve"> does not need to be one of the fixed percentage points on the scale.</w:t>
      </w:r>
    </w:p>
    <w:p w:rsidR="009F0E0D" w:rsidRDefault="009F0E0D" w:rsidP="009F0E0D">
      <w:pPr>
        <w:ind w:left="360"/>
      </w:pPr>
      <w:r>
        <w:t xml:space="preserve">For example, a </w:t>
      </w:r>
      <w:r w:rsidRPr="00FC1E3E">
        <w:t>course unit</w:t>
      </w:r>
      <w:r>
        <w:t xml:space="preserve"> is assessed by a single exam with the paper made up of three questions (equally weighted).  The questions have been awarded two mid-range Distinction and one upper-range Distinction marks with the following fixed percentage points: 82, 85 and 92.  The average of 82, 85 and 92 is 86; 86% is the overall </w:t>
      </w:r>
      <w:r w:rsidRPr="00FC1E3E">
        <w:t>course unit</w:t>
      </w:r>
      <w:r>
        <w:t xml:space="preserve"> mark.</w:t>
      </w:r>
    </w:p>
    <w:p w:rsidR="009F0E0D" w:rsidRDefault="009F0E0D" w:rsidP="009F0E0D">
      <w:pPr>
        <w:ind w:left="360"/>
      </w:pPr>
      <w:r>
        <w:t xml:space="preserve">If a </w:t>
      </w:r>
      <w:r w:rsidRPr="00FC1E3E">
        <w:t>course unit</w:t>
      </w:r>
      <w:r>
        <w:t xml:space="preserve"> is assessed partly by exam and partly by essay the overall </w:t>
      </w:r>
      <w:r w:rsidRPr="00FC1E3E">
        <w:t>course unit</w:t>
      </w:r>
      <w:r>
        <w:t xml:space="preserve"> mark is calculated by averaging (with appropriate weighting) the fixed percentage points for each question to produce the mark for the exam paper, and then averaging (again with appropriate weighting) the mark for the paper and the fixed percentage point for the essay.  The overall </w:t>
      </w:r>
      <w:r w:rsidRPr="00FC1E3E">
        <w:t>course unit</w:t>
      </w:r>
      <w:r>
        <w:t xml:space="preserve"> result will be the mathematical average and does not need to be one of the fixed percentage points on the scale.</w:t>
      </w:r>
    </w:p>
    <w:p w:rsidR="009F0E0D" w:rsidRDefault="009F0E0D" w:rsidP="00FD5BC5">
      <w:pPr>
        <w:pStyle w:val="ListParagraph"/>
        <w:numPr>
          <w:ilvl w:val="0"/>
          <w:numId w:val="3"/>
        </w:numPr>
        <w:rPr>
          <w:b/>
        </w:rPr>
      </w:pPr>
      <w:r>
        <w:rPr>
          <w:b/>
        </w:rPr>
        <w:t xml:space="preserve">Can I challenge a mark? </w:t>
      </w:r>
    </w:p>
    <w:p w:rsidR="009F0E0D" w:rsidRDefault="009F0E0D" w:rsidP="009F0E0D">
      <w:pPr>
        <w:ind w:left="360"/>
      </w:pPr>
      <w:r>
        <w:t>Should you wish to challenge a mark, academic decision (e.g. approval to progress) or classification result, you may only do so on one of the following four grounds:</w:t>
      </w:r>
    </w:p>
    <w:p w:rsidR="009F0E0D" w:rsidRDefault="009F0E0D" w:rsidP="009F0E0D">
      <w:pPr>
        <w:pStyle w:val="ListParagraph"/>
        <w:numPr>
          <w:ilvl w:val="0"/>
          <w:numId w:val="2"/>
        </w:numPr>
      </w:pPr>
      <w:r>
        <w:t>circumstances affecting your performance of which, for a credible and compelling reason, the Examination Board or equivalent body may not have been made aware when the decision was taken and which might have had a material effect on the decision (if you wish to appeal on such grounds, you must give credible and compelling reasons with supporting documentation explaining why this information was not made available prior to the decision being made);</w:t>
      </w:r>
    </w:p>
    <w:p w:rsidR="009F0E0D" w:rsidRDefault="009F0E0D" w:rsidP="009F0E0D">
      <w:pPr>
        <w:pStyle w:val="ListParagraph"/>
        <w:numPr>
          <w:ilvl w:val="0"/>
          <w:numId w:val="2"/>
        </w:numPr>
      </w:pPr>
      <w:r>
        <w:t>procedural irregularity;</w:t>
      </w:r>
    </w:p>
    <w:p w:rsidR="009F0E0D" w:rsidRDefault="009F0E0D" w:rsidP="009F0E0D">
      <w:pPr>
        <w:pStyle w:val="ListParagraph"/>
        <w:numPr>
          <w:ilvl w:val="0"/>
          <w:numId w:val="2"/>
        </w:numPr>
      </w:pPr>
      <w:r>
        <w:t>evidence of prejudice or bias or lack of proper assessment on the part of one or more of the examiners;</w:t>
      </w:r>
    </w:p>
    <w:p w:rsidR="009F0E0D" w:rsidRDefault="009F0E0D" w:rsidP="009F0E0D">
      <w:pPr>
        <w:pStyle w:val="ListParagraph"/>
        <w:numPr>
          <w:ilvl w:val="0"/>
          <w:numId w:val="2"/>
        </w:numPr>
      </w:pPr>
      <w:r>
        <w:t xml:space="preserve">that the supervision or training in respect of research for your dissertation or thesis or equivalent work was unsatisfactory to the point that your performance was seriously affected. </w:t>
      </w:r>
    </w:p>
    <w:p w:rsidR="009F0E0D" w:rsidRDefault="009F0E0D" w:rsidP="009F0E0D">
      <w:pPr>
        <w:pStyle w:val="ListParagraph"/>
      </w:pPr>
    </w:p>
    <w:p w:rsidR="009F0E0D" w:rsidRDefault="009F0E0D" w:rsidP="009F0E0D">
      <w:r>
        <w:t xml:space="preserve">Appeals relating to matters of academic judgement are not permitted.  </w:t>
      </w:r>
    </w:p>
    <w:p w:rsidR="00FD5BC5" w:rsidRDefault="00FD5BC5" w:rsidP="009F0E0D"/>
    <w:p w:rsidR="00FD5BC5" w:rsidRDefault="00FD5BC5" w:rsidP="009F0E0D"/>
    <w:p w:rsidR="00FD5BC5" w:rsidRDefault="00FD5BC5" w:rsidP="009F0E0D"/>
    <w:p w:rsidR="00FD5BC5" w:rsidRDefault="00FD5BC5" w:rsidP="009F0E0D"/>
    <w:p w:rsidR="00FD5BC5" w:rsidRDefault="00FD5BC5" w:rsidP="009F0E0D"/>
    <w:p w:rsidR="00FD5BC5" w:rsidRDefault="00FD5BC5" w:rsidP="009F0E0D"/>
    <w:p w:rsidR="00FD5BC5" w:rsidRDefault="00FD5BC5" w:rsidP="009F0E0D"/>
    <w:p w:rsidR="00FD5BC5" w:rsidRDefault="00FD5BC5" w:rsidP="009F0E0D"/>
    <w:p w:rsidR="009F0E0D" w:rsidRDefault="009F0E0D" w:rsidP="009F0E0D">
      <w:pPr>
        <w:jc w:val="center"/>
        <w:rPr>
          <w:b/>
          <w:sz w:val="24"/>
          <w:szCs w:val="24"/>
        </w:rPr>
      </w:pPr>
      <w:r>
        <w:rPr>
          <w:b/>
          <w:sz w:val="24"/>
          <w:szCs w:val="24"/>
        </w:rPr>
        <w:lastRenderedPageBreak/>
        <w:t xml:space="preserve">Appendix 1: Postgraduate Taught </w:t>
      </w:r>
      <w:r w:rsidR="00763B6A">
        <w:rPr>
          <w:b/>
          <w:sz w:val="24"/>
          <w:szCs w:val="24"/>
        </w:rPr>
        <w:t>r</w:t>
      </w:r>
      <w:r w:rsidR="00FD5BC5">
        <w:rPr>
          <w:b/>
          <w:sz w:val="24"/>
          <w:szCs w:val="24"/>
        </w:rPr>
        <w:t xml:space="preserve">educed </w:t>
      </w:r>
      <w:r w:rsidR="00763B6A">
        <w:rPr>
          <w:b/>
          <w:sz w:val="24"/>
          <w:szCs w:val="24"/>
        </w:rPr>
        <w:t>s</w:t>
      </w:r>
      <w:r w:rsidR="00FD5BC5">
        <w:rPr>
          <w:b/>
          <w:sz w:val="24"/>
          <w:szCs w:val="24"/>
        </w:rPr>
        <w:t xml:space="preserve">cale </w:t>
      </w:r>
      <w:r w:rsidR="00763B6A">
        <w:rPr>
          <w:b/>
          <w:sz w:val="24"/>
          <w:szCs w:val="24"/>
        </w:rPr>
        <w:t>s</w:t>
      </w:r>
      <w:r w:rsidR="00FD5BC5">
        <w:rPr>
          <w:b/>
          <w:sz w:val="24"/>
          <w:szCs w:val="24"/>
        </w:rPr>
        <w:t xml:space="preserve">tepped </w:t>
      </w:r>
      <w:r w:rsidR="00763B6A">
        <w:rPr>
          <w:b/>
          <w:sz w:val="24"/>
          <w:szCs w:val="24"/>
        </w:rPr>
        <w:t>m</w:t>
      </w:r>
      <w:r>
        <w:rPr>
          <w:b/>
          <w:sz w:val="24"/>
          <w:szCs w:val="24"/>
        </w:rPr>
        <w:t xml:space="preserve">arking </w:t>
      </w:r>
      <w:r w:rsidR="00763B6A">
        <w:rPr>
          <w:b/>
          <w:sz w:val="24"/>
          <w:szCs w:val="24"/>
        </w:rPr>
        <w:t>p</w:t>
      </w:r>
      <w:r>
        <w:rPr>
          <w:b/>
          <w:sz w:val="24"/>
          <w:szCs w:val="24"/>
        </w:rPr>
        <w:t>oints</w:t>
      </w:r>
    </w:p>
    <w:tbl>
      <w:tblPr>
        <w:tblStyle w:val="TableGrid"/>
        <w:tblW w:w="0" w:type="auto"/>
        <w:tblLook w:val="04A0" w:firstRow="1" w:lastRow="0" w:firstColumn="1" w:lastColumn="0" w:noHBand="0" w:noVBand="1"/>
      </w:tblPr>
      <w:tblGrid>
        <w:gridCol w:w="2235"/>
        <w:gridCol w:w="1134"/>
        <w:gridCol w:w="5953"/>
      </w:tblGrid>
      <w:tr w:rsidR="009F0E0D" w:rsidTr="001D2890">
        <w:tc>
          <w:tcPr>
            <w:tcW w:w="2235" w:type="dxa"/>
          </w:tcPr>
          <w:p w:rsidR="009F0E0D" w:rsidRDefault="009F0E0D" w:rsidP="001D2890">
            <w:pPr>
              <w:spacing w:line="276" w:lineRule="auto"/>
              <w:rPr>
                <w:b/>
              </w:rPr>
            </w:pPr>
            <w:r>
              <w:rPr>
                <w:b/>
              </w:rPr>
              <w:t>Range / Class</w:t>
            </w:r>
          </w:p>
        </w:tc>
        <w:tc>
          <w:tcPr>
            <w:tcW w:w="1134" w:type="dxa"/>
          </w:tcPr>
          <w:p w:rsidR="009F0E0D" w:rsidRDefault="009F0E0D" w:rsidP="001D2890">
            <w:pPr>
              <w:spacing w:line="276" w:lineRule="auto"/>
              <w:rPr>
                <w:b/>
              </w:rPr>
            </w:pPr>
            <w:r>
              <w:rPr>
                <w:b/>
              </w:rPr>
              <w:t>%</w:t>
            </w:r>
          </w:p>
        </w:tc>
        <w:tc>
          <w:tcPr>
            <w:tcW w:w="5953" w:type="dxa"/>
          </w:tcPr>
          <w:p w:rsidR="009F0E0D" w:rsidRDefault="009F0E0D" w:rsidP="001D2890">
            <w:pPr>
              <w:spacing w:line="276" w:lineRule="auto"/>
              <w:rPr>
                <w:b/>
              </w:rPr>
            </w:pPr>
            <w:r>
              <w:rPr>
                <w:b/>
              </w:rPr>
              <w:t>School / discipline grade descriptor (to be inserted)</w:t>
            </w:r>
          </w:p>
        </w:tc>
      </w:tr>
      <w:tr w:rsidR="009F0E0D" w:rsidTr="001D2890">
        <w:tc>
          <w:tcPr>
            <w:tcW w:w="2235" w:type="dxa"/>
            <w:vMerge w:val="restart"/>
          </w:tcPr>
          <w:p w:rsidR="009F0E0D" w:rsidRDefault="009F0E0D" w:rsidP="001D2890">
            <w:pPr>
              <w:spacing w:line="276" w:lineRule="auto"/>
            </w:pPr>
            <w:r>
              <w:t>High Distinction</w:t>
            </w:r>
          </w:p>
        </w:tc>
        <w:tc>
          <w:tcPr>
            <w:tcW w:w="1134" w:type="dxa"/>
          </w:tcPr>
          <w:p w:rsidR="009F0E0D" w:rsidRDefault="009F0E0D" w:rsidP="001D2890">
            <w:pPr>
              <w:spacing w:line="276" w:lineRule="auto"/>
            </w:pPr>
            <w:r>
              <w:t>100</w:t>
            </w:r>
          </w:p>
        </w:tc>
        <w:tc>
          <w:tcPr>
            <w:tcW w:w="5953" w:type="dxa"/>
          </w:tcPr>
          <w:p w:rsidR="009F0E0D" w:rsidRDefault="009F0E0D" w:rsidP="001D2890">
            <w:pPr>
              <w:spacing w:line="276" w:lineRule="auto"/>
            </w:pPr>
          </w:p>
        </w:tc>
      </w:tr>
      <w:tr w:rsidR="009F0E0D" w:rsidTr="001D2890">
        <w:tc>
          <w:tcPr>
            <w:tcW w:w="2235" w:type="dxa"/>
            <w:vMerge/>
          </w:tcPr>
          <w:p w:rsidR="009F0E0D" w:rsidRDefault="009F0E0D" w:rsidP="001D2890">
            <w:pPr>
              <w:spacing w:line="276" w:lineRule="auto"/>
            </w:pPr>
          </w:p>
        </w:tc>
        <w:tc>
          <w:tcPr>
            <w:tcW w:w="1134" w:type="dxa"/>
          </w:tcPr>
          <w:p w:rsidR="009F0E0D" w:rsidRDefault="009F0E0D" w:rsidP="001D2890">
            <w:pPr>
              <w:spacing w:line="276" w:lineRule="auto"/>
            </w:pPr>
            <w:r>
              <w:t>95</w:t>
            </w:r>
          </w:p>
        </w:tc>
        <w:tc>
          <w:tcPr>
            <w:tcW w:w="5953" w:type="dxa"/>
          </w:tcPr>
          <w:p w:rsidR="009F0E0D" w:rsidRDefault="009F0E0D" w:rsidP="001D2890">
            <w:pPr>
              <w:spacing w:line="276" w:lineRule="auto"/>
            </w:pPr>
          </w:p>
        </w:tc>
      </w:tr>
      <w:tr w:rsidR="009F0E0D" w:rsidTr="001D2890">
        <w:tc>
          <w:tcPr>
            <w:tcW w:w="2235" w:type="dxa"/>
            <w:vMerge/>
          </w:tcPr>
          <w:p w:rsidR="009F0E0D" w:rsidRDefault="009F0E0D" w:rsidP="001D2890">
            <w:pPr>
              <w:spacing w:line="276" w:lineRule="auto"/>
            </w:pPr>
          </w:p>
        </w:tc>
        <w:tc>
          <w:tcPr>
            <w:tcW w:w="1134" w:type="dxa"/>
          </w:tcPr>
          <w:p w:rsidR="009F0E0D" w:rsidRDefault="009F0E0D" w:rsidP="001D2890">
            <w:pPr>
              <w:spacing w:line="276" w:lineRule="auto"/>
            </w:pPr>
            <w:r>
              <w:t>92</w:t>
            </w:r>
          </w:p>
        </w:tc>
        <w:tc>
          <w:tcPr>
            <w:tcW w:w="5953" w:type="dxa"/>
          </w:tcPr>
          <w:p w:rsidR="009F0E0D" w:rsidRDefault="009F0E0D" w:rsidP="001D2890">
            <w:pPr>
              <w:spacing w:line="276" w:lineRule="auto"/>
            </w:pPr>
          </w:p>
        </w:tc>
      </w:tr>
      <w:tr w:rsidR="009F0E0D" w:rsidTr="001D2890">
        <w:tc>
          <w:tcPr>
            <w:tcW w:w="2235" w:type="dxa"/>
            <w:vMerge w:val="restart"/>
          </w:tcPr>
          <w:p w:rsidR="009F0E0D" w:rsidRDefault="009F0E0D" w:rsidP="001D2890">
            <w:pPr>
              <w:spacing w:line="276" w:lineRule="auto"/>
            </w:pPr>
            <w:r>
              <w:t>Mid- range Distinction</w:t>
            </w:r>
          </w:p>
        </w:tc>
        <w:tc>
          <w:tcPr>
            <w:tcW w:w="1134" w:type="dxa"/>
          </w:tcPr>
          <w:p w:rsidR="009F0E0D" w:rsidRDefault="009F0E0D" w:rsidP="001D2890">
            <w:pPr>
              <w:spacing w:line="276" w:lineRule="auto"/>
            </w:pPr>
            <w:r>
              <w:t>88</w:t>
            </w:r>
          </w:p>
        </w:tc>
        <w:tc>
          <w:tcPr>
            <w:tcW w:w="5953" w:type="dxa"/>
          </w:tcPr>
          <w:p w:rsidR="009F0E0D" w:rsidRDefault="009F0E0D" w:rsidP="001D2890">
            <w:pPr>
              <w:spacing w:line="276" w:lineRule="auto"/>
            </w:pPr>
          </w:p>
        </w:tc>
      </w:tr>
      <w:tr w:rsidR="009F0E0D" w:rsidTr="001D2890">
        <w:tc>
          <w:tcPr>
            <w:tcW w:w="2235" w:type="dxa"/>
            <w:vMerge/>
          </w:tcPr>
          <w:p w:rsidR="009F0E0D" w:rsidRDefault="009F0E0D" w:rsidP="001D2890">
            <w:pPr>
              <w:spacing w:line="276" w:lineRule="auto"/>
            </w:pPr>
          </w:p>
        </w:tc>
        <w:tc>
          <w:tcPr>
            <w:tcW w:w="1134" w:type="dxa"/>
          </w:tcPr>
          <w:p w:rsidR="009F0E0D" w:rsidRDefault="009F0E0D" w:rsidP="001D2890">
            <w:pPr>
              <w:spacing w:line="276" w:lineRule="auto"/>
            </w:pPr>
            <w:r>
              <w:t>85</w:t>
            </w:r>
          </w:p>
        </w:tc>
        <w:tc>
          <w:tcPr>
            <w:tcW w:w="5953" w:type="dxa"/>
          </w:tcPr>
          <w:p w:rsidR="009F0E0D" w:rsidRDefault="009F0E0D" w:rsidP="001D2890">
            <w:pPr>
              <w:spacing w:line="276" w:lineRule="auto"/>
            </w:pPr>
          </w:p>
        </w:tc>
      </w:tr>
      <w:tr w:rsidR="009F0E0D" w:rsidTr="001D2890">
        <w:tc>
          <w:tcPr>
            <w:tcW w:w="2235" w:type="dxa"/>
            <w:vMerge/>
          </w:tcPr>
          <w:p w:rsidR="009F0E0D" w:rsidRDefault="009F0E0D" w:rsidP="001D2890">
            <w:pPr>
              <w:spacing w:line="276" w:lineRule="auto"/>
            </w:pPr>
          </w:p>
        </w:tc>
        <w:tc>
          <w:tcPr>
            <w:tcW w:w="1134" w:type="dxa"/>
          </w:tcPr>
          <w:p w:rsidR="009F0E0D" w:rsidRDefault="009F0E0D" w:rsidP="001D2890">
            <w:pPr>
              <w:spacing w:line="276" w:lineRule="auto"/>
            </w:pPr>
            <w:r>
              <w:t>82</w:t>
            </w:r>
          </w:p>
        </w:tc>
        <w:tc>
          <w:tcPr>
            <w:tcW w:w="5953" w:type="dxa"/>
          </w:tcPr>
          <w:p w:rsidR="009F0E0D" w:rsidRDefault="009F0E0D" w:rsidP="001D2890">
            <w:pPr>
              <w:spacing w:line="276" w:lineRule="auto"/>
            </w:pPr>
          </w:p>
        </w:tc>
      </w:tr>
      <w:tr w:rsidR="009F0E0D" w:rsidTr="001D2890">
        <w:tc>
          <w:tcPr>
            <w:tcW w:w="2235" w:type="dxa"/>
            <w:vMerge w:val="restart"/>
          </w:tcPr>
          <w:p w:rsidR="009F0E0D" w:rsidRDefault="009F0E0D" w:rsidP="001D2890">
            <w:pPr>
              <w:spacing w:line="276" w:lineRule="auto"/>
            </w:pPr>
            <w:r>
              <w:t>Lower-range Distinction</w:t>
            </w:r>
          </w:p>
        </w:tc>
        <w:tc>
          <w:tcPr>
            <w:tcW w:w="1134" w:type="dxa"/>
          </w:tcPr>
          <w:p w:rsidR="009F0E0D" w:rsidRDefault="009F0E0D" w:rsidP="001D2890">
            <w:pPr>
              <w:spacing w:line="276" w:lineRule="auto"/>
            </w:pPr>
            <w:r>
              <w:t>78</w:t>
            </w:r>
          </w:p>
        </w:tc>
        <w:tc>
          <w:tcPr>
            <w:tcW w:w="5953" w:type="dxa"/>
          </w:tcPr>
          <w:p w:rsidR="009F0E0D" w:rsidRDefault="009F0E0D" w:rsidP="001D2890">
            <w:pPr>
              <w:spacing w:line="276" w:lineRule="auto"/>
            </w:pPr>
          </w:p>
        </w:tc>
      </w:tr>
      <w:tr w:rsidR="009F0E0D" w:rsidTr="001D2890">
        <w:tc>
          <w:tcPr>
            <w:tcW w:w="2235" w:type="dxa"/>
            <w:vMerge/>
          </w:tcPr>
          <w:p w:rsidR="009F0E0D" w:rsidRDefault="009F0E0D" w:rsidP="001D2890">
            <w:pPr>
              <w:spacing w:line="276" w:lineRule="auto"/>
            </w:pPr>
          </w:p>
        </w:tc>
        <w:tc>
          <w:tcPr>
            <w:tcW w:w="1134" w:type="dxa"/>
          </w:tcPr>
          <w:p w:rsidR="009F0E0D" w:rsidRDefault="009F0E0D" w:rsidP="001D2890">
            <w:pPr>
              <w:spacing w:line="276" w:lineRule="auto"/>
            </w:pPr>
            <w:r>
              <w:t>75</w:t>
            </w:r>
          </w:p>
        </w:tc>
        <w:tc>
          <w:tcPr>
            <w:tcW w:w="5953" w:type="dxa"/>
          </w:tcPr>
          <w:p w:rsidR="009F0E0D" w:rsidRDefault="009F0E0D" w:rsidP="001D2890">
            <w:pPr>
              <w:spacing w:line="276" w:lineRule="auto"/>
            </w:pPr>
          </w:p>
        </w:tc>
      </w:tr>
      <w:tr w:rsidR="009F0E0D" w:rsidTr="001D2890">
        <w:tc>
          <w:tcPr>
            <w:tcW w:w="2235" w:type="dxa"/>
            <w:vMerge/>
          </w:tcPr>
          <w:p w:rsidR="009F0E0D" w:rsidRDefault="009F0E0D" w:rsidP="001D2890">
            <w:pPr>
              <w:spacing w:line="276" w:lineRule="auto"/>
            </w:pPr>
          </w:p>
        </w:tc>
        <w:tc>
          <w:tcPr>
            <w:tcW w:w="1134" w:type="dxa"/>
          </w:tcPr>
          <w:p w:rsidR="009F0E0D" w:rsidRDefault="009F0E0D" w:rsidP="001D2890">
            <w:pPr>
              <w:spacing w:line="276" w:lineRule="auto"/>
            </w:pPr>
            <w:r>
              <w:t>72</w:t>
            </w:r>
          </w:p>
        </w:tc>
        <w:tc>
          <w:tcPr>
            <w:tcW w:w="5953" w:type="dxa"/>
          </w:tcPr>
          <w:p w:rsidR="009F0E0D" w:rsidRDefault="009F0E0D" w:rsidP="001D2890">
            <w:pPr>
              <w:spacing w:line="276" w:lineRule="auto"/>
            </w:pPr>
          </w:p>
        </w:tc>
      </w:tr>
      <w:tr w:rsidR="009F0E0D" w:rsidTr="001D2890">
        <w:tc>
          <w:tcPr>
            <w:tcW w:w="2235" w:type="dxa"/>
            <w:vMerge w:val="restart"/>
          </w:tcPr>
          <w:p w:rsidR="009F0E0D" w:rsidRDefault="009F0E0D" w:rsidP="001D2890">
            <w:pPr>
              <w:spacing w:line="276" w:lineRule="auto"/>
            </w:pPr>
            <w:r>
              <w:t>Merit</w:t>
            </w:r>
          </w:p>
        </w:tc>
        <w:tc>
          <w:tcPr>
            <w:tcW w:w="1134" w:type="dxa"/>
          </w:tcPr>
          <w:p w:rsidR="009F0E0D" w:rsidRDefault="009F0E0D" w:rsidP="001D2890">
            <w:pPr>
              <w:spacing w:line="276" w:lineRule="auto"/>
            </w:pPr>
            <w:r>
              <w:t>68</w:t>
            </w:r>
          </w:p>
        </w:tc>
        <w:tc>
          <w:tcPr>
            <w:tcW w:w="5953" w:type="dxa"/>
          </w:tcPr>
          <w:p w:rsidR="009F0E0D" w:rsidRDefault="009F0E0D" w:rsidP="001D2890">
            <w:pPr>
              <w:spacing w:line="276" w:lineRule="auto"/>
            </w:pPr>
          </w:p>
        </w:tc>
      </w:tr>
      <w:tr w:rsidR="009F0E0D" w:rsidTr="001D2890">
        <w:tc>
          <w:tcPr>
            <w:tcW w:w="2235" w:type="dxa"/>
            <w:vMerge/>
          </w:tcPr>
          <w:p w:rsidR="009F0E0D" w:rsidRDefault="009F0E0D" w:rsidP="001D2890">
            <w:pPr>
              <w:spacing w:line="276" w:lineRule="auto"/>
            </w:pPr>
          </w:p>
        </w:tc>
        <w:tc>
          <w:tcPr>
            <w:tcW w:w="1134" w:type="dxa"/>
          </w:tcPr>
          <w:p w:rsidR="009F0E0D" w:rsidRDefault="009F0E0D" w:rsidP="001D2890">
            <w:pPr>
              <w:spacing w:line="276" w:lineRule="auto"/>
            </w:pPr>
            <w:r>
              <w:t>65</w:t>
            </w:r>
          </w:p>
        </w:tc>
        <w:tc>
          <w:tcPr>
            <w:tcW w:w="5953" w:type="dxa"/>
          </w:tcPr>
          <w:p w:rsidR="009F0E0D" w:rsidRDefault="009F0E0D" w:rsidP="001D2890">
            <w:pPr>
              <w:spacing w:line="276" w:lineRule="auto"/>
            </w:pPr>
          </w:p>
        </w:tc>
      </w:tr>
      <w:tr w:rsidR="009F0E0D" w:rsidTr="001D2890">
        <w:tc>
          <w:tcPr>
            <w:tcW w:w="2235" w:type="dxa"/>
            <w:vMerge/>
          </w:tcPr>
          <w:p w:rsidR="009F0E0D" w:rsidRDefault="009F0E0D" w:rsidP="001D2890">
            <w:pPr>
              <w:spacing w:line="276" w:lineRule="auto"/>
            </w:pPr>
          </w:p>
        </w:tc>
        <w:tc>
          <w:tcPr>
            <w:tcW w:w="1134" w:type="dxa"/>
          </w:tcPr>
          <w:p w:rsidR="009F0E0D" w:rsidRDefault="009F0E0D" w:rsidP="001D2890">
            <w:pPr>
              <w:spacing w:line="276" w:lineRule="auto"/>
            </w:pPr>
            <w:r>
              <w:t>62</w:t>
            </w:r>
          </w:p>
        </w:tc>
        <w:tc>
          <w:tcPr>
            <w:tcW w:w="5953" w:type="dxa"/>
          </w:tcPr>
          <w:p w:rsidR="009F0E0D" w:rsidRDefault="009F0E0D" w:rsidP="001D2890">
            <w:pPr>
              <w:spacing w:line="276" w:lineRule="auto"/>
            </w:pPr>
          </w:p>
        </w:tc>
      </w:tr>
      <w:tr w:rsidR="009F0E0D" w:rsidTr="001D2890">
        <w:tc>
          <w:tcPr>
            <w:tcW w:w="2235" w:type="dxa"/>
            <w:vMerge w:val="restart"/>
          </w:tcPr>
          <w:p w:rsidR="009F0E0D" w:rsidRDefault="009F0E0D" w:rsidP="001D2890">
            <w:pPr>
              <w:spacing w:line="276" w:lineRule="auto"/>
            </w:pPr>
            <w:r>
              <w:t>Pass</w:t>
            </w:r>
          </w:p>
        </w:tc>
        <w:tc>
          <w:tcPr>
            <w:tcW w:w="1134" w:type="dxa"/>
          </w:tcPr>
          <w:p w:rsidR="009F0E0D" w:rsidRDefault="009F0E0D" w:rsidP="001D2890">
            <w:pPr>
              <w:spacing w:line="276" w:lineRule="auto"/>
            </w:pPr>
            <w:r>
              <w:t>58</w:t>
            </w:r>
          </w:p>
        </w:tc>
        <w:tc>
          <w:tcPr>
            <w:tcW w:w="5953" w:type="dxa"/>
          </w:tcPr>
          <w:p w:rsidR="009F0E0D" w:rsidRDefault="009F0E0D" w:rsidP="001D2890">
            <w:pPr>
              <w:spacing w:line="276" w:lineRule="auto"/>
            </w:pPr>
          </w:p>
        </w:tc>
      </w:tr>
      <w:tr w:rsidR="009F0E0D" w:rsidTr="001D2890">
        <w:tc>
          <w:tcPr>
            <w:tcW w:w="2235" w:type="dxa"/>
            <w:vMerge/>
          </w:tcPr>
          <w:p w:rsidR="009F0E0D" w:rsidRDefault="009F0E0D" w:rsidP="001D2890">
            <w:pPr>
              <w:spacing w:line="276" w:lineRule="auto"/>
            </w:pPr>
          </w:p>
        </w:tc>
        <w:tc>
          <w:tcPr>
            <w:tcW w:w="1134" w:type="dxa"/>
          </w:tcPr>
          <w:p w:rsidR="009F0E0D" w:rsidRDefault="009F0E0D" w:rsidP="001D2890">
            <w:pPr>
              <w:spacing w:line="276" w:lineRule="auto"/>
            </w:pPr>
            <w:r>
              <w:t>55</w:t>
            </w:r>
          </w:p>
        </w:tc>
        <w:tc>
          <w:tcPr>
            <w:tcW w:w="5953" w:type="dxa"/>
          </w:tcPr>
          <w:p w:rsidR="009F0E0D" w:rsidRDefault="009F0E0D" w:rsidP="001D2890">
            <w:pPr>
              <w:spacing w:line="276" w:lineRule="auto"/>
            </w:pPr>
          </w:p>
        </w:tc>
      </w:tr>
      <w:tr w:rsidR="009F0E0D" w:rsidTr="001D2890">
        <w:tc>
          <w:tcPr>
            <w:tcW w:w="2235" w:type="dxa"/>
            <w:vMerge/>
          </w:tcPr>
          <w:p w:rsidR="009F0E0D" w:rsidRDefault="009F0E0D" w:rsidP="001D2890">
            <w:pPr>
              <w:spacing w:line="276" w:lineRule="auto"/>
            </w:pPr>
          </w:p>
        </w:tc>
        <w:tc>
          <w:tcPr>
            <w:tcW w:w="1134" w:type="dxa"/>
          </w:tcPr>
          <w:p w:rsidR="009F0E0D" w:rsidRDefault="009F0E0D" w:rsidP="001D2890">
            <w:pPr>
              <w:spacing w:line="276" w:lineRule="auto"/>
            </w:pPr>
            <w:r>
              <w:t>52</w:t>
            </w:r>
          </w:p>
        </w:tc>
        <w:tc>
          <w:tcPr>
            <w:tcW w:w="5953" w:type="dxa"/>
          </w:tcPr>
          <w:p w:rsidR="009F0E0D" w:rsidRDefault="009F0E0D" w:rsidP="001D2890">
            <w:pPr>
              <w:spacing w:line="276" w:lineRule="auto"/>
            </w:pPr>
          </w:p>
        </w:tc>
      </w:tr>
      <w:tr w:rsidR="009F0E0D" w:rsidTr="001D2890">
        <w:tc>
          <w:tcPr>
            <w:tcW w:w="2235" w:type="dxa"/>
            <w:vMerge w:val="restart"/>
          </w:tcPr>
          <w:p w:rsidR="009F0E0D" w:rsidRDefault="009F0E0D" w:rsidP="001D2890">
            <w:pPr>
              <w:spacing w:line="276" w:lineRule="auto"/>
            </w:pPr>
            <w:r>
              <w:t>Compensatory Fail</w:t>
            </w:r>
          </w:p>
        </w:tc>
        <w:tc>
          <w:tcPr>
            <w:tcW w:w="1134" w:type="dxa"/>
          </w:tcPr>
          <w:p w:rsidR="009F0E0D" w:rsidRDefault="009F0E0D" w:rsidP="001D2890">
            <w:pPr>
              <w:spacing w:line="276" w:lineRule="auto"/>
            </w:pPr>
            <w:r>
              <w:t>48</w:t>
            </w:r>
          </w:p>
        </w:tc>
        <w:tc>
          <w:tcPr>
            <w:tcW w:w="5953" w:type="dxa"/>
          </w:tcPr>
          <w:p w:rsidR="009F0E0D" w:rsidRDefault="009F0E0D" w:rsidP="001D2890">
            <w:pPr>
              <w:spacing w:line="276" w:lineRule="auto"/>
            </w:pPr>
          </w:p>
        </w:tc>
      </w:tr>
      <w:tr w:rsidR="009F0E0D" w:rsidTr="001D2890">
        <w:tc>
          <w:tcPr>
            <w:tcW w:w="2235" w:type="dxa"/>
            <w:vMerge/>
          </w:tcPr>
          <w:p w:rsidR="009F0E0D" w:rsidRDefault="009F0E0D" w:rsidP="001D2890">
            <w:pPr>
              <w:spacing w:line="276" w:lineRule="auto"/>
            </w:pPr>
          </w:p>
        </w:tc>
        <w:tc>
          <w:tcPr>
            <w:tcW w:w="1134" w:type="dxa"/>
          </w:tcPr>
          <w:p w:rsidR="009F0E0D" w:rsidRDefault="009F0E0D" w:rsidP="001D2890">
            <w:pPr>
              <w:spacing w:line="276" w:lineRule="auto"/>
            </w:pPr>
            <w:r>
              <w:t>45</w:t>
            </w:r>
          </w:p>
        </w:tc>
        <w:tc>
          <w:tcPr>
            <w:tcW w:w="5953" w:type="dxa"/>
          </w:tcPr>
          <w:p w:rsidR="009F0E0D" w:rsidRDefault="009F0E0D" w:rsidP="001D2890">
            <w:pPr>
              <w:spacing w:line="276" w:lineRule="auto"/>
            </w:pPr>
          </w:p>
        </w:tc>
      </w:tr>
      <w:tr w:rsidR="009F0E0D" w:rsidTr="001D2890">
        <w:tc>
          <w:tcPr>
            <w:tcW w:w="2235" w:type="dxa"/>
            <w:vMerge/>
          </w:tcPr>
          <w:p w:rsidR="009F0E0D" w:rsidRDefault="009F0E0D" w:rsidP="001D2890">
            <w:pPr>
              <w:spacing w:line="276" w:lineRule="auto"/>
            </w:pPr>
          </w:p>
        </w:tc>
        <w:tc>
          <w:tcPr>
            <w:tcW w:w="1134" w:type="dxa"/>
          </w:tcPr>
          <w:p w:rsidR="009F0E0D" w:rsidRDefault="009F0E0D" w:rsidP="001D2890">
            <w:pPr>
              <w:spacing w:line="276" w:lineRule="auto"/>
            </w:pPr>
            <w:r>
              <w:t>42</w:t>
            </w:r>
          </w:p>
        </w:tc>
        <w:tc>
          <w:tcPr>
            <w:tcW w:w="5953" w:type="dxa"/>
          </w:tcPr>
          <w:p w:rsidR="009F0E0D" w:rsidRDefault="009F0E0D" w:rsidP="001D2890">
            <w:pPr>
              <w:spacing w:line="276" w:lineRule="auto"/>
            </w:pPr>
          </w:p>
        </w:tc>
      </w:tr>
      <w:tr w:rsidR="009F0E0D" w:rsidTr="001D2890">
        <w:tc>
          <w:tcPr>
            <w:tcW w:w="2235" w:type="dxa"/>
            <w:vMerge w:val="restart"/>
          </w:tcPr>
          <w:p w:rsidR="009F0E0D" w:rsidRDefault="009F0E0D" w:rsidP="001D2890">
            <w:pPr>
              <w:spacing w:line="276" w:lineRule="auto"/>
            </w:pPr>
            <w:r>
              <w:t>Fail</w:t>
            </w:r>
          </w:p>
        </w:tc>
        <w:tc>
          <w:tcPr>
            <w:tcW w:w="1134" w:type="dxa"/>
          </w:tcPr>
          <w:p w:rsidR="009F0E0D" w:rsidRDefault="009F0E0D" w:rsidP="001D2890">
            <w:pPr>
              <w:spacing w:line="276" w:lineRule="auto"/>
            </w:pPr>
            <w:r>
              <w:t>38</w:t>
            </w:r>
          </w:p>
        </w:tc>
        <w:tc>
          <w:tcPr>
            <w:tcW w:w="5953" w:type="dxa"/>
          </w:tcPr>
          <w:p w:rsidR="009F0E0D" w:rsidRDefault="009F0E0D" w:rsidP="001D2890">
            <w:pPr>
              <w:spacing w:line="276" w:lineRule="auto"/>
            </w:pPr>
          </w:p>
        </w:tc>
      </w:tr>
      <w:tr w:rsidR="009F0E0D" w:rsidTr="001D2890">
        <w:tc>
          <w:tcPr>
            <w:tcW w:w="2235" w:type="dxa"/>
            <w:vMerge/>
          </w:tcPr>
          <w:p w:rsidR="009F0E0D" w:rsidRDefault="009F0E0D" w:rsidP="001D2890">
            <w:pPr>
              <w:spacing w:line="276" w:lineRule="auto"/>
            </w:pPr>
          </w:p>
        </w:tc>
        <w:tc>
          <w:tcPr>
            <w:tcW w:w="1134" w:type="dxa"/>
          </w:tcPr>
          <w:p w:rsidR="009F0E0D" w:rsidRDefault="009F0E0D" w:rsidP="001D2890">
            <w:pPr>
              <w:spacing w:line="276" w:lineRule="auto"/>
            </w:pPr>
            <w:r>
              <w:t>35</w:t>
            </w:r>
          </w:p>
        </w:tc>
        <w:tc>
          <w:tcPr>
            <w:tcW w:w="5953" w:type="dxa"/>
          </w:tcPr>
          <w:p w:rsidR="009F0E0D" w:rsidRDefault="009F0E0D" w:rsidP="001D2890">
            <w:pPr>
              <w:spacing w:line="276" w:lineRule="auto"/>
            </w:pPr>
          </w:p>
        </w:tc>
      </w:tr>
      <w:tr w:rsidR="009F0E0D" w:rsidTr="001D2890">
        <w:tc>
          <w:tcPr>
            <w:tcW w:w="2235" w:type="dxa"/>
            <w:vMerge/>
          </w:tcPr>
          <w:p w:rsidR="009F0E0D" w:rsidRDefault="009F0E0D" w:rsidP="001D2890">
            <w:pPr>
              <w:spacing w:line="276" w:lineRule="auto"/>
            </w:pPr>
          </w:p>
        </w:tc>
        <w:tc>
          <w:tcPr>
            <w:tcW w:w="1134" w:type="dxa"/>
          </w:tcPr>
          <w:p w:rsidR="009F0E0D" w:rsidRDefault="009F0E0D" w:rsidP="001D2890">
            <w:pPr>
              <w:spacing w:line="276" w:lineRule="auto"/>
            </w:pPr>
            <w:r>
              <w:t>32</w:t>
            </w:r>
          </w:p>
        </w:tc>
        <w:tc>
          <w:tcPr>
            <w:tcW w:w="5953" w:type="dxa"/>
          </w:tcPr>
          <w:p w:rsidR="009F0E0D" w:rsidRDefault="009F0E0D" w:rsidP="001D2890">
            <w:pPr>
              <w:spacing w:line="276" w:lineRule="auto"/>
            </w:pPr>
          </w:p>
        </w:tc>
      </w:tr>
      <w:tr w:rsidR="009F0E0D" w:rsidTr="001D2890">
        <w:tc>
          <w:tcPr>
            <w:tcW w:w="2235" w:type="dxa"/>
            <w:vMerge w:val="restart"/>
          </w:tcPr>
          <w:p w:rsidR="009F0E0D" w:rsidRDefault="009F0E0D" w:rsidP="001D2890">
            <w:pPr>
              <w:spacing w:line="276" w:lineRule="auto"/>
            </w:pPr>
            <w:r>
              <w:t>Fail</w:t>
            </w:r>
          </w:p>
        </w:tc>
        <w:tc>
          <w:tcPr>
            <w:tcW w:w="1134" w:type="dxa"/>
          </w:tcPr>
          <w:p w:rsidR="009F0E0D" w:rsidRDefault="009F0E0D" w:rsidP="001D2890">
            <w:pPr>
              <w:spacing w:line="276" w:lineRule="auto"/>
            </w:pPr>
            <w:r>
              <w:t>28</w:t>
            </w:r>
          </w:p>
        </w:tc>
        <w:tc>
          <w:tcPr>
            <w:tcW w:w="5953" w:type="dxa"/>
          </w:tcPr>
          <w:p w:rsidR="009F0E0D" w:rsidRDefault="009F0E0D" w:rsidP="001D2890">
            <w:pPr>
              <w:spacing w:line="276" w:lineRule="auto"/>
            </w:pPr>
          </w:p>
        </w:tc>
      </w:tr>
      <w:tr w:rsidR="009F0E0D" w:rsidTr="001D2890">
        <w:tc>
          <w:tcPr>
            <w:tcW w:w="2235" w:type="dxa"/>
            <w:vMerge/>
          </w:tcPr>
          <w:p w:rsidR="009F0E0D" w:rsidRDefault="009F0E0D" w:rsidP="001D2890">
            <w:pPr>
              <w:spacing w:line="276" w:lineRule="auto"/>
            </w:pPr>
          </w:p>
        </w:tc>
        <w:tc>
          <w:tcPr>
            <w:tcW w:w="1134" w:type="dxa"/>
          </w:tcPr>
          <w:p w:rsidR="009F0E0D" w:rsidRDefault="009F0E0D" w:rsidP="001D2890">
            <w:pPr>
              <w:spacing w:line="276" w:lineRule="auto"/>
            </w:pPr>
            <w:r>
              <w:t>25</w:t>
            </w:r>
          </w:p>
        </w:tc>
        <w:tc>
          <w:tcPr>
            <w:tcW w:w="5953" w:type="dxa"/>
          </w:tcPr>
          <w:p w:rsidR="009F0E0D" w:rsidRDefault="009F0E0D" w:rsidP="001D2890">
            <w:pPr>
              <w:spacing w:line="276" w:lineRule="auto"/>
            </w:pPr>
          </w:p>
        </w:tc>
      </w:tr>
      <w:tr w:rsidR="009F0E0D" w:rsidTr="001D2890">
        <w:tc>
          <w:tcPr>
            <w:tcW w:w="2235" w:type="dxa"/>
            <w:vMerge/>
          </w:tcPr>
          <w:p w:rsidR="009F0E0D" w:rsidRDefault="009F0E0D" w:rsidP="001D2890">
            <w:pPr>
              <w:spacing w:line="276" w:lineRule="auto"/>
            </w:pPr>
          </w:p>
        </w:tc>
        <w:tc>
          <w:tcPr>
            <w:tcW w:w="1134" w:type="dxa"/>
          </w:tcPr>
          <w:p w:rsidR="009F0E0D" w:rsidRDefault="009F0E0D" w:rsidP="001D2890">
            <w:pPr>
              <w:spacing w:line="276" w:lineRule="auto"/>
            </w:pPr>
            <w:r>
              <w:t>15</w:t>
            </w:r>
          </w:p>
        </w:tc>
        <w:tc>
          <w:tcPr>
            <w:tcW w:w="5953" w:type="dxa"/>
          </w:tcPr>
          <w:p w:rsidR="009F0E0D" w:rsidRDefault="009F0E0D" w:rsidP="001D2890">
            <w:pPr>
              <w:spacing w:line="276" w:lineRule="auto"/>
            </w:pPr>
          </w:p>
        </w:tc>
      </w:tr>
      <w:tr w:rsidR="009F0E0D" w:rsidTr="001D2890">
        <w:tc>
          <w:tcPr>
            <w:tcW w:w="2235" w:type="dxa"/>
            <w:vMerge/>
          </w:tcPr>
          <w:p w:rsidR="009F0E0D" w:rsidRDefault="009F0E0D" w:rsidP="001D2890">
            <w:pPr>
              <w:spacing w:line="276" w:lineRule="auto"/>
            </w:pPr>
          </w:p>
        </w:tc>
        <w:tc>
          <w:tcPr>
            <w:tcW w:w="1134" w:type="dxa"/>
          </w:tcPr>
          <w:p w:rsidR="009F0E0D" w:rsidRDefault="009F0E0D" w:rsidP="001D2890">
            <w:pPr>
              <w:spacing w:line="276" w:lineRule="auto"/>
            </w:pPr>
            <w:r>
              <w:t>5</w:t>
            </w:r>
          </w:p>
        </w:tc>
        <w:tc>
          <w:tcPr>
            <w:tcW w:w="5953" w:type="dxa"/>
          </w:tcPr>
          <w:p w:rsidR="009F0E0D" w:rsidRDefault="009F0E0D" w:rsidP="001D2890">
            <w:pPr>
              <w:spacing w:line="276" w:lineRule="auto"/>
            </w:pPr>
          </w:p>
        </w:tc>
      </w:tr>
      <w:tr w:rsidR="009F0E0D" w:rsidTr="001D2890">
        <w:tc>
          <w:tcPr>
            <w:tcW w:w="2235" w:type="dxa"/>
            <w:vMerge/>
          </w:tcPr>
          <w:p w:rsidR="009F0E0D" w:rsidRDefault="009F0E0D" w:rsidP="001D2890">
            <w:pPr>
              <w:spacing w:line="276" w:lineRule="auto"/>
            </w:pPr>
          </w:p>
        </w:tc>
        <w:tc>
          <w:tcPr>
            <w:tcW w:w="1134" w:type="dxa"/>
          </w:tcPr>
          <w:p w:rsidR="009F0E0D" w:rsidRDefault="009F0E0D" w:rsidP="001D2890">
            <w:pPr>
              <w:spacing w:line="276" w:lineRule="auto"/>
            </w:pPr>
            <w:r>
              <w:t>0</w:t>
            </w:r>
          </w:p>
        </w:tc>
        <w:tc>
          <w:tcPr>
            <w:tcW w:w="5953" w:type="dxa"/>
          </w:tcPr>
          <w:p w:rsidR="009F0E0D" w:rsidRDefault="009F0E0D" w:rsidP="001D2890">
            <w:pPr>
              <w:spacing w:line="276" w:lineRule="auto"/>
            </w:pPr>
          </w:p>
        </w:tc>
      </w:tr>
    </w:tbl>
    <w:p w:rsidR="009F0E0D" w:rsidRDefault="009F0E0D" w:rsidP="009F0E0D"/>
    <w:p w:rsidR="007459F5" w:rsidRDefault="007459F5"/>
    <w:sectPr w:rsidR="007459F5" w:rsidSect="009F0E0D">
      <w:headerReference w:type="default" r:id="rId9"/>
      <w:foot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C5" w:rsidRDefault="00FD5BC5" w:rsidP="00FD5BC5">
      <w:pPr>
        <w:spacing w:after="0" w:line="240" w:lineRule="auto"/>
      </w:pPr>
      <w:r>
        <w:separator/>
      </w:r>
    </w:p>
  </w:endnote>
  <w:endnote w:type="continuationSeparator" w:id="0">
    <w:p w:rsidR="00FD5BC5" w:rsidRDefault="00FD5BC5" w:rsidP="00FD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759300"/>
      <w:docPartObj>
        <w:docPartGallery w:val="Page Numbers (Bottom of Page)"/>
        <w:docPartUnique/>
      </w:docPartObj>
    </w:sdtPr>
    <w:sdtEndPr>
      <w:rPr>
        <w:noProof/>
      </w:rPr>
    </w:sdtEndPr>
    <w:sdtContent>
      <w:p w:rsidR="00FD5BC5" w:rsidRDefault="00FD5BC5">
        <w:pPr>
          <w:pStyle w:val="Footer"/>
          <w:jc w:val="right"/>
        </w:pPr>
        <w:r>
          <w:fldChar w:fldCharType="begin"/>
        </w:r>
        <w:r>
          <w:instrText xml:space="preserve"> PAGE   \* MERGEFORMAT </w:instrText>
        </w:r>
        <w:r>
          <w:fldChar w:fldCharType="separate"/>
        </w:r>
        <w:r w:rsidR="00F17A96">
          <w:rPr>
            <w:noProof/>
          </w:rPr>
          <w:t>1</w:t>
        </w:r>
        <w:r>
          <w:rPr>
            <w:noProof/>
          </w:rPr>
          <w:fldChar w:fldCharType="end"/>
        </w:r>
      </w:p>
    </w:sdtContent>
  </w:sdt>
  <w:p w:rsidR="00FD5BC5" w:rsidRDefault="00FD5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C5" w:rsidRDefault="00FD5BC5" w:rsidP="00FD5BC5">
      <w:pPr>
        <w:spacing w:after="0" w:line="240" w:lineRule="auto"/>
      </w:pPr>
      <w:r>
        <w:separator/>
      </w:r>
    </w:p>
  </w:footnote>
  <w:footnote w:type="continuationSeparator" w:id="0">
    <w:p w:rsidR="00FD5BC5" w:rsidRDefault="00FD5BC5" w:rsidP="00FD5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C5" w:rsidRPr="00FD5BC5" w:rsidRDefault="00FD5BC5">
    <w:pPr>
      <w:pStyle w:val="Header"/>
      <w:rPr>
        <w:color w:val="BFBFBF" w:themeColor="background1" w:themeShade="BF"/>
        <w:sz w:val="18"/>
        <w:szCs w:val="18"/>
      </w:rPr>
    </w:pPr>
    <w:r>
      <w:rPr>
        <w:color w:val="BFBFBF" w:themeColor="background1" w:themeShade="BF"/>
        <w:sz w:val="18"/>
        <w:szCs w:val="18"/>
      </w:rPr>
      <w:t xml:space="preserve">                                                                                                          </w:t>
    </w:r>
    <w:r w:rsidRPr="00FD5BC5">
      <w:rPr>
        <w:color w:val="BFBFBF" w:themeColor="background1" w:themeShade="BF"/>
        <w:sz w:val="18"/>
        <w:szCs w:val="18"/>
      </w:rPr>
      <w:t>FAQs PGT Students Reduced Scale Stepped Marking Final V1 (26/09/17)</w:t>
    </w:r>
  </w:p>
  <w:p w:rsidR="00FD5BC5" w:rsidRDefault="00FD5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63D2"/>
    <w:multiLevelType w:val="hybridMultilevel"/>
    <w:tmpl w:val="00AE70C8"/>
    <w:lvl w:ilvl="0" w:tplc="0809000F">
      <w:start w:val="1"/>
      <w:numFmt w:val="decimal"/>
      <w:lvlText w:val="%1."/>
      <w:lvlJc w:val="left"/>
      <w:pPr>
        <w:ind w:left="360" w:hanging="360"/>
      </w:pPr>
      <w:rPr>
        <w:rFonts w:hint="default"/>
      </w:rPr>
    </w:lvl>
    <w:lvl w:ilvl="1" w:tplc="FCA01634">
      <w:numFmt w:val="bullet"/>
      <w:lvlText w:val="•"/>
      <w:lvlJc w:val="left"/>
      <w:pPr>
        <w:ind w:left="1440" w:hanging="720"/>
      </w:pPr>
      <w:rPr>
        <w:rFonts w:ascii="Calibri" w:eastAsiaTheme="minorEastAsia"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2187012"/>
    <w:multiLevelType w:val="hybridMultilevel"/>
    <w:tmpl w:val="1C0A2A0A"/>
    <w:lvl w:ilvl="0" w:tplc="0809000F">
      <w:start w:val="1"/>
      <w:numFmt w:val="decimal"/>
      <w:lvlText w:val="%1."/>
      <w:lvlJc w:val="left"/>
      <w:pPr>
        <w:ind w:left="360" w:hanging="360"/>
      </w:pPr>
      <w:rPr>
        <w:rFonts w:hint="default"/>
      </w:rPr>
    </w:lvl>
    <w:lvl w:ilvl="1" w:tplc="FCA01634">
      <w:numFmt w:val="bullet"/>
      <w:lvlText w:val="•"/>
      <w:lvlJc w:val="left"/>
      <w:pPr>
        <w:ind w:left="1440" w:hanging="720"/>
      </w:pPr>
      <w:rPr>
        <w:rFonts w:ascii="Calibri" w:eastAsiaTheme="minorEastAsia"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10E7FE1"/>
    <w:multiLevelType w:val="hybridMultilevel"/>
    <w:tmpl w:val="9A1CD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0D"/>
    <w:rsid w:val="00346F4D"/>
    <w:rsid w:val="007459F5"/>
    <w:rsid w:val="00763B6A"/>
    <w:rsid w:val="009F0E0D"/>
    <w:rsid w:val="00F17A96"/>
    <w:rsid w:val="00FD5B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E0D"/>
    <w:pPr>
      <w:ind w:left="720"/>
      <w:contextualSpacing/>
    </w:pPr>
  </w:style>
  <w:style w:type="paragraph" w:styleId="NormalWeb">
    <w:name w:val="Normal (Web)"/>
    <w:basedOn w:val="Normal"/>
    <w:uiPriority w:val="99"/>
    <w:rsid w:val="009F0E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D5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BC5"/>
  </w:style>
  <w:style w:type="paragraph" w:styleId="Footer">
    <w:name w:val="footer"/>
    <w:basedOn w:val="Normal"/>
    <w:link w:val="FooterChar"/>
    <w:uiPriority w:val="99"/>
    <w:unhideWhenUsed/>
    <w:rsid w:val="00FD5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BC5"/>
  </w:style>
  <w:style w:type="paragraph" w:styleId="BalloonText">
    <w:name w:val="Balloon Text"/>
    <w:basedOn w:val="Normal"/>
    <w:link w:val="BalloonTextChar"/>
    <w:uiPriority w:val="99"/>
    <w:semiHidden/>
    <w:unhideWhenUsed/>
    <w:rsid w:val="00FD5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B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E0D"/>
    <w:pPr>
      <w:ind w:left="720"/>
      <w:contextualSpacing/>
    </w:pPr>
  </w:style>
  <w:style w:type="paragraph" w:styleId="NormalWeb">
    <w:name w:val="Normal (Web)"/>
    <w:basedOn w:val="Normal"/>
    <w:uiPriority w:val="99"/>
    <w:rsid w:val="009F0E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D5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BC5"/>
  </w:style>
  <w:style w:type="paragraph" w:styleId="Footer">
    <w:name w:val="footer"/>
    <w:basedOn w:val="Normal"/>
    <w:link w:val="FooterChar"/>
    <w:uiPriority w:val="99"/>
    <w:unhideWhenUsed/>
    <w:rsid w:val="00FD5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BC5"/>
  </w:style>
  <w:style w:type="paragraph" w:styleId="BalloonText">
    <w:name w:val="Balloon Text"/>
    <w:basedOn w:val="Normal"/>
    <w:link w:val="BalloonTextChar"/>
    <w:uiPriority w:val="99"/>
    <w:semiHidden/>
    <w:unhideWhenUsed/>
    <w:rsid w:val="00FD5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5272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Mcaleese</dc:creator>
  <cp:lastModifiedBy>Susan Rowe</cp:lastModifiedBy>
  <cp:revision>2</cp:revision>
  <dcterms:created xsi:type="dcterms:W3CDTF">2017-09-27T08:09:00Z</dcterms:created>
  <dcterms:modified xsi:type="dcterms:W3CDTF">2017-09-27T08:09:00Z</dcterms:modified>
</cp:coreProperties>
</file>