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E5" w:rsidRPr="00D954E5" w:rsidRDefault="00D954E5" w:rsidP="00D954E5">
      <w:pPr>
        <w:suppressAutoHyphens w:val="0"/>
        <w:rPr>
          <w:rFonts w:asciiTheme="minorHAnsi" w:eastAsiaTheme="minorHAnsi" w:hAnsiTheme="minorHAnsi" w:cstheme="minorBidi"/>
          <w:lang w:eastAsia="en-US"/>
        </w:rPr>
      </w:pPr>
      <w:r w:rsidRPr="00D954E5">
        <w:rPr>
          <w:rFonts w:asciiTheme="minorHAnsi" w:eastAsiaTheme="minorHAnsi" w:hAnsiTheme="minorHAnsi" w:cstheme="minorBidi"/>
          <w:b/>
          <w:noProof/>
        </w:rPr>
        <w:drawing>
          <wp:inline distT="0" distB="0" distL="0" distR="0" wp14:anchorId="376C5694" wp14:editId="52422C21">
            <wp:extent cx="1663700" cy="711200"/>
            <wp:effectExtent l="0" t="0" r="0" b="0"/>
            <wp:docPr id="1" name="Picture 5"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TAB_col_white_background.e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7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954E5" w:rsidRPr="00D954E5" w:rsidRDefault="00D954E5" w:rsidP="00D954E5">
      <w:pPr>
        <w:pBdr>
          <w:bottom w:val="single" w:sz="12" w:space="0" w:color="auto"/>
        </w:pBdr>
        <w:suppressAutoHyphens w:val="0"/>
        <w:spacing w:after="0" w:line="240" w:lineRule="auto"/>
        <w:ind w:right="440"/>
        <w:rPr>
          <w:rFonts w:asciiTheme="minorHAnsi" w:eastAsiaTheme="minorHAnsi" w:hAnsiTheme="minorHAnsi" w:cstheme="minorBidi"/>
          <w:b/>
          <w:lang w:eastAsia="en-US"/>
        </w:rPr>
      </w:pPr>
      <w:r w:rsidRPr="00D954E5">
        <w:rPr>
          <w:rFonts w:asciiTheme="minorHAnsi" w:eastAsiaTheme="minorHAnsi" w:hAnsiTheme="minorHAnsi" w:cstheme="minorBidi"/>
          <w:b/>
          <w:lang w:eastAsia="en-US"/>
        </w:rPr>
        <w:t>Humanities Teaching and Learning Support Services</w:t>
      </w:r>
    </w:p>
    <w:p w:rsidR="00D954E5" w:rsidRPr="00D954E5" w:rsidRDefault="00D954E5" w:rsidP="00D954E5">
      <w:pPr>
        <w:pBdr>
          <w:bottom w:val="single" w:sz="12" w:space="0" w:color="auto"/>
        </w:pBdr>
        <w:suppressAutoHyphens w:val="0"/>
        <w:spacing w:after="0" w:line="240" w:lineRule="auto"/>
        <w:ind w:right="440"/>
        <w:rPr>
          <w:rFonts w:asciiTheme="minorHAnsi" w:eastAsiaTheme="minorHAnsi" w:hAnsiTheme="minorHAnsi" w:cstheme="minorBidi"/>
          <w:b/>
          <w:lang w:eastAsia="en-US"/>
        </w:rPr>
      </w:pPr>
    </w:p>
    <w:p w:rsidR="00D954E5" w:rsidRPr="00D954E5" w:rsidRDefault="00D954E5" w:rsidP="00D954E5">
      <w:pPr>
        <w:pBdr>
          <w:bottom w:val="single" w:sz="12" w:space="0" w:color="auto"/>
        </w:pBdr>
        <w:suppressAutoHyphens w:val="0"/>
        <w:spacing w:after="0" w:line="240" w:lineRule="auto"/>
        <w:ind w:right="440"/>
        <w:rPr>
          <w:rFonts w:asciiTheme="minorHAnsi" w:hAnsiTheme="minorHAnsi"/>
          <w:b/>
        </w:rPr>
      </w:pPr>
      <w:r w:rsidRPr="00D954E5">
        <w:rPr>
          <w:rFonts w:asciiTheme="minorHAnsi" w:hAnsiTheme="minorHAnsi"/>
          <w:b/>
        </w:rPr>
        <w:t>Process</w:t>
      </w:r>
      <w:r w:rsidRPr="003F1138">
        <w:rPr>
          <w:rFonts w:asciiTheme="minorHAnsi" w:hAnsiTheme="minorHAnsi"/>
          <w:b/>
        </w:rPr>
        <w:t xml:space="preserve"> for approval of New Programme Approval (NPP1)</w:t>
      </w:r>
    </w:p>
    <w:p w:rsidR="00D954E5" w:rsidRPr="00D954E5" w:rsidRDefault="00D954E5" w:rsidP="00D954E5">
      <w:pPr>
        <w:pBdr>
          <w:bottom w:val="single" w:sz="12" w:space="0" w:color="auto"/>
        </w:pBdr>
        <w:suppressAutoHyphens w:val="0"/>
        <w:spacing w:after="0" w:line="240" w:lineRule="auto"/>
        <w:ind w:right="440"/>
        <w:rPr>
          <w:rFonts w:asciiTheme="minorHAnsi" w:eastAsiaTheme="minorHAnsi" w:hAnsiTheme="minorHAnsi" w:cstheme="minorBidi"/>
          <w:b/>
          <w:lang w:eastAsia="en-US"/>
        </w:rPr>
      </w:pPr>
    </w:p>
    <w:p w:rsidR="00D954E5" w:rsidRPr="003F1138" w:rsidRDefault="00D954E5" w:rsidP="00D954E5">
      <w:pPr>
        <w:spacing w:after="0" w:line="240" w:lineRule="auto"/>
        <w:rPr>
          <w:rFonts w:asciiTheme="minorHAnsi" w:hAnsiTheme="minorHAnsi"/>
        </w:rPr>
      </w:pPr>
    </w:p>
    <w:p w:rsidR="00A11E42" w:rsidRPr="00A11E42" w:rsidRDefault="00A11E42" w:rsidP="00A11E42">
      <w:pPr>
        <w:spacing w:after="0" w:line="240" w:lineRule="auto"/>
        <w:rPr>
          <w:rFonts w:asciiTheme="minorHAnsi" w:hAnsiTheme="minorHAnsi"/>
        </w:rPr>
      </w:pPr>
      <w:bookmarkStart w:id="0" w:name="_GoBack"/>
      <w:bookmarkEnd w:id="0"/>
    </w:p>
    <w:p w:rsidR="00A11E42" w:rsidRPr="00A11E42" w:rsidRDefault="00A11E42" w:rsidP="00A11E42">
      <w:pPr>
        <w:spacing w:after="0" w:line="240" w:lineRule="auto"/>
        <w:rPr>
          <w:rFonts w:asciiTheme="minorHAnsi" w:hAnsiTheme="minorHAnsi"/>
          <w:b/>
        </w:rPr>
      </w:pPr>
      <w:r w:rsidRPr="00A11E42">
        <w:rPr>
          <w:rFonts w:asciiTheme="minorHAnsi" w:hAnsiTheme="minorHAnsi"/>
          <w:b/>
        </w:rPr>
        <w:t>Documentation and support</w:t>
      </w:r>
    </w:p>
    <w:p w:rsidR="00A11E42" w:rsidRPr="00A11E42" w:rsidRDefault="00A11E42" w:rsidP="00A11E42">
      <w:pPr>
        <w:spacing w:after="0" w:line="240" w:lineRule="auto"/>
        <w:rPr>
          <w:rFonts w:asciiTheme="minorHAnsi" w:hAnsiTheme="minorHAnsi"/>
        </w:rPr>
      </w:pPr>
    </w:p>
    <w:p w:rsidR="00A11E42" w:rsidRPr="00A11E42" w:rsidRDefault="00A11E42" w:rsidP="00A11E42">
      <w:pPr>
        <w:spacing w:after="0" w:line="240" w:lineRule="auto"/>
        <w:rPr>
          <w:rFonts w:asciiTheme="minorHAnsi" w:hAnsiTheme="minorHAnsi"/>
        </w:rPr>
      </w:pPr>
      <w:r w:rsidRPr="00A11E42">
        <w:rPr>
          <w:rFonts w:asciiTheme="minorHAnsi" w:hAnsiTheme="minorHAnsi"/>
        </w:rPr>
        <w:t>Following discussion of the concept at Programme/Subject Area committee or Stakeholder Meeting – if colleagues are on board, the proposer should complete the NPP1 documentation, as outlined below:</w:t>
      </w:r>
    </w:p>
    <w:p w:rsidR="00A11E42" w:rsidRPr="00A11E42" w:rsidRDefault="00A11E42" w:rsidP="00A11E42">
      <w:pPr>
        <w:spacing w:after="0" w:line="240" w:lineRule="auto"/>
        <w:rPr>
          <w:rFonts w:asciiTheme="minorHAnsi" w:hAnsiTheme="minorHAnsi"/>
        </w:rPr>
      </w:pPr>
    </w:p>
    <w:p w:rsidR="00A11E42" w:rsidRPr="00A11E42" w:rsidRDefault="00A11E42" w:rsidP="00A11E42">
      <w:pPr>
        <w:numPr>
          <w:ilvl w:val="0"/>
          <w:numId w:val="1"/>
        </w:numPr>
        <w:suppressAutoHyphens w:val="0"/>
        <w:spacing w:after="0" w:line="240" w:lineRule="auto"/>
        <w:contextualSpacing/>
        <w:rPr>
          <w:rFonts w:asciiTheme="minorHAnsi" w:hAnsiTheme="minorHAnsi"/>
        </w:rPr>
      </w:pPr>
      <w:hyperlink r:id="rId7" w:history="1">
        <w:r w:rsidRPr="00A11E42">
          <w:rPr>
            <w:rFonts w:asciiTheme="minorHAnsi" w:hAnsiTheme="minorHAnsi"/>
            <w:color w:val="0000FF" w:themeColor="hyperlink"/>
            <w:u w:val="single"/>
          </w:rPr>
          <w:t xml:space="preserve">NPP1 </w:t>
        </w:r>
        <w:proofErr w:type="spellStart"/>
        <w:r w:rsidRPr="00A11E42">
          <w:rPr>
            <w:rFonts w:asciiTheme="minorHAnsi" w:hAnsiTheme="minorHAnsi"/>
            <w:color w:val="0000FF" w:themeColor="hyperlink"/>
            <w:u w:val="single"/>
          </w:rPr>
          <w:t>proforma</w:t>
        </w:r>
        <w:proofErr w:type="spellEnd"/>
      </w:hyperlink>
      <w:r w:rsidRPr="00A11E42">
        <w:rPr>
          <w:rFonts w:asciiTheme="minorHAnsi" w:hAnsiTheme="minorHAnsi"/>
        </w:rPr>
        <w:t xml:space="preserve"> </w:t>
      </w:r>
    </w:p>
    <w:p w:rsidR="00A11E42" w:rsidRPr="00A11E42" w:rsidRDefault="00A11E42" w:rsidP="00A11E42">
      <w:pPr>
        <w:numPr>
          <w:ilvl w:val="1"/>
          <w:numId w:val="1"/>
        </w:numPr>
        <w:suppressAutoHyphens w:val="0"/>
        <w:spacing w:after="0" w:line="240" w:lineRule="auto"/>
        <w:contextualSpacing/>
        <w:rPr>
          <w:rFonts w:asciiTheme="minorHAnsi" w:hAnsiTheme="minorHAnsi"/>
        </w:rPr>
      </w:pPr>
      <w:r w:rsidRPr="00A11E42">
        <w:rPr>
          <w:rFonts w:asciiTheme="minorHAnsi" w:hAnsiTheme="minorHAnsi"/>
        </w:rPr>
        <w:t>In liaison with your School’s Teaching and Learning Officer;</w:t>
      </w:r>
    </w:p>
    <w:p w:rsidR="00A11E42" w:rsidRPr="00A11E42" w:rsidRDefault="00A11E42" w:rsidP="00A11E42">
      <w:pPr>
        <w:numPr>
          <w:ilvl w:val="0"/>
          <w:numId w:val="1"/>
        </w:numPr>
        <w:suppressAutoHyphens w:val="0"/>
        <w:spacing w:after="0" w:line="240" w:lineRule="auto"/>
        <w:contextualSpacing/>
        <w:rPr>
          <w:rFonts w:asciiTheme="minorHAnsi" w:hAnsiTheme="minorHAnsi"/>
        </w:rPr>
      </w:pPr>
      <w:hyperlink r:id="rId8" w:history="1">
        <w:r w:rsidRPr="00A11E42">
          <w:rPr>
            <w:rFonts w:asciiTheme="minorHAnsi" w:hAnsiTheme="minorHAnsi"/>
            <w:color w:val="0000FF" w:themeColor="hyperlink"/>
            <w:u w:val="single"/>
          </w:rPr>
          <w:t>IS/ eLearning resources form</w:t>
        </w:r>
      </w:hyperlink>
      <w:r w:rsidRPr="00A11E42">
        <w:rPr>
          <w:rFonts w:asciiTheme="minorHAnsi" w:hAnsiTheme="minorHAnsi"/>
        </w:rPr>
        <w:t>, in liaison with:</w:t>
      </w:r>
    </w:p>
    <w:p w:rsidR="00A11E42" w:rsidRPr="00A11E42" w:rsidRDefault="00A11E42" w:rsidP="00A11E42">
      <w:pPr>
        <w:numPr>
          <w:ilvl w:val="1"/>
          <w:numId w:val="1"/>
        </w:numPr>
        <w:suppressAutoHyphens w:val="0"/>
        <w:spacing w:after="0" w:line="240" w:lineRule="auto"/>
        <w:contextualSpacing/>
        <w:rPr>
          <w:rFonts w:asciiTheme="minorHAnsi" w:hAnsiTheme="minorHAnsi"/>
        </w:rPr>
      </w:pPr>
      <w:r w:rsidRPr="00A11E42">
        <w:rPr>
          <w:rFonts w:asciiTheme="minorHAnsi" w:hAnsiTheme="minorHAnsi"/>
        </w:rPr>
        <w:t xml:space="preserve">Your School’s </w:t>
      </w:r>
      <w:hyperlink r:id="rId9" w:history="1">
        <w:r w:rsidRPr="00A11E42">
          <w:rPr>
            <w:rFonts w:asciiTheme="minorHAnsi" w:hAnsiTheme="minorHAnsi"/>
            <w:color w:val="0000FF" w:themeColor="hyperlink"/>
            <w:u w:val="single"/>
          </w:rPr>
          <w:t>Learning Technologist(s)</w:t>
        </w:r>
      </w:hyperlink>
      <w:r w:rsidRPr="00A11E42">
        <w:rPr>
          <w:rFonts w:asciiTheme="minorHAnsi" w:hAnsiTheme="minorHAnsi"/>
        </w:rPr>
        <w:t xml:space="preserve">, and to discuss the availability of </w:t>
      </w:r>
      <w:proofErr w:type="spellStart"/>
      <w:r w:rsidRPr="00A11E42">
        <w:rPr>
          <w:rFonts w:asciiTheme="minorHAnsi" w:hAnsiTheme="minorHAnsi"/>
        </w:rPr>
        <w:t>HeLD</w:t>
      </w:r>
      <w:proofErr w:type="spellEnd"/>
      <w:r w:rsidRPr="00A11E42">
        <w:rPr>
          <w:rFonts w:asciiTheme="minorHAnsi" w:hAnsiTheme="minorHAnsi"/>
        </w:rPr>
        <w:t xml:space="preserve"> (Humanities eLearning Design) workshops during NPP2 stage; AND</w:t>
      </w:r>
    </w:p>
    <w:p w:rsidR="00A11E42" w:rsidRPr="00A11E42" w:rsidRDefault="00A11E42" w:rsidP="00A11E42">
      <w:pPr>
        <w:numPr>
          <w:ilvl w:val="1"/>
          <w:numId w:val="1"/>
        </w:numPr>
        <w:suppressAutoHyphens w:val="0"/>
        <w:spacing w:after="0" w:line="240" w:lineRule="auto"/>
        <w:contextualSpacing/>
        <w:rPr>
          <w:rFonts w:asciiTheme="minorHAnsi" w:hAnsiTheme="minorHAnsi"/>
        </w:rPr>
      </w:pPr>
      <w:r w:rsidRPr="00A11E42">
        <w:rPr>
          <w:rFonts w:asciiTheme="minorHAnsi" w:hAnsiTheme="minorHAnsi"/>
          <w:bCs/>
        </w:rPr>
        <w:t xml:space="preserve">The Faculty IS Partner, who must approve any </w:t>
      </w:r>
      <w:proofErr w:type="gramStart"/>
      <w:r w:rsidRPr="00A11E42">
        <w:rPr>
          <w:rFonts w:asciiTheme="minorHAnsi" w:hAnsiTheme="minorHAnsi"/>
          <w:bCs/>
        </w:rPr>
        <w:t>additional</w:t>
      </w:r>
      <w:proofErr w:type="gramEnd"/>
      <w:r w:rsidRPr="00A11E42">
        <w:rPr>
          <w:rFonts w:asciiTheme="minorHAnsi" w:hAnsiTheme="minorHAnsi"/>
          <w:bCs/>
        </w:rPr>
        <w:t xml:space="preserve"> IS resources required. </w:t>
      </w:r>
    </w:p>
    <w:p w:rsidR="00A11E42" w:rsidRPr="00A11E42" w:rsidRDefault="00A11E42" w:rsidP="00A11E42">
      <w:pPr>
        <w:numPr>
          <w:ilvl w:val="0"/>
          <w:numId w:val="1"/>
        </w:numPr>
        <w:suppressAutoHyphens w:val="0"/>
        <w:spacing w:after="0" w:line="240" w:lineRule="auto"/>
        <w:contextualSpacing/>
        <w:rPr>
          <w:rFonts w:asciiTheme="minorHAnsi" w:hAnsiTheme="minorHAnsi"/>
        </w:rPr>
      </w:pPr>
      <w:hyperlink r:id="rId10" w:history="1">
        <w:r w:rsidRPr="00A11E42">
          <w:rPr>
            <w:rFonts w:asciiTheme="minorHAnsi" w:hAnsiTheme="minorHAnsi"/>
            <w:color w:val="0000FF" w:themeColor="hyperlink"/>
            <w:u w:val="single"/>
          </w:rPr>
          <w:t>Financial Model</w:t>
        </w:r>
      </w:hyperlink>
      <w:r w:rsidRPr="00A11E42">
        <w:rPr>
          <w:rFonts w:asciiTheme="minorHAnsi" w:hAnsiTheme="minorHAnsi"/>
        </w:rPr>
        <w:t xml:space="preserve"> </w:t>
      </w:r>
    </w:p>
    <w:p w:rsidR="00A11E42" w:rsidRPr="00A11E42" w:rsidRDefault="00A11E42" w:rsidP="00A11E42">
      <w:pPr>
        <w:numPr>
          <w:ilvl w:val="1"/>
          <w:numId w:val="1"/>
        </w:numPr>
        <w:suppressAutoHyphens w:val="0"/>
        <w:spacing w:after="0" w:line="240" w:lineRule="auto"/>
        <w:contextualSpacing/>
        <w:rPr>
          <w:rFonts w:asciiTheme="minorHAnsi" w:hAnsiTheme="minorHAnsi"/>
        </w:rPr>
      </w:pPr>
      <w:r w:rsidRPr="00A11E42">
        <w:rPr>
          <w:rFonts w:asciiTheme="minorHAnsi" w:hAnsiTheme="minorHAnsi"/>
        </w:rPr>
        <w:t xml:space="preserve">In liaison with your Head of School Finance, for agreeing costs/income and producing a as well as the </w:t>
      </w:r>
      <w:r w:rsidRPr="00A11E42">
        <w:rPr>
          <w:rFonts w:asciiTheme="minorHAnsi" w:hAnsiTheme="minorHAnsi"/>
          <w:u w:val="single"/>
        </w:rPr>
        <w:t xml:space="preserve">Tuition Fee </w:t>
      </w:r>
      <w:proofErr w:type="spellStart"/>
      <w:r w:rsidRPr="00A11E42">
        <w:rPr>
          <w:rFonts w:asciiTheme="minorHAnsi" w:hAnsiTheme="minorHAnsi"/>
          <w:u w:val="single"/>
        </w:rPr>
        <w:t>Proforma</w:t>
      </w:r>
      <w:proofErr w:type="spellEnd"/>
      <w:r w:rsidRPr="00A11E42">
        <w:rPr>
          <w:rFonts w:asciiTheme="minorHAnsi" w:hAnsiTheme="minorHAnsi"/>
        </w:rPr>
        <w:t xml:space="preserve"> and </w:t>
      </w:r>
      <w:hyperlink r:id="rId11" w:history="1">
        <w:r w:rsidRPr="00A11E42">
          <w:rPr>
            <w:rFonts w:asciiTheme="minorHAnsi" w:hAnsiTheme="minorHAnsi"/>
            <w:color w:val="0000FF" w:themeColor="hyperlink"/>
            <w:u w:val="single"/>
          </w:rPr>
          <w:t>General Resources Form</w:t>
        </w:r>
      </w:hyperlink>
      <w:r w:rsidRPr="00A11E42">
        <w:rPr>
          <w:rFonts w:asciiTheme="minorHAnsi" w:hAnsiTheme="minorHAnsi"/>
          <w:u w:val="single"/>
        </w:rPr>
        <w:t>.</w:t>
      </w:r>
    </w:p>
    <w:p w:rsidR="00A11E42" w:rsidRPr="00A11E42" w:rsidRDefault="00A11E42" w:rsidP="00A11E42">
      <w:pPr>
        <w:numPr>
          <w:ilvl w:val="0"/>
          <w:numId w:val="1"/>
        </w:numPr>
        <w:suppressAutoHyphens w:val="0"/>
        <w:spacing w:after="0" w:line="240" w:lineRule="auto"/>
        <w:contextualSpacing/>
        <w:rPr>
          <w:rFonts w:asciiTheme="minorHAnsi" w:hAnsiTheme="minorHAnsi"/>
        </w:rPr>
      </w:pPr>
      <w:hyperlink r:id="rId12" w:history="1">
        <w:r w:rsidRPr="00A11E42">
          <w:rPr>
            <w:rFonts w:asciiTheme="minorHAnsi" w:hAnsiTheme="minorHAnsi"/>
            <w:color w:val="0000FF" w:themeColor="hyperlink"/>
            <w:u w:val="single"/>
          </w:rPr>
          <w:t>Library Resource Form</w:t>
        </w:r>
      </w:hyperlink>
      <w:r w:rsidRPr="00A11E42">
        <w:rPr>
          <w:rFonts w:asciiTheme="minorHAnsi" w:hAnsiTheme="minorHAnsi"/>
        </w:rPr>
        <w:t xml:space="preserve">, </w:t>
      </w:r>
    </w:p>
    <w:p w:rsidR="00A11E42" w:rsidRPr="00A11E42" w:rsidRDefault="00A11E42" w:rsidP="00A11E42">
      <w:pPr>
        <w:numPr>
          <w:ilvl w:val="1"/>
          <w:numId w:val="1"/>
        </w:numPr>
        <w:suppressAutoHyphens w:val="0"/>
        <w:spacing w:after="0" w:line="240" w:lineRule="auto"/>
        <w:contextualSpacing/>
        <w:rPr>
          <w:rFonts w:asciiTheme="minorHAnsi" w:hAnsiTheme="minorHAnsi"/>
        </w:rPr>
      </w:pPr>
      <w:r w:rsidRPr="00A11E42">
        <w:rPr>
          <w:rFonts w:asciiTheme="minorHAnsi" w:hAnsiTheme="minorHAnsi"/>
        </w:rPr>
        <w:t xml:space="preserve">This must be signed by your School’s </w:t>
      </w:r>
      <w:hyperlink r:id="rId13" w:history="1">
        <w:r w:rsidRPr="00A11E42">
          <w:rPr>
            <w:rFonts w:asciiTheme="minorHAnsi" w:hAnsiTheme="minorHAnsi"/>
            <w:color w:val="0000FF" w:themeColor="hyperlink"/>
            <w:u w:val="single"/>
          </w:rPr>
          <w:t>Academic Engagement Librarian</w:t>
        </w:r>
      </w:hyperlink>
      <w:r w:rsidRPr="00A11E42">
        <w:rPr>
          <w:rFonts w:asciiTheme="minorHAnsi" w:hAnsiTheme="minorHAnsi"/>
        </w:rPr>
        <w:t xml:space="preserve">, to agree whether or not library resources are adequate and whether any more can be supplied as required. </w:t>
      </w:r>
    </w:p>
    <w:p w:rsidR="00A11E42" w:rsidRPr="00A11E42" w:rsidRDefault="00A11E42" w:rsidP="00A11E42">
      <w:pPr>
        <w:numPr>
          <w:ilvl w:val="0"/>
          <w:numId w:val="1"/>
        </w:numPr>
        <w:suppressAutoHyphens w:val="0"/>
        <w:spacing w:after="0" w:line="240" w:lineRule="auto"/>
        <w:contextualSpacing/>
        <w:rPr>
          <w:rFonts w:asciiTheme="minorHAnsi" w:hAnsiTheme="minorHAnsi"/>
        </w:rPr>
      </w:pPr>
      <w:r w:rsidRPr="00A11E42">
        <w:rPr>
          <w:rFonts w:asciiTheme="minorHAnsi" w:hAnsiTheme="minorHAnsi"/>
        </w:rPr>
        <w:t xml:space="preserve">UG - </w:t>
      </w:r>
      <w:hyperlink r:id="rId14" w:history="1">
        <w:r w:rsidRPr="00A11E42">
          <w:rPr>
            <w:rFonts w:asciiTheme="minorHAnsi" w:hAnsiTheme="minorHAnsi"/>
            <w:color w:val="0000FF" w:themeColor="hyperlink"/>
            <w:u w:val="single"/>
          </w:rPr>
          <w:t>Marketing and Admissions Information Form</w:t>
        </w:r>
      </w:hyperlink>
      <w:r w:rsidRPr="00A11E42">
        <w:rPr>
          <w:rFonts w:asciiTheme="minorHAnsi" w:hAnsiTheme="minorHAnsi"/>
        </w:rPr>
        <w:t xml:space="preserve"> OR</w:t>
      </w:r>
    </w:p>
    <w:p w:rsidR="00A11E42" w:rsidRPr="00A11E42" w:rsidRDefault="00A11E42" w:rsidP="00A11E42">
      <w:pPr>
        <w:numPr>
          <w:ilvl w:val="0"/>
          <w:numId w:val="1"/>
        </w:numPr>
        <w:suppressAutoHyphens w:val="0"/>
        <w:spacing w:after="0" w:line="240" w:lineRule="auto"/>
        <w:contextualSpacing/>
        <w:rPr>
          <w:rFonts w:asciiTheme="minorHAnsi" w:hAnsiTheme="minorHAnsi"/>
        </w:rPr>
      </w:pPr>
      <w:r w:rsidRPr="00A11E42">
        <w:rPr>
          <w:rFonts w:asciiTheme="minorHAnsi" w:hAnsiTheme="minorHAnsi"/>
        </w:rPr>
        <w:t xml:space="preserve">PGT - </w:t>
      </w:r>
      <w:hyperlink r:id="rId15" w:history="1">
        <w:r w:rsidRPr="00A11E42">
          <w:rPr>
            <w:rFonts w:asciiTheme="minorHAnsi" w:eastAsia="Times New Roman" w:hAnsiTheme="minorHAnsi" w:cstheme="minorBidi"/>
            <w:color w:val="0000FF" w:themeColor="hyperlink"/>
            <w:u w:val="single"/>
            <w:lang w:eastAsia="en-US"/>
          </w:rPr>
          <w:t xml:space="preserve">Postgraduate Marketing Template </w:t>
        </w:r>
      </w:hyperlink>
    </w:p>
    <w:p w:rsidR="00A11E42" w:rsidRPr="00A11E42" w:rsidRDefault="00A11E42" w:rsidP="00A11E42">
      <w:pPr>
        <w:numPr>
          <w:ilvl w:val="1"/>
          <w:numId w:val="1"/>
        </w:numPr>
        <w:suppressAutoHyphens w:val="0"/>
        <w:spacing w:after="0" w:line="240" w:lineRule="auto"/>
        <w:contextualSpacing/>
        <w:rPr>
          <w:rFonts w:asciiTheme="minorHAnsi" w:hAnsiTheme="minorHAnsi"/>
        </w:rPr>
      </w:pPr>
      <w:proofErr w:type="gramStart"/>
      <w:r w:rsidRPr="00A11E42">
        <w:rPr>
          <w:rFonts w:asciiTheme="minorHAnsi" w:hAnsiTheme="minorHAnsi"/>
        </w:rPr>
        <w:t>Your</w:t>
      </w:r>
      <w:proofErr w:type="gramEnd"/>
      <w:r w:rsidRPr="00A11E42">
        <w:rPr>
          <w:rFonts w:asciiTheme="minorHAnsi" w:hAnsiTheme="minorHAnsi"/>
        </w:rPr>
        <w:t xml:space="preserve"> School Admissions Manager and Faculty Marketing Officer can assist with a) investigating market demand for the proposal and b) drafting the relevant marketing form. </w:t>
      </w:r>
    </w:p>
    <w:p w:rsidR="00A11E42" w:rsidRPr="00A11E42" w:rsidRDefault="00A11E42" w:rsidP="00A11E42">
      <w:pPr>
        <w:spacing w:after="0" w:line="240" w:lineRule="auto"/>
        <w:ind w:left="1069"/>
        <w:contextualSpacing/>
        <w:rPr>
          <w:rFonts w:asciiTheme="minorHAnsi" w:hAnsiTheme="minorHAnsi"/>
        </w:rPr>
      </w:pPr>
    </w:p>
    <w:p w:rsidR="00A11E42" w:rsidRPr="00A11E42" w:rsidRDefault="00A11E42" w:rsidP="00A11E42">
      <w:pPr>
        <w:suppressAutoHyphens w:val="0"/>
        <w:spacing w:after="0" w:line="240" w:lineRule="auto"/>
      </w:pPr>
      <w:r w:rsidRPr="00A11E42">
        <w:t>The Faculty has developed a Market Research Toolkit to assist the academic case for the development of the programme which includes providing evidence that there is demand for the programme.</w:t>
      </w:r>
    </w:p>
    <w:p w:rsidR="00A11E42" w:rsidRPr="00A11E42" w:rsidRDefault="00A11E42" w:rsidP="00A11E42">
      <w:pPr>
        <w:suppressAutoHyphens w:val="0"/>
        <w:spacing w:after="0" w:line="240" w:lineRule="auto"/>
      </w:pPr>
    </w:p>
    <w:p w:rsidR="00A11E42" w:rsidRPr="00A11E42" w:rsidRDefault="00A11E42" w:rsidP="00A11E42">
      <w:pPr>
        <w:numPr>
          <w:ilvl w:val="0"/>
          <w:numId w:val="3"/>
        </w:numPr>
        <w:suppressAutoHyphens w:val="0"/>
        <w:spacing w:after="0" w:line="240" w:lineRule="auto"/>
        <w:contextualSpacing/>
        <w:rPr>
          <w:rFonts w:asciiTheme="minorHAnsi" w:hAnsiTheme="minorHAnsi"/>
        </w:rPr>
      </w:pPr>
      <w:hyperlink r:id="rId16" w:history="1">
        <w:r w:rsidRPr="00A11E42">
          <w:rPr>
            <w:color w:val="0000FF" w:themeColor="hyperlink"/>
            <w:u w:val="single"/>
          </w:rPr>
          <w:t>Humanities Market Research Toolkit</w:t>
        </w:r>
      </w:hyperlink>
    </w:p>
    <w:p w:rsidR="00A11E42" w:rsidRPr="00A11E42" w:rsidRDefault="00A11E42" w:rsidP="00A11E42">
      <w:pPr>
        <w:numPr>
          <w:ilvl w:val="0"/>
          <w:numId w:val="3"/>
        </w:numPr>
        <w:suppressAutoHyphens w:val="0"/>
        <w:spacing w:after="0" w:line="240" w:lineRule="auto"/>
        <w:contextualSpacing/>
        <w:rPr>
          <w:rFonts w:asciiTheme="minorHAnsi" w:hAnsiTheme="minorHAnsi"/>
          <w:color w:val="0000FF" w:themeColor="hyperlink"/>
          <w:u w:val="single"/>
        </w:rPr>
      </w:pPr>
      <w:r w:rsidRPr="00A11E42">
        <w:rPr>
          <w:rFonts w:asciiTheme="minorHAnsi" w:hAnsiTheme="minorHAnsi"/>
          <w:color w:val="0000FF" w:themeColor="hyperlink"/>
          <w:u w:val="single"/>
        </w:rPr>
        <w:t>University Market Research Guidance</w:t>
      </w:r>
    </w:p>
    <w:p w:rsidR="00A11E42" w:rsidRPr="00A11E42" w:rsidRDefault="00A11E42" w:rsidP="00A11E42">
      <w:pPr>
        <w:spacing w:after="0" w:line="240" w:lineRule="auto"/>
        <w:contextualSpacing/>
        <w:rPr>
          <w:rFonts w:asciiTheme="minorHAnsi" w:hAnsiTheme="minorHAnsi"/>
        </w:rPr>
      </w:pPr>
    </w:p>
    <w:p w:rsidR="00A11E42" w:rsidRPr="00A11E42" w:rsidRDefault="00A11E42" w:rsidP="00A11E42">
      <w:pPr>
        <w:spacing w:after="0" w:line="240" w:lineRule="auto"/>
        <w:contextualSpacing/>
        <w:rPr>
          <w:rFonts w:asciiTheme="minorHAnsi" w:hAnsiTheme="minorHAnsi"/>
        </w:rPr>
      </w:pPr>
    </w:p>
    <w:p w:rsidR="00A11E42" w:rsidRPr="00A11E42" w:rsidRDefault="00A11E42" w:rsidP="00A11E42">
      <w:pPr>
        <w:spacing w:after="0" w:line="240" w:lineRule="auto"/>
        <w:rPr>
          <w:rFonts w:asciiTheme="minorHAnsi" w:hAnsiTheme="minorHAnsi"/>
        </w:rPr>
      </w:pPr>
      <w:r w:rsidRPr="00A11E42">
        <w:rPr>
          <w:rFonts w:asciiTheme="minorHAnsi" w:hAnsiTheme="minorHAnsi"/>
        </w:rPr>
        <w:t>If the proposal involves collaboration with an external partner you should also complete the</w:t>
      </w:r>
    </w:p>
    <w:p w:rsidR="00A11E42" w:rsidRPr="00A11E42" w:rsidRDefault="00A11E42" w:rsidP="00A11E42">
      <w:pPr>
        <w:numPr>
          <w:ilvl w:val="0"/>
          <w:numId w:val="3"/>
        </w:numPr>
        <w:suppressAutoHyphens w:val="0"/>
        <w:spacing w:after="0" w:line="240" w:lineRule="auto"/>
        <w:contextualSpacing/>
        <w:rPr>
          <w:rFonts w:asciiTheme="minorHAnsi" w:hAnsiTheme="minorHAnsi"/>
        </w:rPr>
      </w:pPr>
      <w:hyperlink r:id="rId17" w:history="1">
        <w:r w:rsidRPr="00A11E42">
          <w:rPr>
            <w:rFonts w:asciiTheme="minorHAnsi" w:hAnsiTheme="minorHAnsi"/>
            <w:color w:val="0000FF" w:themeColor="hyperlink"/>
            <w:u w:val="single"/>
          </w:rPr>
          <w:t>Approval to Proceed to Ne</w:t>
        </w:r>
        <w:r w:rsidRPr="00A11E42">
          <w:rPr>
            <w:rFonts w:asciiTheme="minorHAnsi" w:hAnsiTheme="minorHAnsi"/>
            <w:color w:val="0000FF" w:themeColor="hyperlink"/>
            <w:u w:val="single"/>
          </w:rPr>
          <w:t>x</w:t>
        </w:r>
        <w:r w:rsidRPr="00A11E42">
          <w:rPr>
            <w:rFonts w:asciiTheme="minorHAnsi" w:hAnsiTheme="minorHAnsi"/>
            <w:color w:val="0000FF" w:themeColor="hyperlink"/>
            <w:u w:val="single"/>
          </w:rPr>
          <w:t>t Steps form</w:t>
        </w:r>
      </w:hyperlink>
      <w:r w:rsidRPr="00A11E42">
        <w:rPr>
          <w:rFonts w:asciiTheme="minorHAnsi" w:hAnsiTheme="minorHAnsi"/>
        </w:rPr>
        <w:t xml:space="preserve">, outlining the proposed collaborative activity. </w:t>
      </w:r>
    </w:p>
    <w:p w:rsidR="00A11E42" w:rsidRPr="00A11E42" w:rsidRDefault="00A11E42" w:rsidP="00A11E42">
      <w:pPr>
        <w:spacing w:after="0" w:line="240" w:lineRule="auto"/>
        <w:rPr>
          <w:rFonts w:asciiTheme="minorHAnsi" w:hAnsiTheme="minorHAnsi"/>
        </w:rPr>
      </w:pPr>
    </w:p>
    <w:p w:rsidR="00A11E42" w:rsidRPr="00A11E42" w:rsidRDefault="00A11E42" w:rsidP="00A11E42">
      <w:pPr>
        <w:suppressAutoHyphens w:val="0"/>
        <w:spacing w:after="0" w:line="240" w:lineRule="auto"/>
        <w:rPr>
          <w:rFonts w:asciiTheme="minorHAnsi" w:hAnsiTheme="minorHAnsi" w:cs="Arial"/>
        </w:rPr>
      </w:pPr>
      <w:r w:rsidRPr="00A11E42">
        <w:rPr>
          <w:rFonts w:asciiTheme="minorHAnsi" w:hAnsiTheme="minorHAnsi"/>
        </w:rPr>
        <w:t xml:space="preserve">All of the above documentation can be found on the University’s </w:t>
      </w:r>
      <w:hyperlink r:id="rId18" w:history="1">
        <w:r w:rsidRPr="00A11E42">
          <w:rPr>
            <w:rFonts w:asciiTheme="minorHAnsi" w:hAnsiTheme="minorHAnsi"/>
            <w:color w:val="0000FF" w:themeColor="hyperlink"/>
            <w:u w:val="single"/>
          </w:rPr>
          <w:t>Programme Development</w:t>
        </w:r>
      </w:hyperlink>
      <w:r w:rsidRPr="00A11E42">
        <w:rPr>
          <w:rFonts w:asciiTheme="minorHAnsi" w:hAnsiTheme="minorHAnsi"/>
        </w:rPr>
        <w:t xml:space="preserve"> pages, within the Manual of Academic Procedure.  Further support and information can be provided by </w:t>
      </w:r>
      <w:r w:rsidRPr="00A11E42">
        <w:rPr>
          <w:rFonts w:asciiTheme="minorHAnsi" w:hAnsiTheme="minorHAnsi" w:cs="Arial"/>
        </w:rPr>
        <w:t xml:space="preserve">your School’s </w:t>
      </w:r>
      <w:hyperlink r:id="rId19" w:history="1">
        <w:r w:rsidRPr="00A11E42">
          <w:rPr>
            <w:rFonts w:asciiTheme="minorHAnsi" w:hAnsiTheme="minorHAnsi" w:cs="Arial"/>
            <w:color w:val="0000FF" w:themeColor="hyperlink"/>
            <w:u w:val="single"/>
          </w:rPr>
          <w:t>Faculty Teaching and Learning Officer</w:t>
        </w:r>
      </w:hyperlink>
      <w:r w:rsidRPr="00A11E42">
        <w:rPr>
          <w:rFonts w:asciiTheme="minorHAnsi" w:hAnsiTheme="minorHAnsi" w:cs="Arial"/>
        </w:rPr>
        <w:t xml:space="preserve">.  </w:t>
      </w:r>
    </w:p>
    <w:p w:rsidR="00A11E42" w:rsidRPr="00A11E42" w:rsidRDefault="00A11E42" w:rsidP="00A11E42">
      <w:pPr>
        <w:suppressAutoHyphens w:val="0"/>
        <w:spacing w:after="0" w:line="240" w:lineRule="auto"/>
        <w:rPr>
          <w:rFonts w:asciiTheme="minorHAnsi" w:hAnsiTheme="minorHAnsi"/>
        </w:rPr>
      </w:pPr>
    </w:p>
    <w:p w:rsidR="00A11E42" w:rsidRPr="00A11E42" w:rsidRDefault="00A11E42" w:rsidP="00A11E42">
      <w:pPr>
        <w:suppressAutoHyphens w:val="0"/>
        <w:spacing w:after="0" w:line="240" w:lineRule="auto"/>
        <w:rPr>
          <w:rFonts w:asciiTheme="minorHAnsi" w:hAnsiTheme="minorHAnsi"/>
          <w:b/>
          <w:i/>
        </w:rPr>
      </w:pPr>
      <w:r w:rsidRPr="00A11E42">
        <w:rPr>
          <w:rFonts w:asciiTheme="minorHAnsi" w:hAnsiTheme="minorHAnsi"/>
          <w:b/>
          <w:i/>
        </w:rPr>
        <w:lastRenderedPageBreak/>
        <w:t xml:space="preserve">Approval </w:t>
      </w:r>
    </w:p>
    <w:p w:rsidR="00A11E42" w:rsidRPr="00A11E42" w:rsidRDefault="00A11E42" w:rsidP="00A11E42">
      <w:pPr>
        <w:spacing w:after="0" w:line="240" w:lineRule="auto"/>
        <w:jc w:val="both"/>
        <w:rPr>
          <w:rFonts w:asciiTheme="minorHAnsi" w:hAnsiTheme="minorHAnsi"/>
        </w:rPr>
      </w:pPr>
    </w:p>
    <w:p w:rsidR="00A11E42" w:rsidRPr="00A11E42" w:rsidRDefault="00A11E42" w:rsidP="00A11E42">
      <w:pPr>
        <w:spacing w:after="0" w:line="240" w:lineRule="auto"/>
        <w:jc w:val="both"/>
        <w:rPr>
          <w:rFonts w:asciiTheme="minorHAnsi" w:hAnsiTheme="minorHAnsi"/>
        </w:rPr>
      </w:pPr>
      <w:r w:rsidRPr="00A11E42">
        <w:rPr>
          <w:rFonts w:asciiTheme="minorHAnsi" w:hAnsiTheme="minorHAnsi"/>
        </w:rPr>
        <w:t>NPP1 documentation must be approved as follows:</w:t>
      </w:r>
    </w:p>
    <w:p w:rsidR="00A11E42" w:rsidRPr="00A11E42" w:rsidRDefault="00A11E42" w:rsidP="00A11E42">
      <w:pPr>
        <w:spacing w:after="0" w:line="240" w:lineRule="auto"/>
        <w:jc w:val="both"/>
        <w:rPr>
          <w:rFonts w:asciiTheme="minorHAnsi" w:hAnsiTheme="minorHAnsi"/>
        </w:rPr>
      </w:pPr>
    </w:p>
    <w:p w:rsidR="00A11E42" w:rsidRPr="00A11E42" w:rsidRDefault="00A11E42" w:rsidP="00A11E42">
      <w:pPr>
        <w:numPr>
          <w:ilvl w:val="0"/>
          <w:numId w:val="4"/>
        </w:numPr>
        <w:suppressAutoHyphens w:val="0"/>
        <w:spacing w:after="0" w:line="240" w:lineRule="auto"/>
        <w:contextualSpacing/>
        <w:jc w:val="both"/>
        <w:rPr>
          <w:rFonts w:asciiTheme="minorHAnsi" w:hAnsiTheme="minorHAnsi"/>
        </w:rPr>
      </w:pPr>
      <w:r w:rsidRPr="00A11E42">
        <w:rPr>
          <w:rFonts w:asciiTheme="minorHAnsi" w:hAnsiTheme="minorHAnsi"/>
        </w:rPr>
        <w:t xml:space="preserve">At School-level, by your School’s UG/PGT /Teaching and Learning Committee or by Chair’s action as appropriate. However the Head of School should sign the NPP1. </w:t>
      </w:r>
    </w:p>
    <w:p w:rsidR="00A11E42" w:rsidRPr="00A11E42" w:rsidRDefault="00A11E42" w:rsidP="00A11E42">
      <w:pPr>
        <w:numPr>
          <w:ilvl w:val="0"/>
          <w:numId w:val="4"/>
        </w:numPr>
        <w:suppressAutoHyphens w:val="0"/>
        <w:spacing w:after="0" w:line="240" w:lineRule="auto"/>
        <w:contextualSpacing/>
        <w:jc w:val="both"/>
        <w:rPr>
          <w:rFonts w:asciiTheme="minorHAnsi" w:hAnsiTheme="minorHAnsi"/>
        </w:rPr>
      </w:pPr>
      <w:r w:rsidRPr="00A11E42">
        <w:rPr>
          <w:rFonts w:asciiTheme="minorHAnsi" w:hAnsiTheme="minorHAnsi"/>
        </w:rPr>
        <w:t xml:space="preserve">Faculty approval should then be sought. Full, signed documentation should be submitted to the Faculty </w:t>
      </w:r>
      <w:hyperlink r:id="rId20" w:history="1">
        <w:r w:rsidRPr="00A11E42">
          <w:rPr>
            <w:rFonts w:asciiTheme="minorHAnsi" w:hAnsiTheme="minorHAnsi"/>
            <w:color w:val="0000FF" w:themeColor="hyperlink"/>
            <w:u w:val="single"/>
          </w:rPr>
          <w:t>Programme Approval Sub-Committee</w:t>
        </w:r>
      </w:hyperlink>
      <w:r w:rsidRPr="00A11E42">
        <w:rPr>
          <w:rFonts w:asciiTheme="minorHAnsi" w:hAnsiTheme="minorHAnsi"/>
        </w:rPr>
        <w:t xml:space="preserve"> (PASC) via your School’s Teaching and Learning Manager. </w:t>
      </w:r>
    </w:p>
    <w:p w:rsidR="00A11E42" w:rsidRPr="00A11E42" w:rsidRDefault="00A11E42" w:rsidP="00A11E42">
      <w:pPr>
        <w:numPr>
          <w:ilvl w:val="0"/>
          <w:numId w:val="4"/>
        </w:numPr>
        <w:suppressAutoHyphens w:val="0"/>
        <w:spacing w:after="0" w:line="240" w:lineRule="auto"/>
        <w:contextualSpacing/>
        <w:jc w:val="both"/>
        <w:rPr>
          <w:rFonts w:asciiTheme="minorHAnsi" w:hAnsiTheme="minorHAnsi"/>
        </w:rPr>
      </w:pPr>
      <w:r w:rsidRPr="00A11E42">
        <w:rPr>
          <w:rFonts w:asciiTheme="minorHAnsi" w:hAnsiTheme="minorHAnsi"/>
        </w:rPr>
        <w:t>PASC will consider the programme for ‘Approval in Principle’.</w:t>
      </w:r>
    </w:p>
    <w:p w:rsidR="00A11E42" w:rsidRPr="00A11E42" w:rsidRDefault="00A11E42" w:rsidP="00A11E42">
      <w:pPr>
        <w:spacing w:after="0" w:line="240" w:lineRule="auto"/>
        <w:jc w:val="both"/>
        <w:rPr>
          <w:rFonts w:asciiTheme="minorHAnsi" w:hAnsiTheme="minorHAnsi"/>
        </w:rPr>
      </w:pPr>
    </w:p>
    <w:p w:rsidR="00A11E42" w:rsidRPr="00A11E42" w:rsidRDefault="00A11E42" w:rsidP="00A11E42">
      <w:pPr>
        <w:suppressAutoHyphens w:val="0"/>
        <w:spacing w:after="0" w:line="240" w:lineRule="auto"/>
        <w:contextualSpacing/>
        <w:rPr>
          <w:rFonts w:asciiTheme="minorHAnsi" w:hAnsiTheme="minorHAnsi" w:cs="Arial"/>
        </w:rPr>
      </w:pPr>
      <w:r w:rsidRPr="00A11E42">
        <w:rPr>
          <w:rFonts w:asciiTheme="minorHAnsi" w:hAnsiTheme="minorHAnsi" w:cs="Arial"/>
        </w:rPr>
        <w:t xml:space="preserve">A decision of ‘Approved in Principle’ gives permission to advertise and recruit to the programme, so it is important that the rationale, business case (demonstrating the academic rationale and evidencing demand) and marketing information are strong.  </w:t>
      </w:r>
    </w:p>
    <w:p w:rsidR="00A11E42" w:rsidRPr="00A11E42" w:rsidRDefault="00A11E42" w:rsidP="00A11E42">
      <w:pPr>
        <w:suppressAutoHyphens w:val="0"/>
        <w:spacing w:after="0" w:line="240" w:lineRule="auto"/>
        <w:ind w:left="720"/>
        <w:contextualSpacing/>
        <w:rPr>
          <w:rFonts w:asciiTheme="minorHAnsi" w:hAnsiTheme="minorHAnsi" w:cs="Arial"/>
        </w:rPr>
      </w:pPr>
    </w:p>
    <w:p w:rsidR="00A11E42" w:rsidRPr="00A11E42" w:rsidRDefault="00A11E42" w:rsidP="00A11E42">
      <w:pPr>
        <w:suppressAutoHyphens w:val="0"/>
        <w:spacing w:after="0" w:line="240" w:lineRule="auto"/>
        <w:contextualSpacing/>
        <w:rPr>
          <w:rFonts w:asciiTheme="minorHAnsi" w:hAnsiTheme="minorHAnsi" w:cs="Arial"/>
        </w:rPr>
      </w:pPr>
      <w:r w:rsidRPr="00A11E42">
        <w:rPr>
          <w:rFonts w:asciiTheme="minorHAnsi" w:hAnsiTheme="minorHAnsi" w:cs="Arial"/>
        </w:rPr>
        <w:t xml:space="preserve">It is also essential that the Committee is satisfied that participating Schools/subject areas have signed off approval of their involvement, and the Committee is assured that there is no conflict of interest with any other offering in the University.  </w:t>
      </w:r>
    </w:p>
    <w:p w:rsidR="00A11E42" w:rsidRPr="00A11E42" w:rsidRDefault="00A11E42" w:rsidP="00A11E42">
      <w:pPr>
        <w:suppressAutoHyphens w:val="0"/>
        <w:spacing w:after="0" w:line="240" w:lineRule="auto"/>
        <w:ind w:left="720"/>
        <w:contextualSpacing/>
        <w:rPr>
          <w:rFonts w:asciiTheme="minorHAnsi" w:hAnsiTheme="minorHAnsi" w:cs="Arial"/>
        </w:rPr>
      </w:pPr>
    </w:p>
    <w:p w:rsidR="00A11E42" w:rsidRPr="00A11E42" w:rsidRDefault="00A11E42" w:rsidP="00A11E42">
      <w:pPr>
        <w:suppressAutoHyphens w:val="0"/>
        <w:spacing w:after="0" w:line="240" w:lineRule="auto"/>
        <w:rPr>
          <w:rFonts w:asciiTheme="minorHAnsi" w:hAnsiTheme="minorHAnsi"/>
          <w:b/>
          <w:color w:val="000000"/>
        </w:rPr>
      </w:pPr>
      <w:r w:rsidRPr="00A11E42">
        <w:rPr>
          <w:rFonts w:asciiTheme="minorHAnsi" w:hAnsiTheme="minorHAnsi"/>
          <w:b/>
          <w:color w:val="000000"/>
        </w:rPr>
        <w:t xml:space="preserve">If the programme is </w:t>
      </w:r>
      <w:proofErr w:type="gramStart"/>
      <w:r w:rsidRPr="00A11E42">
        <w:rPr>
          <w:rFonts w:asciiTheme="minorHAnsi" w:hAnsiTheme="minorHAnsi"/>
          <w:b/>
          <w:color w:val="000000"/>
        </w:rPr>
        <w:t>Approved</w:t>
      </w:r>
      <w:proofErr w:type="gramEnd"/>
      <w:r w:rsidRPr="00A11E42">
        <w:rPr>
          <w:rFonts w:asciiTheme="minorHAnsi" w:hAnsiTheme="minorHAnsi"/>
          <w:b/>
          <w:color w:val="000000"/>
        </w:rPr>
        <w:t xml:space="preserve"> in Principle, it can be advertised externally to applicants with the caveat “Subject to University Approval”, and recruitment and admissions activities can begin.</w:t>
      </w:r>
    </w:p>
    <w:p w:rsidR="00A11E42" w:rsidRPr="00A11E42" w:rsidRDefault="00A11E42" w:rsidP="00A11E42">
      <w:pPr>
        <w:suppressAutoHyphens w:val="0"/>
        <w:spacing w:after="0" w:line="240" w:lineRule="auto"/>
        <w:rPr>
          <w:rFonts w:asciiTheme="minorHAnsi" w:hAnsiTheme="minorHAnsi"/>
          <w:b/>
          <w:color w:val="000000"/>
        </w:rPr>
      </w:pPr>
    </w:p>
    <w:p w:rsidR="00A11E42" w:rsidRPr="00A11E42" w:rsidRDefault="00A11E42" w:rsidP="00A11E42">
      <w:pPr>
        <w:suppressAutoHyphens w:val="0"/>
        <w:spacing w:after="0" w:line="240" w:lineRule="auto"/>
        <w:jc w:val="both"/>
        <w:rPr>
          <w:rFonts w:asciiTheme="minorHAnsi" w:eastAsiaTheme="minorHAnsi" w:hAnsiTheme="minorHAnsi" w:cstheme="minorBidi"/>
          <w:b/>
          <w:i/>
          <w:lang w:eastAsia="en-US"/>
        </w:rPr>
      </w:pPr>
      <w:r w:rsidRPr="00A11E42">
        <w:rPr>
          <w:rFonts w:asciiTheme="minorHAnsi" w:eastAsiaTheme="minorHAnsi" w:hAnsiTheme="minorHAnsi" w:cstheme="minorBidi"/>
          <w:b/>
          <w:i/>
          <w:lang w:eastAsia="en-US"/>
        </w:rPr>
        <w:t xml:space="preserve">Post-approval </w:t>
      </w:r>
    </w:p>
    <w:p w:rsidR="00A11E42" w:rsidRPr="00A11E42" w:rsidRDefault="00A11E42" w:rsidP="00A11E42">
      <w:pPr>
        <w:suppressAutoHyphens w:val="0"/>
        <w:spacing w:after="0" w:line="240" w:lineRule="auto"/>
        <w:jc w:val="both"/>
        <w:rPr>
          <w:rFonts w:asciiTheme="minorHAnsi" w:eastAsiaTheme="minorHAnsi" w:hAnsiTheme="minorHAnsi" w:cstheme="minorBidi"/>
          <w:lang w:eastAsia="en-US"/>
        </w:rPr>
      </w:pPr>
    </w:p>
    <w:p w:rsidR="00A11E42" w:rsidRPr="00A11E42" w:rsidRDefault="00A11E42" w:rsidP="00A11E42">
      <w:pPr>
        <w:spacing w:after="0" w:line="240" w:lineRule="auto"/>
        <w:jc w:val="both"/>
        <w:rPr>
          <w:rFonts w:asciiTheme="minorHAnsi" w:eastAsiaTheme="minorHAnsi" w:hAnsiTheme="minorHAnsi" w:cstheme="minorBidi"/>
          <w:lang w:eastAsia="en-US"/>
        </w:rPr>
      </w:pPr>
      <w:r w:rsidRPr="00A11E42">
        <w:rPr>
          <w:rFonts w:asciiTheme="minorHAnsi" w:eastAsiaTheme="minorHAnsi" w:hAnsiTheme="minorHAnsi" w:cstheme="minorBidi"/>
          <w:lang w:eastAsia="en-US"/>
        </w:rPr>
        <w:t xml:space="preserve">Your </w:t>
      </w:r>
      <w:hyperlink r:id="rId21" w:history="1">
        <w:r w:rsidRPr="00A11E42">
          <w:rPr>
            <w:rFonts w:asciiTheme="minorHAnsi" w:eastAsiaTheme="minorHAnsi" w:hAnsiTheme="minorHAnsi" w:cstheme="minorBidi"/>
            <w:color w:val="0000FF" w:themeColor="hyperlink"/>
            <w:u w:val="single"/>
            <w:lang w:eastAsia="en-US"/>
          </w:rPr>
          <w:t>Faculty Teaching and Learning Officer</w:t>
        </w:r>
      </w:hyperlink>
      <w:r w:rsidRPr="00A11E42">
        <w:rPr>
          <w:rFonts w:asciiTheme="minorHAnsi" w:eastAsiaTheme="minorHAnsi" w:hAnsiTheme="minorHAnsi" w:cstheme="minorBidi"/>
          <w:lang w:eastAsia="en-US"/>
        </w:rPr>
        <w:t xml:space="preserve"> will create new Programme and Plan codes on Campus Solutions, the student record management system, and notify the relevant colleagues in the Marketing, Web and Recruitment and Admissions teams. A Plan code allows an online course (programme) listing to be created, and online applications to commence.</w:t>
      </w:r>
    </w:p>
    <w:p w:rsidR="00A11E42" w:rsidRPr="00A11E42" w:rsidRDefault="00A11E42" w:rsidP="00A11E42">
      <w:pPr>
        <w:suppressAutoHyphens w:val="0"/>
        <w:spacing w:after="0" w:line="240" w:lineRule="auto"/>
        <w:jc w:val="both"/>
        <w:rPr>
          <w:rFonts w:asciiTheme="minorHAnsi" w:eastAsiaTheme="minorHAnsi" w:hAnsiTheme="minorHAnsi" w:cstheme="minorBidi"/>
          <w:lang w:eastAsia="en-US"/>
        </w:rPr>
      </w:pPr>
    </w:p>
    <w:p w:rsidR="00A11E42" w:rsidRPr="00A11E42" w:rsidRDefault="00A11E42" w:rsidP="00A11E42">
      <w:pPr>
        <w:spacing w:after="0" w:line="240" w:lineRule="auto"/>
        <w:rPr>
          <w:rFonts w:asciiTheme="minorHAnsi" w:hAnsiTheme="minorHAnsi"/>
          <w:color w:val="000000"/>
        </w:rPr>
      </w:pPr>
      <w:r w:rsidRPr="00A11E42">
        <w:rPr>
          <w:rFonts w:asciiTheme="minorHAnsi" w:hAnsiTheme="minorHAnsi"/>
          <w:color w:val="000000"/>
        </w:rPr>
        <w:t xml:space="preserve">Work can then begin on drafting the NPP2 documentation. </w:t>
      </w:r>
    </w:p>
    <w:p w:rsidR="00A11E42" w:rsidRPr="00A11E42" w:rsidRDefault="00A11E42" w:rsidP="00A11E42">
      <w:pPr>
        <w:spacing w:after="0" w:line="240" w:lineRule="auto"/>
        <w:rPr>
          <w:rFonts w:asciiTheme="minorHAnsi" w:hAnsiTheme="minorHAnsi"/>
          <w:color w:val="000000"/>
        </w:rPr>
      </w:pPr>
    </w:p>
    <w:p w:rsidR="00A11E42" w:rsidRPr="00A11E42" w:rsidRDefault="00A11E42" w:rsidP="00A11E42">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Theme="minorHAnsi" w:hAnsiTheme="minorHAnsi" w:cs="Arial"/>
          <w:b/>
        </w:rPr>
      </w:pPr>
      <w:r w:rsidRPr="00A11E42">
        <w:rPr>
          <w:rFonts w:asciiTheme="minorHAnsi" w:hAnsiTheme="minorHAnsi" w:cs="Arial"/>
          <w:b/>
        </w:rPr>
        <w:t>[OPTIONAL]</w:t>
      </w:r>
    </w:p>
    <w:p w:rsidR="00A11E42" w:rsidRPr="00A11E42" w:rsidRDefault="00A11E42" w:rsidP="00A11E42">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Theme="minorHAnsi" w:hAnsiTheme="minorHAnsi" w:cs="Arial"/>
          <w:b/>
        </w:rPr>
      </w:pPr>
      <w:r w:rsidRPr="00A11E42">
        <w:rPr>
          <w:rFonts w:asciiTheme="minorHAnsi" w:hAnsiTheme="minorHAnsi" w:cs="Arial"/>
          <w:b/>
        </w:rPr>
        <w:t>Humanities eLearning Development (</w:t>
      </w:r>
      <w:proofErr w:type="spellStart"/>
      <w:r w:rsidRPr="00A11E42">
        <w:rPr>
          <w:rFonts w:asciiTheme="minorHAnsi" w:hAnsiTheme="minorHAnsi" w:cs="Arial"/>
          <w:b/>
        </w:rPr>
        <w:t>HeLD</w:t>
      </w:r>
      <w:proofErr w:type="spellEnd"/>
      <w:r w:rsidRPr="00A11E42">
        <w:rPr>
          <w:rFonts w:asciiTheme="minorHAnsi" w:hAnsiTheme="minorHAnsi" w:cs="Arial"/>
          <w:b/>
        </w:rPr>
        <w:t>) 2-hour start-up session, to discuss learning design and any eLearning elements of NPP2</w:t>
      </w:r>
    </w:p>
    <w:p w:rsidR="00A11E42" w:rsidRPr="00A11E42" w:rsidRDefault="00A11E42" w:rsidP="00A11E42">
      <w:pPr>
        <w:suppressAutoHyphens w:val="0"/>
        <w:rPr>
          <w:rFonts w:asciiTheme="minorHAnsi" w:eastAsiaTheme="minorHAnsi" w:hAnsiTheme="minorHAnsi" w:cstheme="minorBidi"/>
          <w:lang w:eastAsia="en-US"/>
        </w:rPr>
      </w:pPr>
    </w:p>
    <w:p w:rsidR="00A11E42" w:rsidRPr="00A11E42" w:rsidRDefault="00A11E42" w:rsidP="00A11E42">
      <w:pPr>
        <w:suppressAutoHyphens w:val="0"/>
        <w:rPr>
          <w:rFonts w:asciiTheme="minorHAnsi" w:eastAsiaTheme="minorHAnsi" w:hAnsiTheme="minorHAnsi" w:cstheme="minorBidi"/>
          <w:lang w:eastAsia="en-US"/>
        </w:rPr>
      </w:pPr>
    </w:p>
    <w:p w:rsidR="003D32BC" w:rsidRDefault="003D32BC"/>
    <w:sectPr w:rsidR="003D3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22C"/>
    <w:multiLevelType w:val="hybridMultilevel"/>
    <w:tmpl w:val="1DE0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62967"/>
    <w:multiLevelType w:val="hybridMultilevel"/>
    <w:tmpl w:val="74B24690"/>
    <w:lvl w:ilvl="0" w:tplc="D7AC7CA6">
      <w:start w:val="2"/>
      <w:numFmt w:val="bullet"/>
      <w:lvlText w:val="-"/>
      <w:lvlJc w:val="left"/>
      <w:pPr>
        <w:ind w:left="1069" w:hanging="360"/>
      </w:pPr>
      <w:rPr>
        <w:rFonts w:ascii="Calibri" w:eastAsiaTheme="minorHAnsi" w:hAnsi="Calibri" w:cstheme="minorBidi"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493B2987"/>
    <w:multiLevelType w:val="hybridMultilevel"/>
    <w:tmpl w:val="36F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F216E1"/>
    <w:multiLevelType w:val="hybridMultilevel"/>
    <w:tmpl w:val="2D520D6E"/>
    <w:lvl w:ilvl="0" w:tplc="2DB0FE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E5"/>
    <w:rsid w:val="003D32BC"/>
    <w:rsid w:val="003F1138"/>
    <w:rsid w:val="00A11E42"/>
    <w:rsid w:val="00AE327D"/>
    <w:rsid w:val="00D954E5"/>
    <w:rsid w:val="00EF40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54E5"/>
    <w:pPr>
      <w:suppressAutoHyphens/>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E5"/>
    <w:pPr>
      <w:ind w:left="720"/>
      <w:contextualSpacing/>
    </w:pPr>
  </w:style>
  <w:style w:type="character" w:styleId="Hyperlink">
    <w:name w:val="Hyperlink"/>
    <w:basedOn w:val="DefaultParagraphFont"/>
    <w:uiPriority w:val="99"/>
    <w:unhideWhenUsed/>
    <w:rsid w:val="00D954E5"/>
    <w:rPr>
      <w:color w:val="0000FF" w:themeColor="hyperlink"/>
      <w:u w:val="single"/>
    </w:rPr>
  </w:style>
  <w:style w:type="paragraph" w:styleId="BalloonText">
    <w:name w:val="Balloon Text"/>
    <w:basedOn w:val="Normal"/>
    <w:link w:val="BalloonTextChar"/>
    <w:uiPriority w:val="99"/>
    <w:semiHidden/>
    <w:unhideWhenUsed/>
    <w:rsid w:val="00D9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E5"/>
    <w:rPr>
      <w:rFonts w:ascii="Tahoma" w:eastAsia="SimSun" w:hAnsi="Tahoma" w:cs="Tahoma"/>
      <w:sz w:val="16"/>
      <w:szCs w:val="16"/>
    </w:rPr>
  </w:style>
  <w:style w:type="paragraph" w:styleId="NoSpacing">
    <w:name w:val="No Spacing"/>
    <w:uiPriority w:val="1"/>
    <w:qFormat/>
    <w:rsid w:val="003F1138"/>
    <w:pPr>
      <w:suppressAutoHyphens/>
      <w:spacing w:after="0" w:line="240" w:lineRule="auto"/>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54E5"/>
    <w:pPr>
      <w:suppressAutoHyphens/>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E5"/>
    <w:pPr>
      <w:ind w:left="720"/>
      <w:contextualSpacing/>
    </w:pPr>
  </w:style>
  <w:style w:type="character" w:styleId="Hyperlink">
    <w:name w:val="Hyperlink"/>
    <w:basedOn w:val="DefaultParagraphFont"/>
    <w:uiPriority w:val="99"/>
    <w:unhideWhenUsed/>
    <w:rsid w:val="00D954E5"/>
    <w:rPr>
      <w:color w:val="0000FF" w:themeColor="hyperlink"/>
      <w:u w:val="single"/>
    </w:rPr>
  </w:style>
  <w:style w:type="paragraph" w:styleId="BalloonText">
    <w:name w:val="Balloon Text"/>
    <w:basedOn w:val="Normal"/>
    <w:link w:val="BalloonTextChar"/>
    <w:uiPriority w:val="99"/>
    <w:semiHidden/>
    <w:unhideWhenUsed/>
    <w:rsid w:val="00D9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E5"/>
    <w:rPr>
      <w:rFonts w:ascii="Tahoma" w:eastAsia="SimSun" w:hAnsi="Tahoma" w:cs="Tahoma"/>
      <w:sz w:val="16"/>
      <w:szCs w:val="16"/>
    </w:rPr>
  </w:style>
  <w:style w:type="paragraph" w:styleId="NoSpacing">
    <w:name w:val="No Spacing"/>
    <w:uiPriority w:val="1"/>
    <w:qFormat/>
    <w:rsid w:val="003F1138"/>
    <w:pPr>
      <w:suppressAutoHyphens/>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10045" TargetMode="External"/><Relationship Id="rId13" Type="http://schemas.openxmlformats.org/officeDocument/2006/relationships/hyperlink" Target="http://www.library.manchester.ac.uk/using-the-library/staff/academic-engagement-librarians/humanities/" TargetMode="External"/><Relationship Id="rId18" Type="http://schemas.openxmlformats.org/officeDocument/2006/relationships/hyperlink" Target="http://www.tlso.manchester.ac.uk/map/approvalmonitoringandreviewofeducationalprovision/developmentofprogrammes/npp/npp1-documentation/" TargetMode="External"/><Relationship Id="rId3" Type="http://schemas.microsoft.com/office/2007/relationships/stylesWithEffects" Target="stylesWithEffects.xml"/><Relationship Id="rId21" Type="http://schemas.openxmlformats.org/officeDocument/2006/relationships/hyperlink" Target="http://www.humanities.manchester.ac.uk/humnet/our-services/teaching-and-learning/about-us/contacts/" TargetMode="External"/><Relationship Id="rId7" Type="http://schemas.openxmlformats.org/officeDocument/2006/relationships/hyperlink" Target="http://documents.manchester.ac.uk/DocuInfo.aspx?DocID=10042" TargetMode="External"/><Relationship Id="rId12" Type="http://schemas.openxmlformats.org/officeDocument/2006/relationships/hyperlink" Target="http://documents.manchester.ac.uk/DocuInfo.aspx?DocID=10044" TargetMode="External"/><Relationship Id="rId17" Type="http://schemas.openxmlformats.org/officeDocument/2006/relationships/hyperlink" Target="http://www.tlso.manchester.ac.uk/quality-framework/collaborative/section4-usefulguidancedocumentsandappendices/" TargetMode="External"/><Relationship Id="rId2" Type="http://schemas.openxmlformats.org/officeDocument/2006/relationships/styles" Target="styles.xml"/><Relationship Id="rId16" Type="http://schemas.openxmlformats.org/officeDocument/2006/relationships/hyperlink" Target="http://www.humanities.manchester.ac.uk/humnet/our-services/communications-and-marketing/marketing-support/market-research/" TargetMode="External"/><Relationship Id="rId20" Type="http://schemas.openxmlformats.org/officeDocument/2006/relationships/hyperlink" Target="http://www.humanities.manchester.ac.uk/humnet/committees/humanities-teaching-and-learning-committee/pas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ocuments.manchester.ac.uk/DocuInfo.aspx?DocID=10043" TargetMode="External"/><Relationship Id="rId5" Type="http://schemas.openxmlformats.org/officeDocument/2006/relationships/webSettings" Target="webSettings.xml"/><Relationship Id="rId15" Type="http://schemas.openxmlformats.org/officeDocument/2006/relationships/hyperlink" Target="http://documents.manchester.ac.uk/DocuInfo.aspx?DocID=10048" TargetMode="External"/><Relationship Id="rId23" Type="http://schemas.openxmlformats.org/officeDocument/2006/relationships/theme" Target="theme/theme1.xml"/><Relationship Id="rId10" Type="http://schemas.openxmlformats.org/officeDocument/2006/relationships/hyperlink" Target="http://documents.manchester.ac.uk/DocuInfo.aspx?DocID=10046" TargetMode="External"/><Relationship Id="rId19" Type="http://schemas.openxmlformats.org/officeDocument/2006/relationships/hyperlink" Target="http://www.humanities.manchester.ac.uk/humnet/our-services/teaching-and-learning/about-us/contacts/" TargetMode="External"/><Relationship Id="rId4" Type="http://schemas.openxmlformats.org/officeDocument/2006/relationships/settings" Target="settings.xml"/><Relationship Id="rId9" Type="http://schemas.openxmlformats.org/officeDocument/2006/relationships/hyperlink" Target="http://www.humanities.manchester.ac.uk/tandl/elearning/contact.html" TargetMode="External"/><Relationship Id="rId14" Type="http://schemas.openxmlformats.org/officeDocument/2006/relationships/hyperlink" Target="http://documents.manchester.ac.uk/DocuInfo.aspx?DocID=100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Lord</dc:creator>
  <cp:lastModifiedBy>Nicola Lord</cp:lastModifiedBy>
  <cp:revision>2</cp:revision>
  <dcterms:created xsi:type="dcterms:W3CDTF">2017-04-27T14:26:00Z</dcterms:created>
  <dcterms:modified xsi:type="dcterms:W3CDTF">2017-04-27T14:26:00Z</dcterms:modified>
</cp:coreProperties>
</file>