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9242"/>
      </w:tblGrid>
      <w:tr w:rsidR="003A558D" w:rsidRPr="00A2063D" w14:paraId="5FA0EC06" w14:textId="77777777" w:rsidTr="00B26E63">
        <w:tc>
          <w:tcPr>
            <w:tcW w:w="9242" w:type="dxa"/>
            <w:tcBorders>
              <w:top w:val="nil"/>
              <w:left w:val="nil"/>
              <w:bottom w:val="nil"/>
              <w:right w:val="nil"/>
            </w:tcBorders>
          </w:tcPr>
          <w:p w14:paraId="5D36D234" w14:textId="451B62E2" w:rsidR="003A558D" w:rsidRPr="00A2063D" w:rsidRDefault="003A558D" w:rsidP="00B26E63">
            <w:pPr>
              <w:tabs>
                <w:tab w:val="left" w:pos="1860"/>
              </w:tabs>
              <w:jc w:val="right"/>
              <w:rPr>
                <w:rFonts w:ascii="Arial" w:hAnsi="Arial" w:cs="Arial"/>
                <w:b/>
                <w:noProof/>
                <w:color w:val="7030A0"/>
                <w:sz w:val="28"/>
                <w:lang w:eastAsia="en-GB"/>
              </w:rPr>
            </w:pPr>
            <w:r w:rsidRPr="00A2063D">
              <w:rPr>
                <w:noProof/>
                <w:lang w:eastAsia="en-GB"/>
              </w:rPr>
              <mc:AlternateContent>
                <mc:Choice Requires="wps">
                  <w:drawing>
                    <wp:anchor distT="0" distB="0" distL="114300" distR="114300" simplePos="0" relativeHeight="251659264" behindDoc="0" locked="0" layoutInCell="1" allowOverlap="1" wp14:anchorId="5AF67D8A" wp14:editId="3D3AFE03">
                      <wp:simplePos x="0" y="0"/>
                      <wp:positionH relativeFrom="column">
                        <wp:posOffset>-50165</wp:posOffset>
                      </wp:positionH>
                      <wp:positionV relativeFrom="paragraph">
                        <wp:posOffset>0</wp:posOffset>
                      </wp:positionV>
                      <wp:extent cx="1876425" cy="8477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47725"/>
                              </a:xfrm>
                              <a:prstGeom prst="rect">
                                <a:avLst/>
                              </a:prstGeom>
                              <a:noFill/>
                              <a:ln w="9525">
                                <a:noFill/>
                                <a:miter lim="800000"/>
                                <a:headEnd/>
                                <a:tailEnd/>
                              </a:ln>
                            </wps:spPr>
                            <wps:txbx>
                              <w:txbxContent>
                                <w:p w14:paraId="0A0F4FB1" w14:textId="77777777" w:rsidR="003A558D" w:rsidRDefault="003A558D" w:rsidP="003A558D">
                                  <w:r>
                                    <w:rPr>
                                      <w:noProof/>
                                      <w:szCs w:val="20"/>
                                      <w:lang w:eastAsia="en-GB"/>
                                    </w:rPr>
                                    <w:drawing>
                                      <wp:inline distT="0" distB="0" distL="0" distR="0" wp14:anchorId="0870DDA5" wp14:editId="6CF3BA16">
                                        <wp:extent cx="16573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95pt;margin-top:0;width:147.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" filled="f" stroked="f">
                      <v:textbox>
                        <w:txbxContent>
                          <w:p w14:paraId="0A0F4FB1" w14:textId="77777777" w:rsidR="003A558D" w:rsidRDefault="003A558D" w:rsidP="003A558D">
                            <w:r>
                              <w:rPr>
                                <w:noProof/>
                                <w:szCs w:val="20"/>
                                <w:lang w:eastAsia="en-GB"/>
                              </w:rPr>
                              <w:drawing>
                                <wp:inline distT="0" distB="0" distL="0" distR="0" wp14:anchorId="0870DDA5" wp14:editId="6CF3BA16">
                                  <wp:extent cx="16573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704850"/>
                                          </a:xfrm>
                                          <a:prstGeom prst="rect">
                                            <a:avLst/>
                                          </a:prstGeom>
                                          <a:noFill/>
                                          <a:ln>
                                            <a:noFill/>
                                          </a:ln>
                                        </pic:spPr>
                                      </pic:pic>
                                    </a:graphicData>
                                  </a:graphic>
                                </wp:inline>
                              </w:drawing>
                            </w:r>
                          </w:p>
                        </w:txbxContent>
                      </v:textbox>
                    </v:shape>
                  </w:pict>
                </mc:Fallback>
              </mc:AlternateContent>
            </w:r>
          </w:p>
          <w:p w14:paraId="1B2B0A9B" w14:textId="77777777" w:rsidR="003A558D" w:rsidRPr="00A2063D" w:rsidRDefault="003A558D" w:rsidP="00B26E63">
            <w:pPr>
              <w:tabs>
                <w:tab w:val="left" w:pos="1860"/>
              </w:tabs>
              <w:jc w:val="right"/>
              <w:rPr>
                <w:rFonts w:ascii="Arial" w:hAnsi="Arial" w:cs="Arial"/>
                <w:b/>
                <w:noProof/>
                <w:color w:val="7030A0"/>
                <w:sz w:val="28"/>
                <w:lang w:eastAsia="en-GB"/>
              </w:rPr>
            </w:pPr>
          </w:p>
          <w:p w14:paraId="5D429D7F" w14:textId="77777777" w:rsidR="003A558D" w:rsidRPr="00A2063D" w:rsidRDefault="003A558D" w:rsidP="00B26E63">
            <w:pPr>
              <w:tabs>
                <w:tab w:val="left" w:pos="1860"/>
              </w:tabs>
              <w:jc w:val="right"/>
              <w:rPr>
                <w:rFonts w:ascii="Arial" w:hAnsi="Arial" w:cs="Arial"/>
                <w:b/>
                <w:color w:val="7030A0"/>
                <w:sz w:val="32"/>
              </w:rPr>
            </w:pPr>
            <w:r w:rsidRPr="00A2063D">
              <w:rPr>
                <w:rFonts w:ascii="Arial" w:hAnsi="Arial" w:cs="Arial"/>
                <w:b/>
                <w:noProof/>
                <w:color w:val="7030A0"/>
                <w:sz w:val="28"/>
                <w:lang w:eastAsia="en-GB"/>
              </w:rPr>
              <w:t xml:space="preserve"> </w:t>
            </w:r>
          </w:p>
        </w:tc>
      </w:tr>
      <w:tr w:rsidR="003A558D" w:rsidRPr="00A2063D" w14:paraId="730767A1" w14:textId="77777777" w:rsidTr="00B26E63">
        <w:tc>
          <w:tcPr>
            <w:tcW w:w="9242" w:type="dxa"/>
            <w:tcBorders>
              <w:top w:val="nil"/>
              <w:left w:val="nil"/>
              <w:bottom w:val="nil"/>
              <w:right w:val="nil"/>
            </w:tcBorders>
            <w:hideMark/>
          </w:tcPr>
          <w:p w14:paraId="3B8B88AF" w14:textId="77777777" w:rsidR="003A558D" w:rsidRPr="00A2063D" w:rsidRDefault="003A558D" w:rsidP="00B26E63">
            <w:pPr>
              <w:spacing w:after="200" w:line="276" w:lineRule="auto"/>
              <w:rPr>
                <w:rFonts w:ascii="Arial" w:hAnsi="Arial" w:cs="Arial"/>
                <w:b/>
                <w:color w:val="7030A0"/>
                <w:sz w:val="32"/>
              </w:rPr>
            </w:pPr>
          </w:p>
        </w:tc>
      </w:tr>
    </w:tbl>
    <w:p w14:paraId="7E1F8551" w14:textId="77777777" w:rsidR="003A558D" w:rsidRPr="00A2063D" w:rsidRDefault="003A558D" w:rsidP="003A558D"/>
    <w:p w14:paraId="7C03E7E8" w14:textId="615B4ACF" w:rsidR="00596119" w:rsidRPr="00A2063D" w:rsidRDefault="007F3ADE" w:rsidP="00BC3A59">
      <w:pPr>
        <w:rPr>
          <w:b/>
        </w:rPr>
      </w:pPr>
      <w:r>
        <w:rPr>
          <w:b/>
        </w:rPr>
        <w:t>School of Law and School of Social Sciences Working Group</w:t>
      </w:r>
    </w:p>
    <w:tbl>
      <w:tblPr>
        <w:tblStyle w:val="TableGrid"/>
        <w:tblW w:w="0" w:type="auto"/>
        <w:tblInd w:w="0" w:type="dxa"/>
        <w:tblLook w:val="04A0" w:firstRow="1" w:lastRow="0" w:firstColumn="1" w:lastColumn="0" w:noHBand="0" w:noVBand="1"/>
      </w:tblPr>
      <w:tblGrid>
        <w:gridCol w:w="1526"/>
        <w:gridCol w:w="7716"/>
      </w:tblGrid>
      <w:tr w:rsidR="00596119" w:rsidRPr="00A2063D" w14:paraId="5A6AA782" w14:textId="77777777" w:rsidTr="002D6444">
        <w:tc>
          <w:tcPr>
            <w:tcW w:w="1526" w:type="dxa"/>
          </w:tcPr>
          <w:p w14:paraId="3CE4ADD6" w14:textId="77777777" w:rsidR="00596119" w:rsidRPr="00A2063D" w:rsidRDefault="00596119" w:rsidP="002D6444">
            <w:pPr>
              <w:rPr>
                <w:b/>
              </w:rPr>
            </w:pPr>
            <w:r w:rsidRPr="00A2063D">
              <w:rPr>
                <w:b/>
              </w:rPr>
              <w:t>Summary</w:t>
            </w:r>
          </w:p>
        </w:tc>
        <w:tc>
          <w:tcPr>
            <w:tcW w:w="7716" w:type="dxa"/>
          </w:tcPr>
          <w:p w14:paraId="2BEDBCA4" w14:textId="77EA5291" w:rsidR="00596119" w:rsidRPr="00A2063D" w:rsidRDefault="00596119" w:rsidP="008B2C3B">
            <w:r w:rsidRPr="00A2063D">
              <w:t xml:space="preserve">Minutes of the meeting held on </w:t>
            </w:r>
            <w:r w:rsidR="008B2C3B">
              <w:t>4 June</w:t>
            </w:r>
            <w:r w:rsidRPr="00A2063D">
              <w:t xml:space="preserve"> 2018</w:t>
            </w:r>
          </w:p>
        </w:tc>
      </w:tr>
      <w:tr w:rsidR="00596119" w:rsidRPr="00A2063D" w14:paraId="3E10923B" w14:textId="77777777" w:rsidTr="002D6444">
        <w:tc>
          <w:tcPr>
            <w:tcW w:w="1526" w:type="dxa"/>
          </w:tcPr>
          <w:p w14:paraId="48A90E74" w14:textId="77777777" w:rsidR="00596119" w:rsidRPr="00A2063D" w:rsidRDefault="00596119" w:rsidP="002D6444">
            <w:pPr>
              <w:rPr>
                <w:b/>
              </w:rPr>
            </w:pPr>
            <w:r w:rsidRPr="00A2063D">
              <w:rPr>
                <w:b/>
              </w:rPr>
              <w:t>Present</w:t>
            </w:r>
          </w:p>
        </w:tc>
        <w:tc>
          <w:tcPr>
            <w:tcW w:w="7716" w:type="dxa"/>
          </w:tcPr>
          <w:p w14:paraId="189C4505" w14:textId="6B739F10" w:rsidR="00596119" w:rsidRPr="00A2063D" w:rsidRDefault="007F3ADE" w:rsidP="007F3ADE">
            <w:r>
              <w:t>Keith Brown (Chair), Vikki Goddard, Marianne Webb, Toby Seddon, Carolyn Abbot, Claire McGourlay, David Gadd, Chris Orme, Brian Heaphy, Claire Alexander, Ken Clark, Georgina Waylen, Catherine Tann,</w:t>
            </w:r>
          </w:p>
        </w:tc>
      </w:tr>
      <w:tr w:rsidR="00596119" w:rsidRPr="00A2063D" w14:paraId="671DAEC7" w14:textId="77777777" w:rsidTr="002D6444">
        <w:tc>
          <w:tcPr>
            <w:tcW w:w="1526" w:type="dxa"/>
          </w:tcPr>
          <w:p w14:paraId="1CC6AADE" w14:textId="77777777" w:rsidR="00596119" w:rsidRPr="00A2063D" w:rsidRDefault="00596119" w:rsidP="002D6444">
            <w:pPr>
              <w:rPr>
                <w:b/>
              </w:rPr>
            </w:pPr>
            <w:r w:rsidRPr="00A2063D">
              <w:rPr>
                <w:b/>
              </w:rPr>
              <w:t>By invitation</w:t>
            </w:r>
          </w:p>
        </w:tc>
        <w:tc>
          <w:tcPr>
            <w:tcW w:w="7716" w:type="dxa"/>
          </w:tcPr>
          <w:p w14:paraId="0C95BA6D" w14:textId="56498158" w:rsidR="00596119" w:rsidRPr="007F3ADE" w:rsidRDefault="007F3ADE" w:rsidP="007F3ADE">
            <w:r>
              <w:t>Amanda Grimshaw</w:t>
            </w:r>
            <w:r w:rsidRPr="007F3ADE">
              <w:t xml:space="preserve"> (representing Alison Wilson)</w:t>
            </w:r>
          </w:p>
        </w:tc>
      </w:tr>
      <w:tr w:rsidR="00596119" w:rsidRPr="00A2063D" w14:paraId="12F7804D" w14:textId="77777777" w:rsidTr="002D6444">
        <w:tc>
          <w:tcPr>
            <w:tcW w:w="1526" w:type="dxa"/>
          </w:tcPr>
          <w:p w14:paraId="78C6F78F" w14:textId="77777777" w:rsidR="00596119" w:rsidRPr="00A2063D" w:rsidRDefault="00596119" w:rsidP="002D6444">
            <w:pPr>
              <w:rPr>
                <w:b/>
              </w:rPr>
            </w:pPr>
            <w:r w:rsidRPr="00A2063D">
              <w:rPr>
                <w:b/>
              </w:rPr>
              <w:t>Apologies</w:t>
            </w:r>
          </w:p>
        </w:tc>
        <w:tc>
          <w:tcPr>
            <w:tcW w:w="7716" w:type="dxa"/>
          </w:tcPr>
          <w:p w14:paraId="04141F0A" w14:textId="4DAA172E" w:rsidR="00596119" w:rsidRPr="00A2063D" w:rsidRDefault="007F3ADE" w:rsidP="005019AE">
            <w:r>
              <w:t>Chris Thornhill, Alison Wilson</w:t>
            </w:r>
          </w:p>
        </w:tc>
      </w:tr>
    </w:tbl>
    <w:p w14:paraId="3C01D042" w14:textId="77777777" w:rsidR="00596119" w:rsidRPr="00A2063D" w:rsidRDefault="00596119" w:rsidP="00596119">
      <w:pPr>
        <w:pStyle w:val="ListParagraph"/>
      </w:pPr>
    </w:p>
    <w:p w14:paraId="1293FF2A" w14:textId="779DFD64" w:rsidR="00A4474E" w:rsidRPr="00A2063D" w:rsidRDefault="00C51C77" w:rsidP="00A4474E">
      <w:pPr>
        <w:pStyle w:val="ListParagraph"/>
        <w:numPr>
          <w:ilvl w:val="0"/>
          <w:numId w:val="2"/>
        </w:numPr>
        <w:rPr>
          <w:b/>
        </w:rPr>
      </w:pPr>
      <w:r>
        <w:rPr>
          <w:b/>
        </w:rPr>
        <w:t>Review terms of reference and membership for Working Group</w:t>
      </w:r>
    </w:p>
    <w:p w14:paraId="52B0AE2C" w14:textId="77036FB9" w:rsidR="009066FE" w:rsidRDefault="00387C3D" w:rsidP="00E135D9">
      <w:r>
        <w:t xml:space="preserve">The overall </w:t>
      </w:r>
      <w:r w:rsidR="008936DF">
        <w:t>purpose</w:t>
      </w:r>
      <w:r w:rsidR="00A95853">
        <w:t xml:space="preserve"> of the Working Group was summarised as </w:t>
      </w:r>
      <w:r w:rsidR="002F11CF">
        <w:t>overseeing the engagement process considering the arguments for and against</w:t>
      </w:r>
      <w:r w:rsidR="00A95853">
        <w:t xml:space="preserve"> a proposal to merge the School of Law and the School of Social Sciences. The rationale would look to identify the benefits of a merger and the associated risks.</w:t>
      </w:r>
    </w:p>
    <w:p w14:paraId="6E69D101" w14:textId="77777777" w:rsidR="00A95853" w:rsidRDefault="00A95853" w:rsidP="00E135D9">
      <w:r>
        <w:t xml:space="preserve">The Terms of Reference were discussed. </w:t>
      </w:r>
    </w:p>
    <w:p w14:paraId="09F2F7CA" w14:textId="6C840A6C" w:rsidR="00A95853" w:rsidRDefault="00A95853" w:rsidP="00E135D9">
      <w:r>
        <w:t>It was agreed that it was not necessary for an additional colleague to be added to the membership of the Working Group to represent finance as both Schools are in good financial health but it is anticipated that Nicola Smith (Head of Faculty Finance) will be invited when required.</w:t>
      </w:r>
    </w:p>
    <w:p w14:paraId="2090C334" w14:textId="3B8CD06E" w:rsidR="00A95853" w:rsidRDefault="00A95853" w:rsidP="00E135D9">
      <w:r>
        <w:t xml:space="preserve">It was noted that the membership of the Working Group did not include a representative for Social Responsibility. Directors of Social Responsibility should be contacted for their input into the consideration for social </w:t>
      </w:r>
      <w:r w:rsidR="00D660C4">
        <w:t>responsibility</w:t>
      </w:r>
      <w:r>
        <w:t>.</w:t>
      </w:r>
    </w:p>
    <w:p w14:paraId="79F6BED1" w14:textId="3E37E678" w:rsidR="00D660C4" w:rsidRDefault="00992614" w:rsidP="00E135D9">
      <w:r>
        <w:t xml:space="preserve">Corrections to Head of School for </w:t>
      </w:r>
      <w:proofErr w:type="spellStart"/>
      <w:r>
        <w:t>SoSS</w:t>
      </w:r>
      <w:proofErr w:type="spellEnd"/>
      <w:r>
        <w:t xml:space="preserve"> start and end dates were noted. </w:t>
      </w:r>
      <w:r w:rsidR="00BC0211">
        <w:t>CO</w:t>
      </w:r>
      <w:r>
        <w:t xml:space="preserve"> is stepping down on 31 July </w:t>
      </w:r>
      <w:r w:rsidR="0096725F">
        <w:t xml:space="preserve">2018 </w:t>
      </w:r>
      <w:r>
        <w:t xml:space="preserve">and </w:t>
      </w:r>
      <w:r w:rsidR="00BC0211">
        <w:t>BH</w:t>
      </w:r>
      <w:r w:rsidR="0096725F">
        <w:t xml:space="preserve"> acts in role from 1 August 2018</w:t>
      </w:r>
      <w:r w:rsidR="005810F8">
        <w:t>.</w:t>
      </w:r>
    </w:p>
    <w:p w14:paraId="725C264B" w14:textId="51E476B5" w:rsidR="005810F8" w:rsidRDefault="005810F8" w:rsidP="00E135D9">
      <w:r>
        <w:t>It was agreed the School Board Chair</w:t>
      </w:r>
      <w:r w:rsidR="002F11CF">
        <w:t>’</w:t>
      </w:r>
      <w:r>
        <w:t>s should act as the conduit for all academic staff within their respective schools. School Board Chair</w:t>
      </w:r>
      <w:r w:rsidR="008936DF">
        <w:t>’</w:t>
      </w:r>
      <w:r>
        <w:t>s personal opinions should be expressed but must report back all significant views from colleagues across the school. This role should act in an engagement capacity rather than management.</w:t>
      </w:r>
    </w:p>
    <w:p w14:paraId="2F8C496C" w14:textId="23E78FEF" w:rsidR="005810F8" w:rsidRDefault="005810F8" w:rsidP="00E135D9">
      <w:r>
        <w:t>The output of this Working Group will be to a produce a proposal</w:t>
      </w:r>
      <w:r w:rsidR="002F11CF">
        <w:t xml:space="preserve"> either supporting a merger or keeping the current structure,</w:t>
      </w:r>
      <w:r>
        <w:t xml:space="preserve"> for Faculty Leadership Team to review on 1 October. It was noted that there may be conflicting opinions as the proposal is being developed and the Working Group</w:t>
      </w:r>
      <w:r w:rsidR="008936DF">
        <w:t xml:space="preserve"> meeting</w:t>
      </w:r>
      <w:r>
        <w:t xml:space="preserve"> will be used to discuss if a conse</w:t>
      </w:r>
      <w:r w:rsidR="002F11CF">
        <w:t>nsus can be achieved</w:t>
      </w:r>
      <w:r>
        <w:t>.</w:t>
      </w:r>
    </w:p>
    <w:p w14:paraId="0D4437DC" w14:textId="77777777" w:rsidR="009C2416" w:rsidRPr="00A2063D" w:rsidRDefault="009C2416" w:rsidP="009066FE">
      <w:pPr>
        <w:pStyle w:val="ListParagraph"/>
      </w:pPr>
    </w:p>
    <w:p w14:paraId="5B2CA0F5" w14:textId="0C7F4BA0" w:rsidR="00A85DDE" w:rsidRDefault="00C51C77" w:rsidP="00A85DDE">
      <w:pPr>
        <w:pStyle w:val="ListParagraph"/>
        <w:numPr>
          <w:ilvl w:val="0"/>
          <w:numId w:val="2"/>
        </w:numPr>
        <w:rPr>
          <w:b/>
        </w:rPr>
      </w:pPr>
      <w:r>
        <w:rPr>
          <w:b/>
        </w:rPr>
        <w:t>Review key areas of consideration and scope</w:t>
      </w:r>
    </w:p>
    <w:p w14:paraId="6F313934" w14:textId="77777777" w:rsidR="008F0876" w:rsidRDefault="0096725F" w:rsidP="0096725F">
      <w:r>
        <w:t xml:space="preserve">High level areas of consideration were discussed to ensure if anything needed to be amended or added. </w:t>
      </w:r>
    </w:p>
    <w:p w14:paraId="69E17733" w14:textId="0589828B" w:rsidR="0096725F" w:rsidRDefault="0096725F" w:rsidP="0096725F">
      <w:r>
        <w:t>Lead responsibility was identified for each area of consideration.</w:t>
      </w:r>
      <w:r w:rsidR="005810F8">
        <w:t xml:space="preserve"> All narrative should </w:t>
      </w:r>
      <w:r w:rsidR="008F0876">
        <w:t xml:space="preserve">be sent to </w:t>
      </w:r>
      <w:proofErr w:type="spellStart"/>
      <w:r w:rsidR="008F0876">
        <w:t>L</w:t>
      </w:r>
      <w:r w:rsidR="008936DF">
        <w:t>Mc</w:t>
      </w:r>
      <w:proofErr w:type="spellEnd"/>
      <w:r w:rsidR="008936DF">
        <w:t xml:space="preserve"> </w:t>
      </w:r>
      <w:r w:rsidR="008F0876">
        <w:t>to be coordinated into one document.</w:t>
      </w:r>
    </w:p>
    <w:p w14:paraId="27640D8E" w14:textId="2FCD3FCB" w:rsidR="00495928" w:rsidRDefault="00495928" w:rsidP="0096725F">
      <w:r>
        <w:t>Supporting information provided by PSS colleagues</w:t>
      </w:r>
      <w:r w:rsidR="008936DF">
        <w:t xml:space="preserve"> was</w:t>
      </w:r>
      <w:r w:rsidR="007813F8">
        <w:t xml:space="preserve"> provided in respect</w:t>
      </w:r>
      <w:r>
        <w:t xml:space="preserve"> of existing areas of research collaboration, a merged budget and 5YP, risk registers for Law and </w:t>
      </w:r>
      <w:proofErr w:type="spellStart"/>
      <w:r>
        <w:t>SoSS</w:t>
      </w:r>
      <w:proofErr w:type="spellEnd"/>
      <w:r>
        <w:t xml:space="preserve">, Russell Group comparisons of </w:t>
      </w:r>
      <w:r w:rsidR="002F11CF">
        <w:t>L</w:t>
      </w:r>
      <w:r>
        <w:t xml:space="preserve">aw </w:t>
      </w:r>
      <w:r>
        <w:lastRenderedPageBreak/>
        <w:t xml:space="preserve">departments, PGR data, teaching, </w:t>
      </w:r>
      <w:proofErr w:type="gramStart"/>
      <w:r>
        <w:t>learning</w:t>
      </w:r>
      <w:proofErr w:type="gramEnd"/>
      <w:r>
        <w:t xml:space="preserve"> and student experience. An options analysis report for the School of Law written by Colette Fagan in December 2014 was also circulated. </w:t>
      </w:r>
    </w:p>
    <w:p w14:paraId="20CA7462" w14:textId="5C57D5EF" w:rsidR="00217A43" w:rsidRDefault="00217A43" w:rsidP="0096725F">
      <w:r>
        <w:t>Any re</w:t>
      </w:r>
      <w:r w:rsidR="002F11CF">
        <w:t>quests for further data can be undertaken</w:t>
      </w:r>
      <w:r>
        <w:t xml:space="preserve"> via </w:t>
      </w:r>
      <w:proofErr w:type="spellStart"/>
      <w:r w:rsidR="008936DF">
        <w:t>LMc</w:t>
      </w:r>
      <w:proofErr w:type="spellEnd"/>
      <w:r>
        <w:t>.</w:t>
      </w:r>
    </w:p>
    <w:p w14:paraId="100BFA3B" w14:textId="77777777" w:rsidR="00614F67" w:rsidRDefault="00614F67" w:rsidP="00614F67">
      <w:pPr>
        <w:pStyle w:val="ListParagraph"/>
        <w:numPr>
          <w:ilvl w:val="1"/>
          <w:numId w:val="2"/>
        </w:numPr>
        <w:rPr>
          <w:b/>
        </w:rPr>
      </w:pPr>
      <w:r w:rsidRPr="00614F67">
        <w:rPr>
          <w:b/>
        </w:rPr>
        <w:t>Research (including PGR)</w:t>
      </w:r>
    </w:p>
    <w:p w14:paraId="1E187FC9" w14:textId="4E486E7F" w:rsidR="008F0876" w:rsidRDefault="005B1919" w:rsidP="008F0876">
      <w:r>
        <w:t>CT</w:t>
      </w:r>
      <w:r w:rsidR="008F0876" w:rsidRPr="008F0876">
        <w:t xml:space="preserve"> and </w:t>
      </w:r>
      <w:r>
        <w:t>CA</w:t>
      </w:r>
      <w:r w:rsidR="008F0876" w:rsidRPr="008F0876">
        <w:t xml:space="preserve"> were ident</w:t>
      </w:r>
      <w:r w:rsidR="00495928">
        <w:t>ified as the lead contributors for providing the narrative for this section.</w:t>
      </w:r>
    </w:p>
    <w:p w14:paraId="4F97EE55" w14:textId="396BBD4E" w:rsidR="005810F8" w:rsidRDefault="005810F8" w:rsidP="008F0876">
      <w:r>
        <w:t xml:space="preserve">It was agreed that business engagement should </w:t>
      </w:r>
      <w:r w:rsidR="00956550">
        <w:t>be included</w:t>
      </w:r>
      <w:r>
        <w:t xml:space="preserve"> within this section</w:t>
      </w:r>
      <w:r w:rsidR="00495928">
        <w:t>.</w:t>
      </w:r>
    </w:p>
    <w:p w14:paraId="7A412299" w14:textId="15D93CBD" w:rsidR="00495928" w:rsidRPr="008F0876" w:rsidRDefault="00495928" w:rsidP="008F0876">
      <w:r>
        <w:t xml:space="preserve">Discussion was had regarding whether any modelling for the REF should be undertaken but it was agreed that school structures were irrelevant to how staff are allocated to </w:t>
      </w:r>
      <w:proofErr w:type="spellStart"/>
      <w:r>
        <w:t>UoAs</w:t>
      </w:r>
      <w:proofErr w:type="spellEnd"/>
      <w:r>
        <w:t xml:space="preserve"> and REF planning should continue as is.</w:t>
      </w:r>
    </w:p>
    <w:p w14:paraId="368B5DA9" w14:textId="77777777" w:rsidR="00614F67" w:rsidRDefault="00614F67" w:rsidP="00614F67">
      <w:pPr>
        <w:pStyle w:val="ListParagraph"/>
        <w:numPr>
          <w:ilvl w:val="1"/>
          <w:numId w:val="2"/>
        </w:numPr>
        <w:rPr>
          <w:b/>
        </w:rPr>
      </w:pPr>
      <w:r w:rsidRPr="00614F67">
        <w:rPr>
          <w:b/>
        </w:rPr>
        <w:t>Teaching, Learning &amp; Student Experience (including Legal Advice Centre)</w:t>
      </w:r>
    </w:p>
    <w:p w14:paraId="3552B5AA" w14:textId="02EB3369" w:rsidR="008F0876" w:rsidRDefault="005B1919" w:rsidP="00495928">
      <w:r>
        <w:t>CM and KC</w:t>
      </w:r>
      <w:r w:rsidR="00495928">
        <w:t xml:space="preserve"> were</w:t>
      </w:r>
      <w:r w:rsidR="00495928" w:rsidRPr="00495928">
        <w:t xml:space="preserve"> identified as the lead contributors for providing the narrative for this</w:t>
      </w:r>
      <w:r w:rsidR="00495928">
        <w:t xml:space="preserve"> section.</w:t>
      </w:r>
    </w:p>
    <w:p w14:paraId="3D1F5AE1" w14:textId="6453A0EE" w:rsidR="00495928" w:rsidRPr="00495928" w:rsidRDefault="00217A43" w:rsidP="00495928">
      <w:r>
        <w:t>It was agreed that an overview of the academic governance of teaching and learning should be included in this section and reference to league tables should be removed. The reputation of the schools will be picked up within ‘external branding’.</w:t>
      </w:r>
    </w:p>
    <w:p w14:paraId="74DF4B25" w14:textId="77777777" w:rsidR="008F0876" w:rsidRPr="00614F67" w:rsidRDefault="008F0876" w:rsidP="008F0876">
      <w:pPr>
        <w:pStyle w:val="ListParagraph"/>
        <w:rPr>
          <w:b/>
        </w:rPr>
      </w:pPr>
    </w:p>
    <w:p w14:paraId="1B94E707" w14:textId="71E61100" w:rsidR="00614F67" w:rsidRDefault="008F0876" w:rsidP="00614F67">
      <w:pPr>
        <w:pStyle w:val="ListParagraph"/>
        <w:numPr>
          <w:ilvl w:val="1"/>
          <w:numId w:val="2"/>
        </w:numPr>
        <w:rPr>
          <w:b/>
        </w:rPr>
      </w:pPr>
      <w:r>
        <w:rPr>
          <w:b/>
        </w:rPr>
        <w:t>Social Responsibility</w:t>
      </w:r>
    </w:p>
    <w:p w14:paraId="3CA3A244" w14:textId="77777777" w:rsidR="00217A43" w:rsidRDefault="00217A43" w:rsidP="00217A43">
      <w:pPr>
        <w:pStyle w:val="ListParagraph"/>
        <w:ind w:left="0"/>
      </w:pPr>
    </w:p>
    <w:p w14:paraId="6C94DE2C" w14:textId="3A55AF06" w:rsidR="00217A43" w:rsidRDefault="00217A43" w:rsidP="00217A43">
      <w:pPr>
        <w:pStyle w:val="ListParagraph"/>
        <w:ind w:left="0"/>
      </w:pPr>
      <w:r>
        <w:t xml:space="preserve">No leads </w:t>
      </w:r>
      <w:r w:rsidR="007813F8">
        <w:t xml:space="preserve">present in the meeting </w:t>
      </w:r>
      <w:r>
        <w:t>for this section. Helen Beebee and Graham Smith should be contacted to request their input to this section.</w:t>
      </w:r>
    </w:p>
    <w:p w14:paraId="4795B8B4" w14:textId="77777777" w:rsidR="00217A43" w:rsidRDefault="00217A43" w:rsidP="00217A43">
      <w:pPr>
        <w:pStyle w:val="ListParagraph"/>
        <w:ind w:left="0"/>
      </w:pPr>
    </w:p>
    <w:p w14:paraId="6902540F" w14:textId="06133B2F" w:rsidR="00217A43" w:rsidRPr="00217A43" w:rsidRDefault="00217A43" w:rsidP="00217A43">
      <w:pPr>
        <w:pStyle w:val="ListParagraph"/>
        <w:ind w:left="0"/>
      </w:pPr>
      <w:r>
        <w:t>It was agreed that equality and diversity should be included in this section.</w:t>
      </w:r>
    </w:p>
    <w:p w14:paraId="748D759D" w14:textId="77777777" w:rsidR="008F0876" w:rsidRDefault="008F0876" w:rsidP="008F0876">
      <w:pPr>
        <w:pStyle w:val="ListParagraph"/>
        <w:rPr>
          <w:b/>
        </w:rPr>
      </w:pPr>
    </w:p>
    <w:p w14:paraId="12FBFA05" w14:textId="77777777" w:rsidR="008F0876" w:rsidRPr="00614F67" w:rsidRDefault="008F0876" w:rsidP="008F0876">
      <w:pPr>
        <w:pStyle w:val="ListParagraph"/>
        <w:rPr>
          <w:b/>
        </w:rPr>
      </w:pPr>
    </w:p>
    <w:p w14:paraId="3A6FA7B9" w14:textId="77777777" w:rsidR="00614F67" w:rsidRDefault="00614F67" w:rsidP="00614F67">
      <w:pPr>
        <w:pStyle w:val="ListParagraph"/>
        <w:numPr>
          <w:ilvl w:val="1"/>
          <w:numId w:val="2"/>
        </w:numPr>
        <w:rPr>
          <w:b/>
        </w:rPr>
      </w:pPr>
      <w:r w:rsidRPr="00614F67">
        <w:rPr>
          <w:b/>
        </w:rPr>
        <w:t>Structure and Management (including Law and Criminology as either a single department or two separate departments)</w:t>
      </w:r>
    </w:p>
    <w:p w14:paraId="5045290B" w14:textId="77777777" w:rsidR="008F0876" w:rsidRDefault="008F0876" w:rsidP="008F7A2D">
      <w:pPr>
        <w:pStyle w:val="ListParagraph"/>
        <w:ind w:left="0"/>
        <w:rPr>
          <w:b/>
        </w:rPr>
      </w:pPr>
    </w:p>
    <w:p w14:paraId="4605856D" w14:textId="647309AC" w:rsidR="008F7A2D" w:rsidRDefault="005B1919" w:rsidP="008F7A2D">
      <w:pPr>
        <w:pStyle w:val="ListParagraph"/>
        <w:ind w:left="0"/>
      </w:pPr>
      <w:r>
        <w:t>TS</w:t>
      </w:r>
      <w:r w:rsidR="008F7A2D">
        <w:t xml:space="preserve"> and </w:t>
      </w:r>
      <w:r>
        <w:t>CO</w:t>
      </w:r>
      <w:r w:rsidR="008F7A2D">
        <w:t xml:space="preserve"> </w:t>
      </w:r>
      <w:proofErr w:type="gramStart"/>
      <w:r w:rsidR="008F7A2D" w:rsidRPr="008F7A2D">
        <w:t>were</w:t>
      </w:r>
      <w:proofErr w:type="gramEnd"/>
      <w:r w:rsidR="008F7A2D" w:rsidRPr="008F7A2D">
        <w:t xml:space="preserve"> identified as the lead contributors for providing the narrative for this section.</w:t>
      </w:r>
      <w:r w:rsidR="008F7A2D">
        <w:t xml:space="preserve"> </w:t>
      </w:r>
    </w:p>
    <w:p w14:paraId="112FA643" w14:textId="77777777" w:rsidR="008F7A2D" w:rsidRDefault="008F7A2D" w:rsidP="008F7A2D">
      <w:pPr>
        <w:pStyle w:val="ListParagraph"/>
        <w:ind w:left="0"/>
      </w:pPr>
    </w:p>
    <w:p w14:paraId="0DEA2360" w14:textId="386F4935" w:rsidR="008F7A2D" w:rsidRDefault="008F7A2D" w:rsidP="008F7A2D">
      <w:pPr>
        <w:pStyle w:val="ListParagraph"/>
        <w:ind w:left="0"/>
        <w:rPr>
          <w:b/>
        </w:rPr>
      </w:pPr>
      <w:r>
        <w:t>This section would have significant overlap with the considerations for Professional Support Services (PSS)</w:t>
      </w:r>
      <w:r w:rsidR="00525776">
        <w:t>. The options</w:t>
      </w:r>
      <w:r>
        <w:t xml:space="preserve"> for PSS </w:t>
      </w:r>
      <w:r w:rsidR="00525776">
        <w:t>structures could not be identified until after the options for an academic structure were known.</w:t>
      </w:r>
    </w:p>
    <w:p w14:paraId="5FF67B6E" w14:textId="77777777" w:rsidR="008F7A2D" w:rsidRPr="00614F67" w:rsidRDefault="008F7A2D" w:rsidP="008F0876">
      <w:pPr>
        <w:pStyle w:val="ListParagraph"/>
        <w:rPr>
          <w:b/>
        </w:rPr>
      </w:pPr>
    </w:p>
    <w:p w14:paraId="6882362D" w14:textId="77777777" w:rsidR="00614F67" w:rsidRDefault="00614F67" w:rsidP="00614F67">
      <w:pPr>
        <w:pStyle w:val="ListParagraph"/>
        <w:numPr>
          <w:ilvl w:val="1"/>
          <w:numId w:val="2"/>
        </w:numPr>
        <w:rPr>
          <w:b/>
        </w:rPr>
      </w:pPr>
      <w:r w:rsidRPr="00614F67">
        <w:rPr>
          <w:b/>
        </w:rPr>
        <w:t>Professional Support Services</w:t>
      </w:r>
    </w:p>
    <w:p w14:paraId="24C51B0C" w14:textId="104E14F3" w:rsidR="00525776" w:rsidRDefault="005B1919" w:rsidP="00525776">
      <w:r>
        <w:t>RD and AW</w:t>
      </w:r>
      <w:r w:rsidR="00525776">
        <w:rPr>
          <w:b/>
        </w:rPr>
        <w:t xml:space="preserve"> </w:t>
      </w:r>
      <w:r w:rsidR="00525776" w:rsidRPr="008F0876">
        <w:t>were ident</w:t>
      </w:r>
      <w:r w:rsidR="00525776">
        <w:t>ified as the lead contributors for providing the narrative for this section.</w:t>
      </w:r>
    </w:p>
    <w:p w14:paraId="20583A5E" w14:textId="4BEED748" w:rsidR="00525776" w:rsidRDefault="00836465" w:rsidP="00525776">
      <w:r>
        <w:t xml:space="preserve">It was agreed that alignment to SLP should be removed as the outcome will not be known until the </w:t>
      </w:r>
      <w:r w:rsidR="0085193A">
        <w:t>autumn</w:t>
      </w:r>
      <w:r>
        <w:t xml:space="preserve"> </w:t>
      </w:r>
      <w:r w:rsidR="0085193A">
        <w:t xml:space="preserve">2018 </w:t>
      </w:r>
      <w:r>
        <w:t>and therefore not in line with the timescales for this proposal. It should however consid</w:t>
      </w:r>
      <w:r w:rsidR="0085193A">
        <w:t>er SLP where</w:t>
      </w:r>
      <w:r>
        <w:t xml:space="preserve"> feasible. </w:t>
      </w:r>
    </w:p>
    <w:p w14:paraId="50576874" w14:textId="70578036" w:rsidR="00EA491F" w:rsidRPr="00836465" w:rsidRDefault="00EA491F" w:rsidP="00525776">
      <w:r>
        <w:t xml:space="preserve">As this section is dependent on all other sections of this proposal, in particular the ‘Structure and Management’, the first draft will only include details of current strengths and weaknesses and to provide a gap analysis. </w:t>
      </w:r>
    </w:p>
    <w:p w14:paraId="5437730D" w14:textId="77777777" w:rsidR="008F0876" w:rsidRDefault="008F0876" w:rsidP="008F0876">
      <w:pPr>
        <w:pStyle w:val="ListParagraph"/>
        <w:rPr>
          <w:b/>
        </w:rPr>
      </w:pPr>
    </w:p>
    <w:p w14:paraId="24C5BA5A" w14:textId="77777777" w:rsidR="0085193A" w:rsidRDefault="0085193A" w:rsidP="008F0876">
      <w:pPr>
        <w:pStyle w:val="ListParagraph"/>
        <w:rPr>
          <w:b/>
        </w:rPr>
      </w:pPr>
    </w:p>
    <w:p w14:paraId="508AD653" w14:textId="77777777" w:rsidR="0085193A" w:rsidRPr="008F0876" w:rsidRDefault="0085193A" w:rsidP="008F0876">
      <w:pPr>
        <w:pStyle w:val="ListParagraph"/>
        <w:rPr>
          <w:b/>
        </w:rPr>
      </w:pPr>
    </w:p>
    <w:p w14:paraId="22272EB4" w14:textId="77777777" w:rsidR="008F0876" w:rsidRPr="00614F67" w:rsidRDefault="008F0876" w:rsidP="008F0876">
      <w:pPr>
        <w:pStyle w:val="ListParagraph"/>
        <w:ind w:left="360"/>
        <w:rPr>
          <w:b/>
        </w:rPr>
      </w:pPr>
    </w:p>
    <w:p w14:paraId="6665519C" w14:textId="77777777" w:rsidR="00614F67" w:rsidRDefault="00614F67" w:rsidP="00614F67">
      <w:pPr>
        <w:pStyle w:val="ListParagraph"/>
        <w:numPr>
          <w:ilvl w:val="1"/>
          <w:numId w:val="2"/>
        </w:numPr>
        <w:rPr>
          <w:b/>
        </w:rPr>
      </w:pPr>
      <w:r w:rsidRPr="00614F67">
        <w:rPr>
          <w:b/>
        </w:rPr>
        <w:t>Finances</w:t>
      </w:r>
    </w:p>
    <w:p w14:paraId="67DE9B0A" w14:textId="2D68F8D7" w:rsidR="00EA491F" w:rsidRPr="00EA491F" w:rsidRDefault="00EA491F" w:rsidP="00EA491F">
      <w:r>
        <w:t xml:space="preserve">Nicola Smith will be asked to contribute to this section. Overviews of existing budgets and 5YP have already been provided. </w:t>
      </w:r>
    </w:p>
    <w:p w14:paraId="1DD4BD83" w14:textId="1736BE53" w:rsidR="00EA491F" w:rsidRDefault="00614F67" w:rsidP="00EA491F">
      <w:pPr>
        <w:pStyle w:val="ListParagraph"/>
        <w:numPr>
          <w:ilvl w:val="1"/>
          <w:numId w:val="2"/>
        </w:numPr>
        <w:rPr>
          <w:b/>
        </w:rPr>
      </w:pPr>
      <w:r w:rsidRPr="00614F67">
        <w:rPr>
          <w:b/>
        </w:rPr>
        <w:t>External branding</w:t>
      </w:r>
      <w:r w:rsidR="00EA491F">
        <w:rPr>
          <w:b/>
        </w:rPr>
        <w:t xml:space="preserve"> (to be renamed Reputation and external branding)</w:t>
      </w:r>
    </w:p>
    <w:p w14:paraId="2F1F0CB9" w14:textId="794D20DD" w:rsidR="00EA491F" w:rsidRDefault="00EA491F" w:rsidP="00EA491F">
      <w:r>
        <w:t>M</w:t>
      </w:r>
      <w:r w:rsidR="005B1919">
        <w:t>W</w:t>
      </w:r>
      <w:r>
        <w:t xml:space="preserve"> was </w:t>
      </w:r>
      <w:r w:rsidRPr="008F0876">
        <w:t>ident</w:t>
      </w:r>
      <w:r>
        <w:t>ified as the lead contributor for providing the narrative for this section</w:t>
      </w:r>
      <w:r w:rsidR="0085193A">
        <w:t>,</w:t>
      </w:r>
      <w:r>
        <w:t xml:space="preserve"> closely with working with Rachel Dodd, </w:t>
      </w:r>
      <w:r w:rsidR="00BD0BCC">
        <w:t xml:space="preserve">Alison Wilson, </w:t>
      </w:r>
      <w:r>
        <w:t>David Gadd and Georgina Waylen.</w:t>
      </w:r>
    </w:p>
    <w:p w14:paraId="2064468E" w14:textId="4BE618E1" w:rsidR="00BD0BCC" w:rsidRPr="00BD0BCC" w:rsidRDefault="00BD0BCC" w:rsidP="00EA491F">
      <w:r>
        <w:t>This section should also include competitor analysis including international comparisons.</w:t>
      </w:r>
    </w:p>
    <w:p w14:paraId="538E1317" w14:textId="77777777" w:rsidR="00C51C77" w:rsidRPr="00A2063D" w:rsidRDefault="00C51C77" w:rsidP="00614F67">
      <w:pPr>
        <w:pStyle w:val="ListParagraph"/>
        <w:rPr>
          <w:b/>
        </w:rPr>
      </w:pPr>
    </w:p>
    <w:p w14:paraId="6C0EA58A" w14:textId="49B6C4F0" w:rsidR="00CF4250" w:rsidRDefault="00614F67" w:rsidP="009C2416">
      <w:pPr>
        <w:pStyle w:val="ListParagraph"/>
        <w:numPr>
          <w:ilvl w:val="0"/>
          <w:numId w:val="2"/>
        </w:numPr>
        <w:rPr>
          <w:b/>
        </w:rPr>
      </w:pPr>
      <w:r>
        <w:rPr>
          <w:b/>
        </w:rPr>
        <w:t>Agree responsibility for key areas and timelines</w:t>
      </w:r>
    </w:p>
    <w:p w14:paraId="26AA38F9" w14:textId="2D944E19" w:rsidR="00387C3D" w:rsidRDefault="00BD0BCC" w:rsidP="00387C3D">
      <w:r>
        <w:t xml:space="preserve">All areas of responsibility were confirmed. </w:t>
      </w:r>
    </w:p>
    <w:p w14:paraId="17DDA875" w14:textId="6209AD00" w:rsidR="00BD0BCC" w:rsidRDefault="00BD0BCC" w:rsidP="00387C3D">
      <w:r>
        <w:t xml:space="preserve">The next Working Group meeting is scheduled for 25 June and a first draft for each section should be prepared for review at the meeting. All drafts to be sent to Lisa </w:t>
      </w:r>
      <w:proofErr w:type="spellStart"/>
      <w:r>
        <w:t>McClare</w:t>
      </w:r>
      <w:proofErr w:type="spellEnd"/>
      <w:r>
        <w:t xml:space="preserve"> for onward circulation</w:t>
      </w:r>
      <w:r w:rsidR="0085193A">
        <w:t xml:space="preserve"> by 19 June.</w:t>
      </w:r>
    </w:p>
    <w:p w14:paraId="1B993BEB" w14:textId="6B5877F4" w:rsidR="000E78F2" w:rsidRDefault="00614F67" w:rsidP="00387C3D">
      <w:pPr>
        <w:pStyle w:val="ListParagraph"/>
        <w:numPr>
          <w:ilvl w:val="0"/>
          <w:numId w:val="2"/>
        </w:numPr>
        <w:rPr>
          <w:b/>
        </w:rPr>
      </w:pPr>
      <w:r w:rsidRPr="00387C3D">
        <w:rPr>
          <w:b/>
        </w:rPr>
        <w:t>Any other business</w:t>
      </w:r>
    </w:p>
    <w:p w14:paraId="39287237" w14:textId="77777777" w:rsidR="00EB64BC" w:rsidRDefault="00EB64BC" w:rsidP="00EB64BC">
      <w:pPr>
        <w:pStyle w:val="ListParagraph"/>
        <w:ind w:left="360"/>
        <w:rPr>
          <w:b/>
        </w:rPr>
      </w:pPr>
    </w:p>
    <w:p w14:paraId="35BE56D1" w14:textId="4B70959C" w:rsidR="00EB64BC" w:rsidRPr="00EB64BC" w:rsidRDefault="00EB64BC" w:rsidP="00EB64BC">
      <w:pPr>
        <w:pStyle w:val="ListParagraph"/>
        <w:numPr>
          <w:ilvl w:val="1"/>
          <w:numId w:val="2"/>
        </w:numPr>
        <w:rPr>
          <w:b/>
        </w:rPr>
      </w:pPr>
      <w:r>
        <w:rPr>
          <w:b/>
        </w:rPr>
        <w:t>Engagement</w:t>
      </w:r>
    </w:p>
    <w:p w14:paraId="344F996A" w14:textId="3F697640" w:rsidR="00EB64BC" w:rsidRDefault="00EB64BC" w:rsidP="00EB64BC">
      <w:r>
        <w:t>Engagement with staff is paramount to understand concerns, for ideas to be shared and to generally keep staff informed.</w:t>
      </w:r>
    </w:p>
    <w:p w14:paraId="68536F08" w14:textId="154FD5DE" w:rsidR="00BC0211" w:rsidRDefault="00EB64BC" w:rsidP="00EB64BC">
      <w:r>
        <w:t xml:space="preserve">MW will lead on the engagement plan but needs all members of the Working Group to contribute. There are various modes of communication that will need to be considered including </w:t>
      </w:r>
      <w:proofErr w:type="spellStart"/>
      <w:r>
        <w:t>eNews</w:t>
      </w:r>
      <w:proofErr w:type="spellEnd"/>
      <w:r>
        <w:t xml:space="preserve">, Schools newsletters, face to face, 1-2-1, online forums, weekly updates and intranets. It was noted that some staff are feeling bombarded with information and in some areas they may want to only </w:t>
      </w:r>
      <w:r w:rsidR="00BC0211">
        <w:t>know where further information is if they want it.</w:t>
      </w:r>
      <w:r w:rsidR="00D056AF">
        <w:t xml:space="preserve"> </w:t>
      </w:r>
      <w:proofErr w:type="gramStart"/>
      <w:r w:rsidR="00D056AF">
        <w:t>Staff from both schools need</w:t>
      </w:r>
      <w:proofErr w:type="gramEnd"/>
      <w:r w:rsidR="00D056AF">
        <w:t xml:space="preserve"> to be able to access to the same information and timelines for distribution need to be aligned.</w:t>
      </w:r>
      <w:r w:rsidR="002F11CF">
        <w:t xml:space="preserve"> A generic email address will be set-up as another option for staff to engage. </w:t>
      </w:r>
    </w:p>
    <w:p w14:paraId="471303EE" w14:textId="0AF8554B" w:rsidR="00EB64BC" w:rsidRDefault="00BC0211" w:rsidP="00EB64BC">
      <w:r>
        <w:t>The next update to staff will communicate the members of the Working Group and the areas of consideration and who the points of contact are.</w:t>
      </w:r>
      <w:r w:rsidR="00EB64BC">
        <w:t xml:space="preserve"> </w:t>
      </w:r>
    </w:p>
    <w:p w14:paraId="0581221A" w14:textId="283ED6E2" w:rsidR="00BC0211" w:rsidRDefault="00D056AF" w:rsidP="00EB64BC">
      <w:r>
        <w:t xml:space="preserve">Staff feedback so far has asked for more detail regarding the rationale and the timescales. It was agreed that further progress on the proposal is required and then further details </w:t>
      </w:r>
      <w:r w:rsidR="0085193A">
        <w:t xml:space="preserve">can be shared </w:t>
      </w:r>
      <w:r>
        <w:t>with staff for their comments.</w:t>
      </w:r>
    </w:p>
    <w:p w14:paraId="6515FBD6" w14:textId="4CB77436" w:rsidR="00BC0211" w:rsidRDefault="00BC0211" w:rsidP="00BC0211">
      <w:r>
        <w:t xml:space="preserve">A consultation with Trade Unions is not necessary through this engagement period but they will need to be consulted if the proposal is agreed. </w:t>
      </w:r>
      <w:r w:rsidR="002F11CF">
        <w:t>Both Trade Unions and t</w:t>
      </w:r>
      <w:r>
        <w:t xml:space="preserve">he </w:t>
      </w:r>
      <w:r w:rsidR="002F11CF">
        <w:t>Students Union have already been contacted.</w:t>
      </w:r>
      <w:r>
        <w:t xml:space="preserve"> </w:t>
      </w:r>
      <w:r w:rsidR="002F11CF">
        <w:t>The Students Union has</w:t>
      </w:r>
      <w:r>
        <w:t xml:space="preserve"> stated that their engagement with the FSE review worked well and should be the basis of how it may be best to engage with this proposal in the future.</w:t>
      </w:r>
    </w:p>
    <w:p w14:paraId="6261F670" w14:textId="176B2FDD" w:rsidR="00BC0211" w:rsidRDefault="00BC0211" w:rsidP="00BC0211">
      <w:r>
        <w:t>KB will keep SLT informed at their weekly meetings.</w:t>
      </w:r>
    </w:p>
    <w:p w14:paraId="0617F313" w14:textId="5FD4E5CF" w:rsidR="00BC0211" w:rsidRDefault="00BC0211" w:rsidP="00BC0211">
      <w:r>
        <w:t>It is not expected that engagement with external stakeholders is required at this time.</w:t>
      </w:r>
    </w:p>
    <w:p w14:paraId="121C24B2" w14:textId="53E29BCD" w:rsidR="008B2C3B" w:rsidRDefault="008B2C3B" w:rsidP="00BC0211">
      <w:r>
        <w:lastRenderedPageBreak/>
        <w:t>It was recognised that there may be a need to amend the proposed timeline in response to engagement and feedback.</w:t>
      </w:r>
      <w:bookmarkStart w:id="0" w:name="_GoBack"/>
      <w:bookmarkEnd w:id="0"/>
    </w:p>
    <w:p w14:paraId="5FB27B13" w14:textId="77777777" w:rsidR="00EB64BC" w:rsidRDefault="00EB64BC" w:rsidP="00EB64BC"/>
    <w:p w14:paraId="0DC65593" w14:textId="77777777" w:rsidR="0085193A" w:rsidRDefault="0085193A" w:rsidP="00EB64BC"/>
    <w:p w14:paraId="0CCDA818" w14:textId="77777777" w:rsidR="0085193A" w:rsidRPr="00EB64BC" w:rsidRDefault="0085193A" w:rsidP="00EB64BC"/>
    <w:p w14:paraId="6753434B" w14:textId="47AFBC51" w:rsidR="008972FA" w:rsidRPr="00A2063D" w:rsidRDefault="00F110FD" w:rsidP="001E7AF3">
      <w:pPr>
        <w:pStyle w:val="ListParagraph"/>
        <w:numPr>
          <w:ilvl w:val="0"/>
          <w:numId w:val="2"/>
        </w:numPr>
        <w:rPr>
          <w:b/>
        </w:rPr>
      </w:pPr>
      <w:r w:rsidRPr="00A2063D">
        <w:rPr>
          <w:b/>
        </w:rPr>
        <w:t>Date</w:t>
      </w:r>
      <w:r w:rsidR="00C63569" w:rsidRPr="00A2063D">
        <w:rPr>
          <w:b/>
        </w:rPr>
        <w:t>s</w:t>
      </w:r>
      <w:r w:rsidRPr="00A2063D">
        <w:rPr>
          <w:b/>
        </w:rPr>
        <w:t xml:space="preserve"> of next meetings</w:t>
      </w:r>
    </w:p>
    <w:p w14:paraId="5C26E908" w14:textId="77777777" w:rsidR="00EB64BC" w:rsidRDefault="00EB64BC" w:rsidP="00EB64BC">
      <w:pPr>
        <w:spacing w:after="0"/>
        <w:jc w:val="both"/>
      </w:pPr>
      <w:r>
        <w:t>25 June                 15.00-17.00         Room A4, Sam Alex Building</w:t>
      </w:r>
    </w:p>
    <w:p w14:paraId="5BC6AE5F" w14:textId="77777777" w:rsidR="00EB64BC" w:rsidRDefault="00EB64BC" w:rsidP="00EB64BC">
      <w:pPr>
        <w:spacing w:after="0"/>
        <w:jc w:val="both"/>
      </w:pPr>
      <w:r>
        <w:t>9 July                     15.30-17.30         2nd floor boardrooms, Arthur Lewis Building</w:t>
      </w:r>
    </w:p>
    <w:p w14:paraId="4AED99EA" w14:textId="701C63E0" w:rsidR="00071DEE" w:rsidRDefault="00EB64BC" w:rsidP="00EB64BC">
      <w:pPr>
        <w:spacing w:after="0"/>
        <w:jc w:val="both"/>
      </w:pPr>
      <w:r>
        <w:t>23 July                   14.30-16.30         Room A4, Sam Alex Building</w:t>
      </w:r>
    </w:p>
    <w:p w14:paraId="7C3ACCF2" w14:textId="77777777" w:rsidR="00EB64BC" w:rsidRPr="00A2063D" w:rsidRDefault="00EB64BC" w:rsidP="00EB64BC">
      <w:pPr>
        <w:spacing w:after="0"/>
        <w:jc w:val="both"/>
      </w:pPr>
    </w:p>
    <w:p w14:paraId="0E226756" w14:textId="77777777" w:rsidR="00596119" w:rsidRPr="00A2063D" w:rsidRDefault="00596119" w:rsidP="00596119">
      <w:pPr>
        <w:rPr>
          <w:b/>
        </w:rPr>
      </w:pPr>
    </w:p>
    <w:p w14:paraId="58E2F594" w14:textId="0F8E4C18" w:rsidR="00596119" w:rsidRPr="00A2063D" w:rsidRDefault="008F0876" w:rsidP="00596119">
      <w:pPr>
        <w:pStyle w:val="ListParagraph"/>
        <w:ind w:left="360"/>
        <w:rPr>
          <w:b/>
        </w:rPr>
      </w:pPr>
      <w:r>
        <w:rPr>
          <w:b/>
        </w:rPr>
        <w:t>Summary of a</w:t>
      </w:r>
      <w:r w:rsidR="00596119" w:rsidRPr="00A2063D">
        <w:rPr>
          <w:b/>
        </w:rPr>
        <w:t>ctions</w:t>
      </w:r>
    </w:p>
    <w:tbl>
      <w:tblPr>
        <w:tblStyle w:val="TableGrid"/>
        <w:tblW w:w="0" w:type="auto"/>
        <w:tblInd w:w="0" w:type="dxa"/>
        <w:tblLook w:val="04A0" w:firstRow="1" w:lastRow="0" w:firstColumn="1" w:lastColumn="0" w:noHBand="0" w:noVBand="1"/>
      </w:tblPr>
      <w:tblGrid>
        <w:gridCol w:w="6062"/>
        <w:gridCol w:w="1701"/>
        <w:gridCol w:w="1479"/>
      </w:tblGrid>
      <w:tr w:rsidR="00596119" w:rsidRPr="00A2063D" w14:paraId="28917424" w14:textId="77777777" w:rsidTr="002D6444">
        <w:tc>
          <w:tcPr>
            <w:tcW w:w="6062" w:type="dxa"/>
            <w:shd w:val="clear" w:color="auto" w:fill="D9D9D9" w:themeFill="background1" w:themeFillShade="D9"/>
          </w:tcPr>
          <w:p w14:paraId="15F41678" w14:textId="77777777" w:rsidR="00596119" w:rsidRPr="00A2063D" w:rsidRDefault="00596119" w:rsidP="002D6444">
            <w:pPr>
              <w:rPr>
                <w:b/>
              </w:rPr>
            </w:pPr>
            <w:r w:rsidRPr="00A2063D">
              <w:rPr>
                <w:b/>
              </w:rPr>
              <w:t>Description</w:t>
            </w:r>
          </w:p>
        </w:tc>
        <w:tc>
          <w:tcPr>
            <w:tcW w:w="1701" w:type="dxa"/>
            <w:shd w:val="clear" w:color="auto" w:fill="D9D9D9" w:themeFill="background1" w:themeFillShade="D9"/>
          </w:tcPr>
          <w:p w14:paraId="500EBC0E" w14:textId="77777777" w:rsidR="00596119" w:rsidRPr="00A2063D" w:rsidRDefault="00596119" w:rsidP="002D6444">
            <w:pPr>
              <w:rPr>
                <w:b/>
              </w:rPr>
            </w:pPr>
            <w:r w:rsidRPr="00A2063D">
              <w:rPr>
                <w:b/>
              </w:rPr>
              <w:t>To be actioned by</w:t>
            </w:r>
          </w:p>
        </w:tc>
        <w:tc>
          <w:tcPr>
            <w:tcW w:w="1479" w:type="dxa"/>
            <w:shd w:val="clear" w:color="auto" w:fill="D9D9D9" w:themeFill="background1" w:themeFillShade="D9"/>
          </w:tcPr>
          <w:p w14:paraId="60514358" w14:textId="77777777" w:rsidR="00596119" w:rsidRPr="00A2063D" w:rsidRDefault="00596119" w:rsidP="002D6444">
            <w:pPr>
              <w:rPr>
                <w:b/>
              </w:rPr>
            </w:pPr>
            <w:r w:rsidRPr="00A2063D">
              <w:rPr>
                <w:b/>
              </w:rPr>
              <w:t>Date of action</w:t>
            </w:r>
          </w:p>
        </w:tc>
      </w:tr>
      <w:tr w:rsidR="00596119" w:rsidRPr="00A2063D" w14:paraId="54738DD7" w14:textId="77777777" w:rsidTr="002D6444">
        <w:tc>
          <w:tcPr>
            <w:tcW w:w="6062" w:type="dxa"/>
          </w:tcPr>
          <w:p w14:paraId="6F215581" w14:textId="79ABB196" w:rsidR="00596119" w:rsidRPr="00A2063D" w:rsidRDefault="00D056AF" w:rsidP="00F32F13">
            <w:proofErr w:type="spellStart"/>
            <w:r>
              <w:t>LMc</w:t>
            </w:r>
            <w:proofErr w:type="spellEnd"/>
            <w:r>
              <w:t xml:space="preserve"> to correct </w:t>
            </w:r>
            <w:proofErr w:type="spellStart"/>
            <w:r>
              <w:t>ToR</w:t>
            </w:r>
            <w:proofErr w:type="spellEnd"/>
            <w:r>
              <w:t xml:space="preserve"> with correct start and end dates for </w:t>
            </w:r>
            <w:proofErr w:type="spellStart"/>
            <w:r>
              <w:t>SoSS</w:t>
            </w:r>
            <w:proofErr w:type="spellEnd"/>
            <w:r>
              <w:t xml:space="preserve"> </w:t>
            </w:r>
            <w:proofErr w:type="spellStart"/>
            <w:r>
              <w:t>HoS</w:t>
            </w:r>
            <w:proofErr w:type="spellEnd"/>
          </w:p>
        </w:tc>
        <w:tc>
          <w:tcPr>
            <w:tcW w:w="1701" w:type="dxa"/>
          </w:tcPr>
          <w:p w14:paraId="6CDA1A31" w14:textId="08EC348E" w:rsidR="00596119" w:rsidRPr="00A2063D" w:rsidRDefault="00F32F13" w:rsidP="002D6444">
            <w:proofErr w:type="spellStart"/>
            <w:r>
              <w:t>LMc</w:t>
            </w:r>
            <w:proofErr w:type="spellEnd"/>
          </w:p>
        </w:tc>
        <w:tc>
          <w:tcPr>
            <w:tcW w:w="1479" w:type="dxa"/>
          </w:tcPr>
          <w:p w14:paraId="062BAC09" w14:textId="54BB5B3E" w:rsidR="00F32F13" w:rsidRPr="00A2063D" w:rsidRDefault="00F32F13" w:rsidP="002D6444">
            <w:r>
              <w:t>04/06/2018</w:t>
            </w:r>
          </w:p>
        </w:tc>
      </w:tr>
      <w:tr w:rsidR="005B1919" w:rsidRPr="00A2063D" w14:paraId="7932F0F1" w14:textId="77777777" w:rsidTr="002D6444">
        <w:tc>
          <w:tcPr>
            <w:tcW w:w="6062" w:type="dxa"/>
          </w:tcPr>
          <w:p w14:paraId="7F02E13A" w14:textId="2F93D0BB" w:rsidR="005B1919" w:rsidRPr="00A2063D" w:rsidRDefault="005B1919" w:rsidP="00F32F13">
            <w:proofErr w:type="spellStart"/>
            <w:r>
              <w:t>LMc</w:t>
            </w:r>
            <w:proofErr w:type="spellEnd"/>
            <w:r>
              <w:t xml:space="preserve"> to update ‘Areas of consideration summary paper’ with amendments and lead contributors.</w:t>
            </w:r>
          </w:p>
        </w:tc>
        <w:tc>
          <w:tcPr>
            <w:tcW w:w="1701" w:type="dxa"/>
          </w:tcPr>
          <w:p w14:paraId="2C87577F" w14:textId="683738F8" w:rsidR="005B1919" w:rsidRPr="00A2063D" w:rsidRDefault="005B1919" w:rsidP="002D6444">
            <w:proofErr w:type="spellStart"/>
            <w:r w:rsidRPr="00546D95">
              <w:t>LMc</w:t>
            </w:r>
            <w:proofErr w:type="spellEnd"/>
          </w:p>
        </w:tc>
        <w:tc>
          <w:tcPr>
            <w:tcW w:w="1479" w:type="dxa"/>
          </w:tcPr>
          <w:p w14:paraId="5F346C7D" w14:textId="3C2C3611" w:rsidR="005B1919" w:rsidRPr="00A2063D" w:rsidRDefault="005B1919" w:rsidP="002D6444">
            <w:r w:rsidRPr="00592074">
              <w:t>04/06/2018</w:t>
            </w:r>
          </w:p>
        </w:tc>
      </w:tr>
      <w:tr w:rsidR="005B1919" w:rsidRPr="00A2063D" w14:paraId="7431142F" w14:textId="77777777" w:rsidTr="002D6444">
        <w:tc>
          <w:tcPr>
            <w:tcW w:w="6062" w:type="dxa"/>
          </w:tcPr>
          <w:p w14:paraId="1DCA7F91" w14:textId="0CB4A35F" w:rsidR="005B1919" w:rsidRPr="00A2063D" w:rsidRDefault="005B1919" w:rsidP="00F32F13">
            <w:proofErr w:type="spellStart"/>
            <w:r>
              <w:t>LMc</w:t>
            </w:r>
            <w:proofErr w:type="spellEnd"/>
            <w:r>
              <w:t xml:space="preserve"> to share Chris Thornhill’s initial comments on research implications with CA</w:t>
            </w:r>
          </w:p>
        </w:tc>
        <w:tc>
          <w:tcPr>
            <w:tcW w:w="1701" w:type="dxa"/>
          </w:tcPr>
          <w:p w14:paraId="7C8C9D10" w14:textId="2991611B" w:rsidR="005B1919" w:rsidRPr="00A2063D" w:rsidRDefault="005B1919" w:rsidP="002D6444">
            <w:proofErr w:type="spellStart"/>
            <w:r w:rsidRPr="00546D95">
              <w:t>LMc</w:t>
            </w:r>
            <w:proofErr w:type="spellEnd"/>
          </w:p>
        </w:tc>
        <w:tc>
          <w:tcPr>
            <w:tcW w:w="1479" w:type="dxa"/>
          </w:tcPr>
          <w:p w14:paraId="39726247" w14:textId="0722FC00" w:rsidR="005B1919" w:rsidRPr="00A2063D" w:rsidRDefault="005B1919" w:rsidP="002D6444">
            <w:r w:rsidRPr="00592074">
              <w:t>04/06/2018</w:t>
            </w:r>
          </w:p>
        </w:tc>
      </w:tr>
      <w:tr w:rsidR="005B1919" w:rsidRPr="00985DB6" w14:paraId="6FE74428" w14:textId="77777777" w:rsidTr="00F32F13">
        <w:trPr>
          <w:trHeight w:val="508"/>
        </w:trPr>
        <w:tc>
          <w:tcPr>
            <w:tcW w:w="6062" w:type="dxa"/>
          </w:tcPr>
          <w:p w14:paraId="42E2D729" w14:textId="63D93195" w:rsidR="005B1919" w:rsidRPr="00A2063D" w:rsidRDefault="005B1919" w:rsidP="00F32F13">
            <w:proofErr w:type="spellStart"/>
            <w:r>
              <w:t>LMc</w:t>
            </w:r>
            <w:proofErr w:type="spellEnd"/>
            <w:r>
              <w:t xml:space="preserve"> to contact Helen Beebee and Graham Smith regarding input into Social Responsibility considerations.</w:t>
            </w:r>
          </w:p>
        </w:tc>
        <w:tc>
          <w:tcPr>
            <w:tcW w:w="1701" w:type="dxa"/>
          </w:tcPr>
          <w:p w14:paraId="13651EC2" w14:textId="49470893" w:rsidR="005B1919" w:rsidRPr="00A2063D" w:rsidRDefault="005B1919" w:rsidP="002D6444">
            <w:proofErr w:type="spellStart"/>
            <w:r w:rsidRPr="00546D95">
              <w:t>LMc</w:t>
            </w:r>
            <w:proofErr w:type="spellEnd"/>
          </w:p>
        </w:tc>
        <w:tc>
          <w:tcPr>
            <w:tcW w:w="1479" w:type="dxa"/>
          </w:tcPr>
          <w:p w14:paraId="2959AA4E" w14:textId="642A4CF6" w:rsidR="005B1919" w:rsidRPr="00A2063D" w:rsidRDefault="005B1919" w:rsidP="002D6444">
            <w:r w:rsidRPr="00592074">
              <w:t>04/06/2018</w:t>
            </w:r>
          </w:p>
        </w:tc>
      </w:tr>
      <w:tr w:rsidR="005B1919" w:rsidRPr="00985DB6" w14:paraId="10150565" w14:textId="77777777" w:rsidTr="005B35B0">
        <w:trPr>
          <w:trHeight w:val="182"/>
        </w:trPr>
        <w:tc>
          <w:tcPr>
            <w:tcW w:w="6062" w:type="dxa"/>
          </w:tcPr>
          <w:p w14:paraId="5064C4C9" w14:textId="4DAD42E9" w:rsidR="005B1919" w:rsidRDefault="005B1919" w:rsidP="00F32F13">
            <w:r>
              <w:t>MW to create generic email address for staff to send queries</w:t>
            </w:r>
          </w:p>
        </w:tc>
        <w:tc>
          <w:tcPr>
            <w:tcW w:w="1701" w:type="dxa"/>
          </w:tcPr>
          <w:p w14:paraId="44DE2D02" w14:textId="4520B8FB" w:rsidR="005B1919" w:rsidRDefault="005B1919" w:rsidP="002D6444">
            <w:r>
              <w:t>MW</w:t>
            </w:r>
          </w:p>
        </w:tc>
        <w:tc>
          <w:tcPr>
            <w:tcW w:w="1479" w:type="dxa"/>
          </w:tcPr>
          <w:p w14:paraId="1A718556" w14:textId="45D765B7" w:rsidR="005B1919" w:rsidRPr="00A2063D" w:rsidRDefault="005B1919" w:rsidP="002D6444">
            <w:r w:rsidRPr="00592074">
              <w:t>04/06/2018</w:t>
            </w:r>
          </w:p>
        </w:tc>
      </w:tr>
      <w:tr w:rsidR="005B1919" w:rsidRPr="00985DB6" w14:paraId="7E6DAA09" w14:textId="77777777" w:rsidTr="005B35B0">
        <w:trPr>
          <w:trHeight w:val="182"/>
        </w:trPr>
        <w:tc>
          <w:tcPr>
            <w:tcW w:w="6062" w:type="dxa"/>
          </w:tcPr>
          <w:p w14:paraId="117C9C4E" w14:textId="163B2C91" w:rsidR="005B1919" w:rsidRDefault="005B1919" w:rsidP="00F32F13">
            <w:r>
              <w:t>MW to draft engagement plan</w:t>
            </w:r>
          </w:p>
        </w:tc>
        <w:tc>
          <w:tcPr>
            <w:tcW w:w="1701" w:type="dxa"/>
          </w:tcPr>
          <w:p w14:paraId="7485210B" w14:textId="13655D43" w:rsidR="005B1919" w:rsidRDefault="005B1919" w:rsidP="002D6444">
            <w:r>
              <w:t>MW</w:t>
            </w:r>
          </w:p>
        </w:tc>
        <w:tc>
          <w:tcPr>
            <w:tcW w:w="1479" w:type="dxa"/>
          </w:tcPr>
          <w:p w14:paraId="3251927E" w14:textId="7365E9FB" w:rsidR="005B1919" w:rsidRPr="00A2063D" w:rsidRDefault="005B1919" w:rsidP="002D6444">
            <w:r w:rsidRPr="00592074">
              <w:t>04/06/2018</w:t>
            </w:r>
          </w:p>
        </w:tc>
      </w:tr>
      <w:tr w:rsidR="005B1919" w:rsidRPr="00985DB6" w14:paraId="355F3716" w14:textId="77777777" w:rsidTr="005B35B0">
        <w:trPr>
          <w:trHeight w:val="182"/>
        </w:trPr>
        <w:tc>
          <w:tcPr>
            <w:tcW w:w="6062" w:type="dxa"/>
          </w:tcPr>
          <w:p w14:paraId="5021194C" w14:textId="096E64C8" w:rsidR="005B1919" w:rsidRDefault="005B1919" w:rsidP="00F32F13">
            <w:r>
              <w:t xml:space="preserve">Requests for further information to be requested via </w:t>
            </w:r>
            <w:proofErr w:type="spellStart"/>
            <w:r>
              <w:t>LMc</w:t>
            </w:r>
            <w:proofErr w:type="spellEnd"/>
          </w:p>
        </w:tc>
        <w:tc>
          <w:tcPr>
            <w:tcW w:w="1701" w:type="dxa"/>
          </w:tcPr>
          <w:p w14:paraId="20D46662" w14:textId="32B79248" w:rsidR="005B1919" w:rsidRDefault="005B1919" w:rsidP="002D6444">
            <w:r>
              <w:t>All</w:t>
            </w:r>
          </w:p>
        </w:tc>
        <w:tc>
          <w:tcPr>
            <w:tcW w:w="1479" w:type="dxa"/>
          </w:tcPr>
          <w:p w14:paraId="0F68750D" w14:textId="27CE2D7C" w:rsidR="005B1919" w:rsidRPr="00A2063D" w:rsidRDefault="005B1919" w:rsidP="002D6444">
            <w:r w:rsidRPr="00592074">
              <w:t>04/06/2018</w:t>
            </w:r>
          </w:p>
        </w:tc>
      </w:tr>
      <w:tr w:rsidR="005B1919" w:rsidRPr="00985DB6" w14:paraId="3FAA2B80" w14:textId="77777777" w:rsidTr="005B35B0">
        <w:trPr>
          <w:trHeight w:val="182"/>
        </w:trPr>
        <w:tc>
          <w:tcPr>
            <w:tcW w:w="6062" w:type="dxa"/>
          </w:tcPr>
          <w:p w14:paraId="637714C9" w14:textId="27E89095" w:rsidR="005B1919" w:rsidRDefault="005B1919" w:rsidP="00F32F13">
            <w:r>
              <w:t xml:space="preserve">Details of feedback received to be sent to </w:t>
            </w:r>
            <w:proofErr w:type="spellStart"/>
            <w:r>
              <w:t>LMc</w:t>
            </w:r>
            <w:proofErr w:type="spellEnd"/>
            <w:r>
              <w:t xml:space="preserve"> for collation to identify any themes (to be sent to generic email address is available)</w:t>
            </w:r>
          </w:p>
        </w:tc>
        <w:tc>
          <w:tcPr>
            <w:tcW w:w="1701" w:type="dxa"/>
          </w:tcPr>
          <w:p w14:paraId="6A653CEE" w14:textId="1FFF7893" w:rsidR="005B1919" w:rsidRDefault="005B1919" w:rsidP="002D6444">
            <w:r>
              <w:t>All</w:t>
            </w:r>
          </w:p>
        </w:tc>
        <w:tc>
          <w:tcPr>
            <w:tcW w:w="1479" w:type="dxa"/>
          </w:tcPr>
          <w:p w14:paraId="48DF7577" w14:textId="2BB3A5B8" w:rsidR="005B1919" w:rsidRPr="00A2063D" w:rsidRDefault="005B1919" w:rsidP="002D6444">
            <w:r w:rsidRPr="00592074">
              <w:t>04/06/2018</w:t>
            </w:r>
          </w:p>
        </w:tc>
      </w:tr>
      <w:tr w:rsidR="005B1919" w:rsidRPr="00985DB6" w14:paraId="40DB2E90" w14:textId="77777777" w:rsidTr="005B35B0">
        <w:trPr>
          <w:trHeight w:val="182"/>
        </w:trPr>
        <w:tc>
          <w:tcPr>
            <w:tcW w:w="6062" w:type="dxa"/>
          </w:tcPr>
          <w:p w14:paraId="20D105C9" w14:textId="748A76E0" w:rsidR="005B1919" w:rsidRDefault="005B1919" w:rsidP="00F32F13">
            <w:r>
              <w:t xml:space="preserve">First draft of section narrative to be sent to </w:t>
            </w:r>
            <w:proofErr w:type="spellStart"/>
            <w:r>
              <w:t>LMc</w:t>
            </w:r>
            <w:proofErr w:type="spellEnd"/>
            <w:r>
              <w:t xml:space="preserve"> by 19 June</w:t>
            </w:r>
            <w:r w:rsidR="00DF50E9">
              <w:t xml:space="preserve"> (or Louise Feehily by close of play 20 June)</w:t>
            </w:r>
            <w:r>
              <w:t xml:space="preserve"> for review at Working Group meeting on 25 June</w:t>
            </w:r>
          </w:p>
        </w:tc>
        <w:tc>
          <w:tcPr>
            <w:tcW w:w="1701" w:type="dxa"/>
          </w:tcPr>
          <w:p w14:paraId="0DD7ABBE" w14:textId="47739DD0" w:rsidR="005B1919" w:rsidRDefault="005B1919" w:rsidP="002D6444">
            <w:r>
              <w:t>All</w:t>
            </w:r>
          </w:p>
        </w:tc>
        <w:tc>
          <w:tcPr>
            <w:tcW w:w="1479" w:type="dxa"/>
          </w:tcPr>
          <w:p w14:paraId="25E44296" w14:textId="25E95C1C" w:rsidR="005B1919" w:rsidRPr="00A2063D" w:rsidRDefault="005B1919" w:rsidP="002D6444">
            <w:r w:rsidRPr="00592074">
              <w:t>04/06/2018</w:t>
            </w:r>
          </w:p>
        </w:tc>
      </w:tr>
    </w:tbl>
    <w:p w14:paraId="4692DFE1" w14:textId="77777777" w:rsidR="00596119" w:rsidRDefault="00596119" w:rsidP="00596119"/>
    <w:p w14:paraId="41DFB667" w14:textId="4A0BA275" w:rsidR="008F0876" w:rsidRPr="00A2063D" w:rsidRDefault="008F0876" w:rsidP="008F0876">
      <w:pPr>
        <w:pStyle w:val="ListParagraph"/>
        <w:ind w:left="360"/>
        <w:rPr>
          <w:b/>
        </w:rPr>
      </w:pPr>
      <w:r w:rsidRPr="00A2063D">
        <w:rPr>
          <w:b/>
        </w:rPr>
        <w:t xml:space="preserve">Summary of </w:t>
      </w:r>
      <w:r>
        <w:rPr>
          <w:b/>
        </w:rPr>
        <w:t>decisions</w:t>
      </w:r>
    </w:p>
    <w:tbl>
      <w:tblPr>
        <w:tblStyle w:val="TableGrid"/>
        <w:tblW w:w="0" w:type="auto"/>
        <w:tblInd w:w="0" w:type="dxa"/>
        <w:tblLook w:val="04A0" w:firstRow="1" w:lastRow="0" w:firstColumn="1" w:lastColumn="0" w:noHBand="0" w:noVBand="1"/>
      </w:tblPr>
      <w:tblGrid>
        <w:gridCol w:w="7621"/>
        <w:gridCol w:w="1621"/>
      </w:tblGrid>
      <w:tr w:rsidR="005B1919" w:rsidRPr="00A2063D" w14:paraId="5BBF8D7E" w14:textId="292185AE" w:rsidTr="005B1919">
        <w:tc>
          <w:tcPr>
            <w:tcW w:w="7621" w:type="dxa"/>
            <w:shd w:val="clear" w:color="auto" w:fill="D9D9D9" w:themeFill="background1" w:themeFillShade="D9"/>
          </w:tcPr>
          <w:p w14:paraId="3E657232" w14:textId="77777777" w:rsidR="005B1919" w:rsidRPr="00A2063D" w:rsidRDefault="005B1919" w:rsidP="00A842F8">
            <w:pPr>
              <w:rPr>
                <w:b/>
              </w:rPr>
            </w:pPr>
            <w:r w:rsidRPr="00A2063D">
              <w:rPr>
                <w:b/>
              </w:rPr>
              <w:t>Description</w:t>
            </w:r>
          </w:p>
        </w:tc>
        <w:tc>
          <w:tcPr>
            <w:tcW w:w="1621" w:type="dxa"/>
            <w:shd w:val="clear" w:color="auto" w:fill="D9D9D9" w:themeFill="background1" w:themeFillShade="D9"/>
          </w:tcPr>
          <w:p w14:paraId="061226FA" w14:textId="4BEFA911" w:rsidR="005B1919" w:rsidRPr="00A2063D" w:rsidRDefault="005B1919" w:rsidP="00A842F8">
            <w:pPr>
              <w:rPr>
                <w:b/>
              </w:rPr>
            </w:pPr>
            <w:r>
              <w:rPr>
                <w:b/>
              </w:rPr>
              <w:t>Date of dec</w:t>
            </w:r>
            <w:r w:rsidR="00FE610C">
              <w:rPr>
                <w:b/>
              </w:rPr>
              <w:t>i</w:t>
            </w:r>
            <w:r>
              <w:rPr>
                <w:b/>
              </w:rPr>
              <w:t>sion</w:t>
            </w:r>
          </w:p>
        </w:tc>
      </w:tr>
      <w:tr w:rsidR="005B1919" w:rsidRPr="00A2063D" w14:paraId="450FA298" w14:textId="016DF23B" w:rsidTr="005B1919">
        <w:tc>
          <w:tcPr>
            <w:tcW w:w="7621" w:type="dxa"/>
          </w:tcPr>
          <w:p w14:paraId="5EA3FD74" w14:textId="009EF1C6" w:rsidR="005B1919" w:rsidRPr="00A2063D" w:rsidRDefault="005B1919" w:rsidP="00A842F8">
            <w:pPr>
              <w:jc w:val="both"/>
            </w:pPr>
            <w:r w:rsidRPr="005B1919">
              <w:t>CT and CA were</w:t>
            </w:r>
            <w:r>
              <w:t xml:space="preserve"> identified as lead contributors for research</w:t>
            </w:r>
          </w:p>
        </w:tc>
        <w:tc>
          <w:tcPr>
            <w:tcW w:w="1621" w:type="dxa"/>
          </w:tcPr>
          <w:p w14:paraId="71F277C1" w14:textId="0489BCCF" w:rsidR="005B1919" w:rsidRPr="005B1919" w:rsidRDefault="005B1919" w:rsidP="00A842F8">
            <w:pPr>
              <w:jc w:val="both"/>
            </w:pPr>
            <w:r w:rsidRPr="00856D70">
              <w:t>04/06/2018</w:t>
            </w:r>
          </w:p>
        </w:tc>
      </w:tr>
      <w:tr w:rsidR="005B1919" w:rsidRPr="00A2063D" w14:paraId="42996636" w14:textId="7DE91B66" w:rsidTr="005B1919">
        <w:tc>
          <w:tcPr>
            <w:tcW w:w="7621" w:type="dxa"/>
          </w:tcPr>
          <w:p w14:paraId="03DD736B" w14:textId="12CB18C8" w:rsidR="005B1919" w:rsidRPr="00A2063D" w:rsidRDefault="005B1919" w:rsidP="00A842F8">
            <w:pPr>
              <w:jc w:val="both"/>
            </w:pPr>
            <w:r w:rsidRPr="005B1919">
              <w:t>CM and KC</w:t>
            </w:r>
            <w:r>
              <w:t xml:space="preserve"> were identified as lead contributors for T&amp;L</w:t>
            </w:r>
          </w:p>
        </w:tc>
        <w:tc>
          <w:tcPr>
            <w:tcW w:w="1621" w:type="dxa"/>
          </w:tcPr>
          <w:p w14:paraId="72CD2032" w14:textId="331D0760" w:rsidR="005B1919" w:rsidRPr="005B1919" w:rsidRDefault="005B1919" w:rsidP="00A842F8">
            <w:pPr>
              <w:jc w:val="both"/>
            </w:pPr>
            <w:r w:rsidRPr="00856D70">
              <w:t>04/06/2018</w:t>
            </w:r>
          </w:p>
        </w:tc>
      </w:tr>
      <w:tr w:rsidR="005B1919" w:rsidRPr="00A2063D" w14:paraId="0A56007C" w14:textId="42592004" w:rsidTr="005B1919">
        <w:tc>
          <w:tcPr>
            <w:tcW w:w="7621" w:type="dxa"/>
          </w:tcPr>
          <w:p w14:paraId="11F2FF4F" w14:textId="0C806F27" w:rsidR="005B1919" w:rsidRPr="00A2063D" w:rsidRDefault="005B1919" w:rsidP="00A842F8">
            <w:pPr>
              <w:jc w:val="both"/>
            </w:pPr>
            <w:r w:rsidRPr="005B1919">
              <w:t>TS and CO were identified as the lead contributors</w:t>
            </w:r>
            <w:r>
              <w:t xml:space="preserve"> for structure and management</w:t>
            </w:r>
          </w:p>
        </w:tc>
        <w:tc>
          <w:tcPr>
            <w:tcW w:w="1621" w:type="dxa"/>
          </w:tcPr>
          <w:p w14:paraId="702E0B0C" w14:textId="7BB0ADDC" w:rsidR="005B1919" w:rsidRPr="005B1919" w:rsidRDefault="005B1919" w:rsidP="00A842F8">
            <w:pPr>
              <w:jc w:val="both"/>
            </w:pPr>
            <w:r w:rsidRPr="00856D70">
              <w:t>04/06/2018</w:t>
            </w:r>
          </w:p>
        </w:tc>
      </w:tr>
      <w:tr w:rsidR="005B1919" w:rsidRPr="00985DB6" w14:paraId="3114E329" w14:textId="316AC425" w:rsidTr="005B1919">
        <w:trPr>
          <w:trHeight w:val="182"/>
        </w:trPr>
        <w:tc>
          <w:tcPr>
            <w:tcW w:w="7621" w:type="dxa"/>
          </w:tcPr>
          <w:p w14:paraId="205D417B" w14:textId="35E2A18E" w:rsidR="005B1919" w:rsidRPr="00A2063D" w:rsidRDefault="005B1919" w:rsidP="00A842F8">
            <w:pPr>
              <w:jc w:val="both"/>
            </w:pPr>
            <w:r w:rsidRPr="005B1919">
              <w:t>RD and AW were identified as the lead contributors</w:t>
            </w:r>
            <w:r>
              <w:t xml:space="preserve"> for PSS</w:t>
            </w:r>
          </w:p>
        </w:tc>
        <w:tc>
          <w:tcPr>
            <w:tcW w:w="1621" w:type="dxa"/>
          </w:tcPr>
          <w:p w14:paraId="67F391C9" w14:textId="440AD5C5" w:rsidR="005B1919" w:rsidRPr="005B1919" w:rsidRDefault="005B1919" w:rsidP="00A842F8">
            <w:pPr>
              <w:jc w:val="both"/>
            </w:pPr>
            <w:r w:rsidRPr="00856D70">
              <w:t>04/06/2018</w:t>
            </w:r>
          </w:p>
        </w:tc>
      </w:tr>
      <w:tr w:rsidR="005B1919" w:rsidRPr="00985DB6" w14:paraId="7436FBA0" w14:textId="062CBDC4" w:rsidTr="005B1919">
        <w:trPr>
          <w:trHeight w:val="182"/>
        </w:trPr>
        <w:tc>
          <w:tcPr>
            <w:tcW w:w="7621" w:type="dxa"/>
          </w:tcPr>
          <w:p w14:paraId="095B596A" w14:textId="5CD789BE" w:rsidR="005B1919" w:rsidRDefault="005B1919" w:rsidP="00A842F8">
            <w:pPr>
              <w:jc w:val="both"/>
            </w:pPr>
            <w:r w:rsidRPr="005B1919">
              <w:t>Nicola Smith will be asked to contribute to</w:t>
            </w:r>
            <w:r>
              <w:t xml:space="preserve"> the finance section</w:t>
            </w:r>
          </w:p>
        </w:tc>
        <w:tc>
          <w:tcPr>
            <w:tcW w:w="1621" w:type="dxa"/>
          </w:tcPr>
          <w:p w14:paraId="7D78B156" w14:textId="6EB7C25A" w:rsidR="005B1919" w:rsidRPr="005B1919" w:rsidRDefault="005B1919" w:rsidP="00A842F8">
            <w:pPr>
              <w:jc w:val="both"/>
            </w:pPr>
            <w:r w:rsidRPr="00856D70">
              <w:t>04/06/2018</w:t>
            </w:r>
          </w:p>
        </w:tc>
      </w:tr>
      <w:tr w:rsidR="005B1919" w:rsidRPr="00985DB6" w14:paraId="6AE9CEA7" w14:textId="1A3825BB" w:rsidTr="005B1919">
        <w:trPr>
          <w:trHeight w:val="182"/>
        </w:trPr>
        <w:tc>
          <w:tcPr>
            <w:tcW w:w="7621" w:type="dxa"/>
          </w:tcPr>
          <w:p w14:paraId="7C600FB3" w14:textId="4C34AD0D" w:rsidR="005B1919" w:rsidRDefault="005B1919" w:rsidP="00A842F8">
            <w:pPr>
              <w:jc w:val="both"/>
            </w:pPr>
            <w:r w:rsidRPr="005B1919">
              <w:t>MW was ide</w:t>
            </w:r>
            <w:r>
              <w:t>ntified as the lead contributor for reputation and external branding</w:t>
            </w:r>
          </w:p>
        </w:tc>
        <w:tc>
          <w:tcPr>
            <w:tcW w:w="1621" w:type="dxa"/>
          </w:tcPr>
          <w:p w14:paraId="770C4994" w14:textId="1AA7E418" w:rsidR="005B1919" w:rsidRPr="005B1919" w:rsidRDefault="005B1919" w:rsidP="00A842F8">
            <w:pPr>
              <w:jc w:val="both"/>
            </w:pPr>
            <w:r w:rsidRPr="00856D70">
              <w:t>04/06/2018</w:t>
            </w:r>
          </w:p>
        </w:tc>
      </w:tr>
    </w:tbl>
    <w:p w14:paraId="39C130DF" w14:textId="77777777" w:rsidR="008F0876" w:rsidRDefault="008F0876" w:rsidP="008F0876"/>
    <w:p w14:paraId="3AE772C5" w14:textId="77777777" w:rsidR="006F1CB4" w:rsidRDefault="006F1CB4" w:rsidP="00596119"/>
    <w:sectPr w:rsidR="006F1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184"/>
    <w:multiLevelType w:val="hybridMultilevel"/>
    <w:tmpl w:val="6D386F98"/>
    <w:lvl w:ilvl="0" w:tplc="A08490C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96765"/>
    <w:multiLevelType w:val="hybridMultilevel"/>
    <w:tmpl w:val="35926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679C0"/>
    <w:multiLevelType w:val="hybridMultilevel"/>
    <w:tmpl w:val="91BC4B9C"/>
    <w:lvl w:ilvl="0" w:tplc="E216EE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F44882"/>
    <w:multiLevelType w:val="hybridMultilevel"/>
    <w:tmpl w:val="D5906FCE"/>
    <w:lvl w:ilvl="0" w:tplc="A274E6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8A76F2"/>
    <w:multiLevelType w:val="hybridMultilevel"/>
    <w:tmpl w:val="85047B74"/>
    <w:lvl w:ilvl="0" w:tplc="FB5205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86EC3"/>
    <w:multiLevelType w:val="hybridMultilevel"/>
    <w:tmpl w:val="A4003250"/>
    <w:lvl w:ilvl="0" w:tplc="E216EE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21303B"/>
    <w:multiLevelType w:val="hybridMultilevel"/>
    <w:tmpl w:val="424475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3B5A7A"/>
    <w:multiLevelType w:val="hybridMultilevel"/>
    <w:tmpl w:val="94921104"/>
    <w:lvl w:ilvl="0" w:tplc="3EFCC8B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B735D"/>
    <w:multiLevelType w:val="hybridMultilevel"/>
    <w:tmpl w:val="BFFCB666"/>
    <w:lvl w:ilvl="0" w:tplc="35BE491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CF2358"/>
    <w:multiLevelType w:val="hybridMultilevel"/>
    <w:tmpl w:val="5BA2B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34535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7711FD1"/>
    <w:multiLevelType w:val="hybridMultilevel"/>
    <w:tmpl w:val="7B4CB3AE"/>
    <w:lvl w:ilvl="0" w:tplc="0F9AC8A2">
      <w:numFmt w:val="bullet"/>
      <w:lvlText w:val="-"/>
      <w:lvlJc w:val="left"/>
      <w:pPr>
        <w:ind w:left="720" w:hanging="360"/>
      </w:pPr>
      <w:rPr>
        <w:rFonts w:ascii="Calibri" w:eastAsiaTheme="minorHAnsi" w:hAnsi="Calibri"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3173F4"/>
    <w:multiLevelType w:val="hybridMultilevel"/>
    <w:tmpl w:val="9BD84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B37AB7"/>
    <w:multiLevelType w:val="hybridMultilevel"/>
    <w:tmpl w:val="7C3C7412"/>
    <w:lvl w:ilvl="0" w:tplc="31E8EC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FE37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E1267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E201DE"/>
    <w:multiLevelType w:val="hybridMultilevel"/>
    <w:tmpl w:val="A68A76EA"/>
    <w:lvl w:ilvl="0" w:tplc="4F6C34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213EE"/>
    <w:multiLevelType w:val="hybridMultilevel"/>
    <w:tmpl w:val="8B0850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6C7101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687812"/>
    <w:multiLevelType w:val="hybridMultilevel"/>
    <w:tmpl w:val="FB00F584"/>
    <w:lvl w:ilvl="0" w:tplc="02DE6B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34377"/>
    <w:multiLevelType w:val="hybridMultilevel"/>
    <w:tmpl w:val="E9982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A7736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132095E"/>
    <w:multiLevelType w:val="hybridMultilevel"/>
    <w:tmpl w:val="A93AB1AE"/>
    <w:lvl w:ilvl="0" w:tplc="59F461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FD1496"/>
    <w:multiLevelType w:val="hybridMultilevel"/>
    <w:tmpl w:val="97AE97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CA7408"/>
    <w:multiLevelType w:val="hybridMultilevel"/>
    <w:tmpl w:val="61A08D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8"/>
  </w:num>
  <w:num w:numId="3">
    <w:abstractNumId w:val="5"/>
  </w:num>
  <w:num w:numId="4">
    <w:abstractNumId w:val="2"/>
  </w:num>
  <w:num w:numId="5">
    <w:abstractNumId w:val="12"/>
  </w:num>
  <w:num w:numId="6">
    <w:abstractNumId w:val="9"/>
  </w:num>
  <w:num w:numId="7">
    <w:abstractNumId w:val="6"/>
  </w:num>
  <w:num w:numId="8">
    <w:abstractNumId w:val="22"/>
  </w:num>
  <w:num w:numId="9">
    <w:abstractNumId w:val="16"/>
  </w:num>
  <w:num w:numId="10">
    <w:abstractNumId w:val="0"/>
  </w:num>
  <w:num w:numId="11">
    <w:abstractNumId w:val="20"/>
  </w:num>
  <w:num w:numId="12">
    <w:abstractNumId w:val="3"/>
  </w:num>
  <w:num w:numId="13">
    <w:abstractNumId w:val="8"/>
  </w:num>
  <w:num w:numId="14">
    <w:abstractNumId w:val="23"/>
  </w:num>
  <w:num w:numId="15">
    <w:abstractNumId w:val="13"/>
  </w:num>
  <w:num w:numId="16">
    <w:abstractNumId w:val="17"/>
  </w:num>
  <w:num w:numId="17">
    <w:abstractNumId w:val="1"/>
  </w:num>
  <w:num w:numId="18">
    <w:abstractNumId w:val="11"/>
  </w:num>
  <w:num w:numId="19">
    <w:abstractNumId w:val="19"/>
  </w:num>
  <w:num w:numId="20">
    <w:abstractNumId w:val="7"/>
  </w:num>
  <w:num w:numId="21">
    <w:abstractNumId w:val="24"/>
  </w:num>
  <w:num w:numId="22">
    <w:abstractNumId w:val="4"/>
  </w:num>
  <w:num w:numId="23">
    <w:abstractNumId w:val="15"/>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50"/>
    <w:rsid w:val="000034EA"/>
    <w:rsid w:val="000047D3"/>
    <w:rsid w:val="00004F27"/>
    <w:rsid w:val="00010E64"/>
    <w:rsid w:val="00013388"/>
    <w:rsid w:val="00024FA5"/>
    <w:rsid w:val="0002748B"/>
    <w:rsid w:val="00036746"/>
    <w:rsid w:val="0004193D"/>
    <w:rsid w:val="000425DF"/>
    <w:rsid w:val="00053DBA"/>
    <w:rsid w:val="0006178E"/>
    <w:rsid w:val="000620AB"/>
    <w:rsid w:val="00063698"/>
    <w:rsid w:val="00066728"/>
    <w:rsid w:val="00067BD3"/>
    <w:rsid w:val="00067DA0"/>
    <w:rsid w:val="00070A6A"/>
    <w:rsid w:val="00071DEE"/>
    <w:rsid w:val="00071EF1"/>
    <w:rsid w:val="000740E1"/>
    <w:rsid w:val="000812CD"/>
    <w:rsid w:val="000833E2"/>
    <w:rsid w:val="000837D7"/>
    <w:rsid w:val="00096C82"/>
    <w:rsid w:val="000A0AEE"/>
    <w:rsid w:val="000A7B26"/>
    <w:rsid w:val="000B4D5F"/>
    <w:rsid w:val="000B54CC"/>
    <w:rsid w:val="000C7109"/>
    <w:rsid w:val="000D1FB6"/>
    <w:rsid w:val="000D2EFB"/>
    <w:rsid w:val="000E27BF"/>
    <w:rsid w:val="000E6A21"/>
    <w:rsid w:val="000E78F2"/>
    <w:rsid w:val="000F2B2D"/>
    <w:rsid w:val="000F2DF9"/>
    <w:rsid w:val="000F466F"/>
    <w:rsid w:val="000F4D68"/>
    <w:rsid w:val="000F6E9B"/>
    <w:rsid w:val="000F7B94"/>
    <w:rsid w:val="00104CDD"/>
    <w:rsid w:val="00105EE7"/>
    <w:rsid w:val="001065C8"/>
    <w:rsid w:val="00106936"/>
    <w:rsid w:val="00106F14"/>
    <w:rsid w:val="00107FA4"/>
    <w:rsid w:val="00111BF6"/>
    <w:rsid w:val="00114DA4"/>
    <w:rsid w:val="001327F5"/>
    <w:rsid w:val="001331AC"/>
    <w:rsid w:val="00133BE8"/>
    <w:rsid w:val="001345A0"/>
    <w:rsid w:val="00142D16"/>
    <w:rsid w:val="001446FF"/>
    <w:rsid w:val="00150CA6"/>
    <w:rsid w:val="00153D5F"/>
    <w:rsid w:val="00156071"/>
    <w:rsid w:val="0015711A"/>
    <w:rsid w:val="00160767"/>
    <w:rsid w:val="00161576"/>
    <w:rsid w:val="00163EE2"/>
    <w:rsid w:val="0016658C"/>
    <w:rsid w:val="0017021D"/>
    <w:rsid w:val="00170C29"/>
    <w:rsid w:val="00171B62"/>
    <w:rsid w:val="00174F71"/>
    <w:rsid w:val="00175DB5"/>
    <w:rsid w:val="00176440"/>
    <w:rsid w:val="00182C18"/>
    <w:rsid w:val="001877E5"/>
    <w:rsid w:val="001930B0"/>
    <w:rsid w:val="00197F05"/>
    <w:rsid w:val="00197F7B"/>
    <w:rsid w:val="001A3420"/>
    <w:rsid w:val="001A5C3D"/>
    <w:rsid w:val="001A6CD7"/>
    <w:rsid w:val="001B79C7"/>
    <w:rsid w:val="001C2E56"/>
    <w:rsid w:val="001C3062"/>
    <w:rsid w:val="001C534F"/>
    <w:rsid w:val="001C6825"/>
    <w:rsid w:val="001D50A9"/>
    <w:rsid w:val="001E071C"/>
    <w:rsid w:val="001E32EB"/>
    <w:rsid w:val="001E7AF3"/>
    <w:rsid w:val="001E7D25"/>
    <w:rsid w:val="001F4D12"/>
    <w:rsid w:val="002007E6"/>
    <w:rsid w:val="002063B4"/>
    <w:rsid w:val="00217A43"/>
    <w:rsid w:val="00227EE2"/>
    <w:rsid w:val="002303B3"/>
    <w:rsid w:val="0023193C"/>
    <w:rsid w:val="00234290"/>
    <w:rsid w:val="002354B6"/>
    <w:rsid w:val="002402A7"/>
    <w:rsid w:val="00246119"/>
    <w:rsid w:val="00250B90"/>
    <w:rsid w:val="0026325D"/>
    <w:rsid w:val="00266D65"/>
    <w:rsid w:val="0027058B"/>
    <w:rsid w:val="00270B1E"/>
    <w:rsid w:val="002714C9"/>
    <w:rsid w:val="0027479C"/>
    <w:rsid w:val="00281136"/>
    <w:rsid w:val="00293836"/>
    <w:rsid w:val="002B1DE8"/>
    <w:rsid w:val="002B41FA"/>
    <w:rsid w:val="002B5522"/>
    <w:rsid w:val="002B5656"/>
    <w:rsid w:val="002B74D1"/>
    <w:rsid w:val="002B76B1"/>
    <w:rsid w:val="002C1C9C"/>
    <w:rsid w:val="002C3B47"/>
    <w:rsid w:val="002D334E"/>
    <w:rsid w:val="002D58D5"/>
    <w:rsid w:val="002D64E4"/>
    <w:rsid w:val="002E1B60"/>
    <w:rsid w:val="002E2D9B"/>
    <w:rsid w:val="002E4C28"/>
    <w:rsid w:val="002E59E7"/>
    <w:rsid w:val="002E6B23"/>
    <w:rsid w:val="002E6CC7"/>
    <w:rsid w:val="002F11CF"/>
    <w:rsid w:val="002F1EDF"/>
    <w:rsid w:val="002F2726"/>
    <w:rsid w:val="002F4FB2"/>
    <w:rsid w:val="002F6C8E"/>
    <w:rsid w:val="002F741D"/>
    <w:rsid w:val="00301E63"/>
    <w:rsid w:val="00304139"/>
    <w:rsid w:val="0030764B"/>
    <w:rsid w:val="00310AFD"/>
    <w:rsid w:val="003112DD"/>
    <w:rsid w:val="00324627"/>
    <w:rsid w:val="00327B1F"/>
    <w:rsid w:val="003335CB"/>
    <w:rsid w:val="0034142F"/>
    <w:rsid w:val="003453DD"/>
    <w:rsid w:val="00346E61"/>
    <w:rsid w:val="003538CE"/>
    <w:rsid w:val="003569D6"/>
    <w:rsid w:val="0035745B"/>
    <w:rsid w:val="00361D85"/>
    <w:rsid w:val="00366400"/>
    <w:rsid w:val="003822F5"/>
    <w:rsid w:val="00387C3D"/>
    <w:rsid w:val="003904D3"/>
    <w:rsid w:val="00390C50"/>
    <w:rsid w:val="0039195C"/>
    <w:rsid w:val="00391FC0"/>
    <w:rsid w:val="00394BBD"/>
    <w:rsid w:val="0039672E"/>
    <w:rsid w:val="00397536"/>
    <w:rsid w:val="003A558D"/>
    <w:rsid w:val="003A5B55"/>
    <w:rsid w:val="003A639B"/>
    <w:rsid w:val="003B0C30"/>
    <w:rsid w:val="003B3B6A"/>
    <w:rsid w:val="003B590E"/>
    <w:rsid w:val="003B610F"/>
    <w:rsid w:val="003B65E6"/>
    <w:rsid w:val="003C5392"/>
    <w:rsid w:val="003C7138"/>
    <w:rsid w:val="003D619F"/>
    <w:rsid w:val="003D737C"/>
    <w:rsid w:val="003E04BC"/>
    <w:rsid w:val="003E1C1F"/>
    <w:rsid w:val="003E5AB3"/>
    <w:rsid w:val="003E6953"/>
    <w:rsid w:val="003F0685"/>
    <w:rsid w:val="003F2888"/>
    <w:rsid w:val="003F5626"/>
    <w:rsid w:val="004056B9"/>
    <w:rsid w:val="004205A9"/>
    <w:rsid w:val="0042326F"/>
    <w:rsid w:val="0042450B"/>
    <w:rsid w:val="0042583B"/>
    <w:rsid w:val="00433E3C"/>
    <w:rsid w:val="004345CE"/>
    <w:rsid w:val="00434A36"/>
    <w:rsid w:val="004354CB"/>
    <w:rsid w:val="00440766"/>
    <w:rsid w:val="00442B44"/>
    <w:rsid w:val="00444365"/>
    <w:rsid w:val="00444A9C"/>
    <w:rsid w:val="004501E8"/>
    <w:rsid w:val="0045073D"/>
    <w:rsid w:val="004530BF"/>
    <w:rsid w:val="00453BEB"/>
    <w:rsid w:val="00454238"/>
    <w:rsid w:val="00457409"/>
    <w:rsid w:val="00462B44"/>
    <w:rsid w:val="004640A8"/>
    <w:rsid w:val="00466B92"/>
    <w:rsid w:val="00474B61"/>
    <w:rsid w:val="00480AC0"/>
    <w:rsid w:val="00482A13"/>
    <w:rsid w:val="00495928"/>
    <w:rsid w:val="00496235"/>
    <w:rsid w:val="00496A2D"/>
    <w:rsid w:val="004A7A1D"/>
    <w:rsid w:val="004B161A"/>
    <w:rsid w:val="004B556C"/>
    <w:rsid w:val="004C315D"/>
    <w:rsid w:val="004D504E"/>
    <w:rsid w:val="004E25B5"/>
    <w:rsid w:val="004E564D"/>
    <w:rsid w:val="004F3CE8"/>
    <w:rsid w:val="004F67B9"/>
    <w:rsid w:val="005019AE"/>
    <w:rsid w:val="00506702"/>
    <w:rsid w:val="0050715C"/>
    <w:rsid w:val="00510210"/>
    <w:rsid w:val="00524C48"/>
    <w:rsid w:val="00525776"/>
    <w:rsid w:val="00533DDB"/>
    <w:rsid w:val="00535BA1"/>
    <w:rsid w:val="00536593"/>
    <w:rsid w:val="00540803"/>
    <w:rsid w:val="00541796"/>
    <w:rsid w:val="00541C13"/>
    <w:rsid w:val="0054203D"/>
    <w:rsid w:val="005453C4"/>
    <w:rsid w:val="00546E1A"/>
    <w:rsid w:val="005508AA"/>
    <w:rsid w:val="00551F2F"/>
    <w:rsid w:val="0055465B"/>
    <w:rsid w:val="005550B9"/>
    <w:rsid w:val="00555E61"/>
    <w:rsid w:val="00560CCC"/>
    <w:rsid w:val="00564F9B"/>
    <w:rsid w:val="005700EE"/>
    <w:rsid w:val="005711E6"/>
    <w:rsid w:val="005713E3"/>
    <w:rsid w:val="00574DFE"/>
    <w:rsid w:val="005756B1"/>
    <w:rsid w:val="00575CED"/>
    <w:rsid w:val="00575E3F"/>
    <w:rsid w:val="005810F8"/>
    <w:rsid w:val="005838EE"/>
    <w:rsid w:val="00583FE1"/>
    <w:rsid w:val="0059015F"/>
    <w:rsid w:val="00592309"/>
    <w:rsid w:val="00596119"/>
    <w:rsid w:val="005A2170"/>
    <w:rsid w:val="005A3A9E"/>
    <w:rsid w:val="005A71C6"/>
    <w:rsid w:val="005B1919"/>
    <w:rsid w:val="005B35B0"/>
    <w:rsid w:val="005B49E8"/>
    <w:rsid w:val="005B7B4F"/>
    <w:rsid w:val="005C165C"/>
    <w:rsid w:val="005C5CF4"/>
    <w:rsid w:val="005C6107"/>
    <w:rsid w:val="005D05AF"/>
    <w:rsid w:val="005D0A79"/>
    <w:rsid w:val="005D2A46"/>
    <w:rsid w:val="005D313F"/>
    <w:rsid w:val="005D4174"/>
    <w:rsid w:val="005D4C97"/>
    <w:rsid w:val="005E2A8E"/>
    <w:rsid w:val="005E4497"/>
    <w:rsid w:val="005E4573"/>
    <w:rsid w:val="005E50EA"/>
    <w:rsid w:val="005E7070"/>
    <w:rsid w:val="005F0142"/>
    <w:rsid w:val="005F6361"/>
    <w:rsid w:val="005F79F3"/>
    <w:rsid w:val="0060305C"/>
    <w:rsid w:val="00606D61"/>
    <w:rsid w:val="00607CA2"/>
    <w:rsid w:val="00614F67"/>
    <w:rsid w:val="00617E5A"/>
    <w:rsid w:val="006270E8"/>
    <w:rsid w:val="00631BE7"/>
    <w:rsid w:val="0063314E"/>
    <w:rsid w:val="006373AB"/>
    <w:rsid w:val="00643722"/>
    <w:rsid w:val="00664C6E"/>
    <w:rsid w:val="00676F6D"/>
    <w:rsid w:val="00681C68"/>
    <w:rsid w:val="00685437"/>
    <w:rsid w:val="00690228"/>
    <w:rsid w:val="00690B80"/>
    <w:rsid w:val="006910C0"/>
    <w:rsid w:val="0069389A"/>
    <w:rsid w:val="00697F0B"/>
    <w:rsid w:val="006A1BEB"/>
    <w:rsid w:val="006A4F2A"/>
    <w:rsid w:val="006A6A88"/>
    <w:rsid w:val="006B1CDE"/>
    <w:rsid w:val="006C4072"/>
    <w:rsid w:val="006D6EB9"/>
    <w:rsid w:val="006E0E05"/>
    <w:rsid w:val="006E450D"/>
    <w:rsid w:val="006E6F71"/>
    <w:rsid w:val="006E7A27"/>
    <w:rsid w:val="006F1CB4"/>
    <w:rsid w:val="007038DA"/>
    <w:rsid w:val="00705A84"/>
    <w:rsid w:val="007063F7"/>
    <w:rsid w:val="007138DC"/>
    <w:rsid w:val="00724D53"/>
    <w:rsid w:val="007269BF"/>
    <w:rsid w:val="00732BEF"/>
    <w:rsid w:val="00736C56"/>
    <w:rsid w:val="00760C63"/>
    <w:rsid w:val="007627AA"/>
    <w:rsid w:val="0076706C"/>
    <w:rsid w:val="00767340"/>
    <w:rsid w:val="00767EDD"/>
    <w:rsid w:val="00772700"/>
    <w:rsid w:val="00777079"/>
    <w:rsid w:val="007813F8"/>
    <w:rsid w:val="00787A66"/>
    <w:rsid w:val="00795E5C"/>
    <w:rsid w:val="007A234D"/>
    <w:rsid w:val="007A44EB"/>
    <w:rsid w:val="007A7A6E"/>
    <w:rsid w:val="007B12AA"/>
    <w:rsid w:val="007C57F1"/>
    <w:rsid w:val="007C61FE"/>
    <w:rsid w:val="007C78CB"/>
    <w:rsid w:val="007D03DB"/>
    <w:rsid w:val="007E0E88"/>
    <w:rsid w:val="007E15E6"/>
    <w:rsid w:val="007E1F23"/>
    <w:rsid w:val="007F3ADE"/>
    <w:rsid w:val="0080060A"/>
    <w:rsid w:val="00805D79"/>
    <w:rsid w:val="00805EF0"/>
    <w:rsid w:val="00807B17"/>
    <w:rsid w:val="0081246D"/>
    <w:rsid w:val="00820998"/>
    <w:rsid w:val="008215B0"/>
    <w:rsid w:val="00823928"/>
    <w:rsid w:val="00825BE5"/>
    <w:rsid w:val="00833A59"/>
    <w:rsid w:val="008341B9"/>
    <w:rsid w:val="0083420B"/>
    <w:rsid w:val="00836465"/>
    <w:rsid w:val="00844AFE"/>
    <w:rsid w:val="00844ED2"/>
    <w:rsid w:val="0085062E"/>
    <w:rsid w:val="0085193A"/>
    <w:rsid w:val="00856AC1"/>
    <w:rsid w:val="0086052B"/>
    <w:rsid w:val="00860BBD"/>
    <w:rsid w:val="00862BFC"/>
    <w:rsid w:val="008711D2"/>
    <w:rsid w:val="008768BB"/>
    <w:rsid w:val="008832B6"/>
    <w:rsid w:val="00884DFF"/>
    <w:rsid w:val="00885FF6"/>
    <w:rsid w:val="0089097B"/>
    <w:rsid w:val="008936DF"/>
    <w:rsid w:val="00894715"/>
    <w:rsid w:val="008972FA"/>
    <w:rsid w:val="00897408"/>
    <w:rsid w:val="00897F9A"/>
    <w:rsid w:val="008A783A"/>
    <w:rsid w:val="008B2C3B"/>
    <w:rsid w:val="008B5243"/>
    <w:rsid w:val="008B587E"/>
    <w:rsid w:val="008B62A1"/>
    <w:rsid w:val="008C3507"/>
    <w:rsid w:val="008C372C"/>
    <w:rsid w:val="008C3F52"/>
    <w:rsid w:val="008D5F8B"/>
    <w:rsid w:val="008E03FE"/>
    <w:rsid w:val="008E1BE6"/>
    <w:rsid w:val="008E298A"/>
    <w:rsid w:val="008E33EA"/>
    <w:rsid w:val="008E5528"/>
    <w:rsid w:val="008E5D71"/>
    <w:rsid w:val="008E7875"/>
    <w:rsid w:val="008F0876"/>
    <w:rsid w:val="008F23A5"/>
    <w:rsid w:val="008F7A2D"/>
    <w:rsid w:val="008F7F07"/>
    <w:rsid w:val="009066FE"/>
    <w:rsid w:val="00915173"/>
    <w:rsid w:val="009179CE"/>
    <w:rsid w:val="0092088C"/>
    <w:rsid w:val="00921436"/>
    <w:rsid w:val="009221C0"/>
    <w:rsid w:val="00932137"/>
    <w:rsid w:val="0093600E"/>
    <w:rsid w:val="009405E9"/>
    <w:rsid w:val="009477A6"/>
    <w:rsid w:val="00955FA9"/>
    <w:rsid w:val="00956550"/>
    <w:rsid w:val="00961D60"/>
    <w:rsid w:val="00963A0F"/>
    <w:rsid w:val="0096502F"/>
    <w:rsid w:val="00967106"/>
    <w:rsid w:val="0096725F"/>
    <w:rsid w:val="00972047"/>
    <w:rsid w:val="0098014D"/>
    <w:rsid w:val="00982835"/>
    <w:rsid w:val="00985DB6"/>
    <w:rsid w:val="009924AD"/>
    <w:rsid w:val="00992614"/>
    <w:rsid w:val="009A00C8"/>
    <w:rsid w:val="009A0408"/>
    <w:rsid w:val="009A16CC"/>
    <w:rsid w:val="009A303F"/>
    <w:rsid w:val="009B49BB"/>
    <w:rsid w:val="009B63F4"/>
    <w:rsid w:val="009C2416"/>
    <w:rsid w:val="009C3987"/>
    <w:rsid w:val="009C76D5"/>
    <w:rsid w:val="009D301F"/>
    <w:rsid w:val="009D4E6D"/>
    <w:rsid w:val="009D574B"/>
    <w:rsid w:val="009D7419"/>
    <w:rsid w:val="009D7F05"/>
    <w:rsid w:val="009E13AE"/>
    <w:rsid w:val="009E3EDE"/>
    <w:rsid w:val="009E42D9"/>
    <w:rsid w:val="009F15A8"/>
    <w:rsid w:val="009F797C"/>
    <w:rsid w:val="00A10112"/>
    <w:rsid w:val="00A201FD"/>
    <w:rsid w:val="00A2063D"/>
    <w:rsid w:val="00A20D96"/>
    <w:rsid w:val="00A270D8"/>
    <w:rsid w:val="00A343C5"/>
    <w:rsid w:val="00A34F77"/>
    <w:rsid w:val="00A4035D"/>
    <w:rsid w:val="00A4438A"/>
    <w:rsid w:val="00A4474E"/>
    <w:rsid w:val="00A551CD"/>
    <w:rsid w:val="00A633DD"/>
    <w:rsid w:val="00A65E6A"/>
    <w:rsid w:val="00A66EE5"/>
    <w:rsid w:val="00A67436"/>
    <w:rsid w:val="00A70B13"/>
    <w:rsid w:val="00A72C64"/>
    <w:rsid w:val="00A75CEF"/>
    <w:rsid w:val="00A76E56"/>
    <w:rsid w:val="00A779F2"/>
    <w:rsid w:val="00A8288C"/>
    <w:rsid w:val="00A845AF"/>
    <w:rsid w:val="00A85DDE"/>
    <w:rsid w:val="00A91CC1"/>
    <w:rsid w:val="00A9218C"/>
    <w:rsid w:val="00A927DF"/>
    <w:rsid w:val="00A95853"/>
    <w:rsid w:val="00AA06C2"/>
    <w:rsid w:val="00AA0C7A"/>
    <w:rsid w:val="00AA1D03"/>
    <w:rsid w:val="00AA234C"/>
    <w:rsid w:val="00AA2D2E"/>
    <w:rsid w:val="00AB13C2"/>
    <w:rsid w:val="00AB1827"/>
    <w:rsid w:val="00AB5E08"/>
    <w:rsid w:val="00AC161F"/>
    <w:rsid w:val="00AC6D88"/>
    <w:rsid w:val="00AC6E47"/>
    <w:rsid w:val="00AD0D26"/>
    <w:rsid w:val="00AD23DD"/>
    <w:rsid w:val="00AD3D61"/>
    <w:rsid w:val="00AD55B7"/>
    <w:rsid w:val="00AE3AA0"/>
    <w:rsid w:val="00AE5354"/>
    <w:rsid w:val="00AF02C1"/>
    <w:rsid w:val="00AF3388"/>
    <w:rsid w:val="00B00897"/>
    <w:rsid w:val="00B02E52"/>
    <w:rsid w:val="00B13223"/>
    <w:rsid w:val="00B1497A"/>
    <w:rsid w:val="00B261A4"/>
    <w:rsid w:val="00B37003"/>
    <w:rsid w:val="00B41669"/>
    <w:rsid w:val="00B44E60"/>
    <w:rsid w:val="00B52350"/>
    <w:rsid w:val="00B565C2"/>
    <w:rsid w:val="00B67AEC"/>
    <w:rsid w:val="00B70EF7"/>
    <w:rsid w:val="00B73DED"/>
    <w:rsid w:val="00B7436D"/>
    <w:rsid w:val="00B7774E"/>
    <w:rsid w:val="00B77A94"/>
    <w:rsid w:val="00B81BF0"/>
    <w:rsid w:val="00B82F0F"/>
    <w:rsid w:val="00B90716"/>
    <w:rsid w:val="00B90D9D"/>
    <w:rsid w:val="00B92A7C"/>
    <w:rsid w:val="00B95B5D"/>
    <w:rsid w:val="00B9626B"/>
    <w:rsid w:val="00B978B2"/>
    <w:rsid w:val="00BA3967"/>
    <w:rsid w:val="00BA662A"/>
    <w:rsid w:val="00BB1EB3"/>
    <w:rsid w:val="00BB3122"/>
    <w:rsid w:val="00BC0211"/>
    <w:rsid w:val="00BC3159"/>
    <w:rsid w:val="00BC3A59"/>
    <w:rsid w:val="00BC5B75"/>
    <w:rsid w:val="00BD0BCC"/>
    <w:rsid w:val="00BD3856"/>
    <w:rsid w:val="00BD5578"/>
    <w:rsid w:val="00BD6AE5"/>
    <w:rsid w:val="00BD73A3"/>
    <w:rsid w:val="00BE7F66"/>
    <w:rsid w:val="00BF274A"/>
    <w:rsid w:val="00BF2D9E"/>
    <w:rsid w:val="00BF4298"/>
    <w:rsid w:val="00BF49B1"/>
    <w:rsid w:val="00BF5DF4"/>
    <w:rsid w:val="00BF74D7"/>
    <w:rsid w:val="00C00C2F"/>
    <w:rsid w:val="00C05148"/>
    <w:rsid w:val="00C11CFB"/>
    <w:rsid w:val="00C159D3"/>
    <w:rsid w:val="00C15BDC"/>
    <w:rsid w:val="00C2056F"/>
    <w:rsid w:val="00C24FF6"/>
    <w:rsid w:val="00C25930"/>
    <w:rsid w:val="00C40EEA"/>
    <w:rsid w:val="00C43B0D"/>
    <w:rsid w:val="00C507DF"/>
    <w:rsid w:val="00C51C77"/>
    <w:rsid w:val="00C63569"/>
    <w:rsid w:val="00C66508"/>
    <w:rsid w:val="00C70C3E"/>
    <w:rsid w:val="00C81354"/>
    <w:rsid w:val="00C81AF2"/>
    <w:rsid w:val="00C8342F"/>
    <w:rsid w:val="00C871A6"/>
    <w:rsid w:val="00C90648"/>
    <w:rsid w:val="00C93545"/>
    <w:rsid w:val="00C93D5B"/>
    <w:rsid w:val="00C97801"/>
    <w:rsid w:val="00CA301F"/>
    <w:rsid w:val="00CA43C3"/>
    <w:rsid w:val="00CA4EE5"/>
    <w:rsid w:val="00CB440E"/>
    <w:rsid w:val="00CB63EA"/>
    <w:rsid w:val="00CC33F3"/>
    <w:rsid w:val="00CC4A56"/>
    <w:rsid w:val="00CC639D"/>
    <w:rsid w:val="00CD1AB4"/>
    <w:rsid w:val="00CD2060"/>
    <w:rsid w:val="00CD5BC1"/>
    <w:rsid w:val="00CD62F7"/>
    <w:rsid w:val="00CE2C1D"/>
    <w:rsid w:val="00CE2DC8"/>
    <w:rsid w:val="00CF28D1"/>
    <w:rsid w:val="00CF4250"/>
    <w:rsid w:val="00CF42CE"/>
    <w:rsid w:val="00CF76FD"/>
    <w:rsid w:val="00D056AF"/>
    <w:rsid w:val="00D171F9"/>
    <w:rsid w:val="00D17A95"/>
    <w:rsid w:val="00D20FDE"/>
    <w:rsid w:val="00D27AD7"/>
    <w:rsid w:val="00D36E87"/>
    <w:rsid w:val="00D50695"/>
    <w:rsid w:val="00D51327"/>
    <w:rsid w:val="00D51336"/>
    <w:rsid w:val="00D51BF8"/>
    <w:rsid w:val="00D52268"/>
    <w:rsid w:val="00D55C56"/>
    <w:rsid w:val="00D57975"/>
    <w:rsid w:val="00D64303"/>
    <w:rsid w:val="00D660C4"/>
    <w:rsid w:val="00D72F10"/>
    <w:rsid w:val="00D77D99"/>
    <w:rsid w:val="00D90615"/>
    <w:rsid w:val="00D911D1"/>
    <w:rsid w:val="00DA02C1"/>
    <w:rsid w:val="00DB3A2B"/>
    <w:rsid w:val="00DB4FBD"/>
    <w:rsid w:val="00DC5AAA"/>
    <w:rsid w:val="00DC5D26"/>
    <w:rsid w:val="00DD0002"/>
    <w:rsid w:val="00DD26FE"/>
    <w:rsid w:val="00DD3878"/>
    <w:rsid w:val="00DE349B"/>
    <w:rsid w:val="00DE5D18"/>
    <w:rsid w:val="00DF426F"/>
    <w:rsid w:val="00DF50E9"/>
    <w:rsid w:val="00E029DD"/>
    <w:rsid w:val="00E05077"/>
    <w:rsid w:val="00E1087F"/>
    <w:rsid w:val="00E135D9"/>
    <w:rsid w:val="00E15E5C"/>
    <w:rsid w:val="00E16637"/>
    <w:rsid w:val="00E1754F"/>
    <w:rsid w:val="00E216FA"/>
    <w:rsid w:val="00E24715"/>
    <w:rsid w:val="00E27EFC"/>
    <w:rsid w:val="00E405A3"/>
    <w:rsid w:val="00E44026"/>
    <w:rsid w:val="00E45322"/>
    <w:rsid w:val="00E5570A"/>
    <w:rsid w:val="00E56484"/>
    <w:rsid w:val="00E57590"/>
    <w:rsid w:val="00E616C9"/>
    <w:rsid w:val="00E63FFD"/>
    <w:rsid w:val="00E72292"/>
    <w:rsid w:val="00E8533C"/>
    <w:rsid w:val="00E861CD"/>
    <w:rsid w:val="00E92D06"/>
    <w:rsid w:val="00E9301E"/>
    <w:rsid w:val="00E962A0"/>
    <w:rsid w:val="00E96654"/>
    <w:rsid w:val="00E96FE1"/>
    <w:rsid w:val="00EA1A96"/>
    <w:rsid w:val="00EA24C6"/>
    <w:rsid w:val="00EA491F"/>
    <w:rsid w:val="00EA5465"/>
    <w:rsid w:val="00EA6EF2"/>
    <w:rsid w:val="00EA773C"/>
    <w:rsid w:val="00EB236D"/>
    <w:rsid w:val="00EB46C4"/>
    <w:rsid w:val="00EB48BA"/>
    <w:rsid w:val="00EB64BC"/>
    <w:rsid w:val="00ED15D7"/>
    <w:rsid w:val="00ED1843"/>
    <w:rsid w:val="00ED5B54"/>
    <w:rsid w:val="00EE60CF"/>
    <w:rsid w:val="00EE798E"/>
    <w:rsid w:val="00F06974"/>
    <w:rsid w:val="00F110FD"/>
    <w:rsid w:val="00F12F9E"/>
    <w:rsid w:val="00F14CC3"/>
    <w:rsid w:val="00F1799F"/>
    <w:rsid w:val="00F21BEF"/>
    <w:rsid w:val="00F32D5A"/>
    <w:rsid w:val="00F32F13"/>
    <w:rsid w:val="00F33165"/>
    <w:rsid w:val="00F3646E"/>
    <w:rsid w:val="00F3654D"/>
    <w:rsid w:val="00F5530F"/>
    <w:rsid w:val="00F56B9E"/>
    <w:rsid w:val="00F63B22"/>
    <w:rsid w:val="00F66903"/>
    <w:rsid w:val="00F72FA5"/>
    <w:rsid w:val="00F74CC6"/>
    <w:rsid w:val="00F75AEF"/>
    <w:rsid w:val="00F77C02"/>
    <w:rsid w:val="00F80132"/>
    <w:rsid w:val="00F8256C"/>
    <w:rsid w:val="00F82BF7"/>
    <w:rsid w:val="00F869FB"/>
    <w:rsid w:val="00F92F35"/>
    <w:rsid w:val="00FA581C"/>
    <w:rsid w:val="00FB0729"/>
    <w:rsid w:val="00FB2311"/>
    <w:rsid w:val="00FB4438"/>
    <w:rsid w:val="00FC4102"/>
    <w:rsid w:val="00FC7069"/>
    <w:rsid w:val="00FC75C5"/>
    <w:rsid w:val="00FD1F45"/>
    <w:rsid w:val="00FD4A1C"/>
    <w:rsid w:val="00FD5849"/>
    <w:rsid w:val="00FE5E1F"/>
    <w:rsid w:val="00FE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1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250"/>
    <w:pPr>
      <w:ind w:left="720"/>
      <w:contextualSpacing/>
    </w:pPr>
  </w:style>
  <w:style w:type="paragraph" w:styleId="BalloonText">
    <w:name w:val="Balloon Text"/>
    <w:basedOn w:val="Normal"/>
    <w:link w:val="BalloonTextChar"/>
    <w:uiPriority w:val="99"/>
    <w:semiHidden/>
    <w:unhideWhenUsed/>
    <w:rsid w:val="00F6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03"/>
    <w:rPr>
      <w:rFonts w:ascii="Tahoma" w:hAnsi="Tahoma" w:cs="Tahoma"/>
      <w:sz w:val="16"/>
      <w:szCs w:val="16"/>
    </w:rPr>
  </w:style>
  <w:style w:type="table" w:styleId="TableGrid">
    <w:name w:val="Table Grid"/>
    <w:basedOn w:val="TableNormal"/>
    <w:uiPriority w:val="59"/>
    <w:rsid w:val="00F669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DD"/>
    <w:rPr>
      <w:color w:val="0000FF" w:themeColor="hyperlink"/>
      <w:u w:val="single"/>
    </w:rPr>
  </w:style>
  <w:style w:type="table" w:customStyle="1" w:styleId="TableGrid1">
    <w:name w:val="Table Grid1"/>
    <w:basedOn w:val="TableNormal"/>
    <w:next w:val="TableGrid"/>
    <w:uiPriority w:val="59"/>
    <w:rsid w:val="00A4474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1C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FA9"/>
    <w:rPr>
      <w:sz w:val="16"/>
      <w:szCs w:val="16"/>
    </w:rPr>
  </w:style>
  <w:style w:type="paragraph" w:styleId="CommentText">
    <w:name w:val="annotation text"/>
    <w:basedOn w:val="Normal"/>
    <w:link w:val="CommentTextChar"/>
    <w:uiPriority w:val="99"/>
    <w:semiHidden/>
    <w:unhideWhenUsed/>
    <w:rsid w:val="00955FA9"/>
    <w:pPr>
      <w:spacing w:line="240" w:lineRule="auto"/>
    </w:pPr>
    <w:rPr>
      <w:szCs w:val="20"/>
    </w:rPr>
  </w:style>
  <w:style w:type="character" w:customStyle="1" w:styleId="CommentTextChar">
    <w:name w:val="Comment Text Char"/>
    <w:basedOn w:val="DefaultParagraphFont"/>
    <w:link w:val="CommentText"/>
    <w:uiPriority w:val="99"/>
    <w:semiHidden/>
    <w:rsid w:val="00955FA9"/>
    <w:rPr>
      <w:sz w:val="20"/>
      <w:szCs w:val="20"/>
    </w:rPr>
  </w:style>
  <w:style w:type="paragraph" w:styleId="CommentSubject">
    <w:name w:val="annotation subject"/>
    <w:basedOn w:val="CommentText"/>
    <w:next w:val="CommentText"/>
    <w:link w:val="CommentSubjectChar"/>
    <w:uiPriority w:val="99"/>
    <w:semiHidden/>
    <w:unhideWhenUsed/>
    <w:rsid w:val="00955FA9"/>
    <w:rPr>
      <w:b/>
      <w:bCs/>
    </w:rPr>
  </w:style>
  <w:style w:type="character" w:customStyle="1" w:styleId="CommentSubjectChar">
    <w:name w:val="Comment Subject Char"/>
    <w:basedOn w:val="CommentTextChar"/>
    <w:link w:val="CommentSubject"/>
    <w:uiPriority w:val="99"/>
    <w:semiHidden/>
    <w:rsid w:val="00955F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1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250"/>
    <w:pPr>
      <w:ind w:left="720"/>
      <w:contextualSpacing/>
    </w:pPr>
  </w:style>
  <w:style w:type="paragraph" w:styleId="BalloonText">
    <w:name w:val="Balloon Text"/>
    <w:basedOn w:val="Normal"/>
    <w:link w:val="BalloonTextChar"/>
    <w:uiPriority w:val="99"/>
    <w:semiHidden/>
    <w:unhideWhenUsed/>
    <w:rsid w:val="00F66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03"/>
    <w:rPr>
      <w:rFonts w:ascii="Tahoma" w:hAnsi="Tahoma" w:cs="Tahoma"/>
      <w:sz w:val="16"/>
      <w:szCs w:val="16"/>
    </w:rPr>
  </w:style>
  <w:style w:type="table" w:styleId="TableGrid">
    <w:name w:val="Table Grid"/>
    <w:basedOn w:val="TableNormal"/>
    <w:uiPriority w:val="59"/>
    <w:rsid w:val="00F669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DD"/>
    <w:rPr>
      <w:color w:val="0000FF" w:themeColor="hyperlink"/>
      <w:u w:val="single"/>
    </w:rPr>
  </w:style>
  <w:style w:type="table" w:customStyle="1" w:styleId="TableGrid1">
    <w:name w:val="Table Grid1"/>
    <w:basedOn w:val="TableNormal"/>
    <w:next w:val="TableGrid"/>
    <w:uiPriority w:val="59"/>
    <w:rsid w:val="00A4474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1C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FA9"/>
    <w:rPr>
      <w:sz w:val="16"/>
      <w:szCs w:val="16"/>
    </w:rPr>
  </w:style>
  <w:style w:type="paragraph" w:styleId="CommentText">
    <w:name w:val="annotation text"/>
    <w:basedOn w:val="Normal"/>
    <w:link w:val="CommentTextChar"/>
    <w:uiPriority w:val="99"/>
    <w:semiHidden/>
    <w:unhideWhenUsed/>
    <w:rsid w:val="00955FA9"/>
    <w:pPr>
      <w:spacing w:line="240" w:lineRule="auto"/>
    </w:pPr>
    <w:rPr>
      <w:szCs w:val="20"/>
    </w:rPr>
  </w:style>
  <w:style w:type="character" w:customStyle="1" w:styleId="CommentTextChar">
    <w:name w:val="Comment Text Char"/>
    <w:basedOn w:val="DefaultParagraphFont"/>
    <w:link w:val="CommentText"/>
    <w:uiPriority w:val="99"/>
    <w:semiHidden/>
    <w:rsid w:val="00955FA9"/>
    <w:rPr>
      <w:sz w:val="20"/>
      <w:szCs w:val="20"/>
    </w:rPr>
  </w:style>
  <w:style w:type="paragraph" w:styleId="CommentSubject">
    <w:name w:val="annotation subject"/>
    <w:basedOn w:val="CommentText"/>
    <w:next w:val="CommentText"/>
    <w:link w:val="CommentSubjectChar"/>
    <w:uiPriority w:val="99"/>
    <w:semiHidden/>
    <w:unhideWhenUsed/>
    <w:rsid w:val="00955FA9"/>
    <w:rPr>
      <w:b/>
      <w:bCs/>
    </w:rPr>
  </w:style>
  <w:style w:type="character" w:customStyle="1" w:styleId="CommentSubjectChar">
    <w:name w:val="Comment Subject Char"/>
    <w:basedOn w:val="CommentTextChar"/>
    <w:link w:val="CommentSubject"/>
    <w:uiPriority w:val="99"/>
    <w:semiHidden/>
    <w:rsid w:val="00955F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28087716E7D4A8AEEF1DE882D11D2" ma:contentTypeVersion="0" ma:contentTypeDescription="Create a new document." ma:contentTypeScope="" ma:versionID="f807500c34e2cd565314e2a2e3f25c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CAB6-E41D-418D-BE6D-F3A70DED2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75F140-727C-4047-AA9A-CE1FA20D5D61}">
  <ds:schemaRefs>
    <ds:schemaRef ds:uri="http://schemas.microsoft.com/sharepoint/v3/contenttype/forms"/>
  </ds:schemaRefs>
</ds:datastoreItem>
</file>

<file path=customXml/itemProps3.xml><?xml version="1.0" encoding="utf-8"?>
<ds:datastoreItem xmlns:ds="http://schemas.openxmlformats.org/officeDocument/2006/customXml" ds:itemID="{CAD8C775-5FF3-4293-A104-6A3EDCC4F498}">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63C5AA-43A6-48B1-BECF-85AEABB3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Mcclare</dc:creator>
  <cp:lastModifiedBy>Sarah Riley</cp:lastModifiedBy>
  <cp:revision>2</cp:revision>
  <cp:lastPrinted>2017-09-18T10:51:00Z</cp:lastPrinted>
  <dcterms:created xsi:type="dcterms:W3CDTF">2018-06-26T13:13:00Z</dcterms:created>
  <dcterms:modified xsi:type="dcterms:W3CDTF">2018-06-26T13:13:00Z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0x010100CF128087716E7D4A8AEEF1DE882D11D2</vt:lpwstr>
  </property>
</Properties>
</file>