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20" w:rsidRPr="00C85B26" w:rsidRDefault="00F90E20" w:rsidP="00F90E20">
      <w:pPr>
        <w:jc w:val="center"/>
        <w:rPr>
          <w:b/>
        </w:rPr>
      </w:pPr>
      <w:bookmarkStart w:id="0" w:name="_GoBack"/>
      <w:bookmarkEnd w:id="0"/>
      <w:r w:rsidRPr="00C85B26">
        <w:rPr>
          <w:b/>
        </w:rPr>
        <w:t>THE UNIVERSITY OF MANCHESTER</w:t>
      </w:r>
    </w:p>
    <w:p w:rsidR="00F90E20" w:rsidRPr="00C85B26" w:rsidRDefault="00F90E20" w:rsidP="00F90E20">
      <w:pPr>
        <w:rPr>
          <w:b/>
        </w:rPr>
      </w:pPr>
      <w:r>
        <w:rPr>
          <w:b/>
        </w:rPr>
        <w:t xml:space="preserve">Faculty of </w:t>
      </w:r>
      <w:r w:rsidRPr="00C85B26">
        <w:rPr>
          <w:b/>
        </w:rPr>
        <w:t>Humanities Staff Equality and Diversity Working Group</w:t>
      </w:r>
    </w:p>
    <w:p w:rsidR="00F90E20" w:rsidRPr="00C85B26" w:rsidRDefault="00F90E20" w:rsidP="00F90E20">
      <w:r w:rsidRPr="00C85B26">
        <w:t xml:space="preserve">Minutes of the meeting held on </w:t>
      </w:r>
      <w:r w:rsidR="00D51704">
        <w:t>Wednes</w:t>
      </w:r>
      <w:r>
        <w:t>day 2</w:t>
      </w:r>
      <w:r w:rsidR="00D51704">
        <w:t>4</w:t>
      </w:r>
      <w:r>
        <w:t xml:space="preserve"> </w:t>
      </w:r>
      <w:r w:rsidR="00D51704">
        <w:t>September</w:t>
      </w:r>
      <w:r w:rsidRPr="00C85B26">
        <w:t xml:space="preserve"> 2014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2680"/>
        <w:gridCol w:w="591"/>
        <w:gridCol w:w="4717"/>
      </w:tblGrid>
      <w:tr w:rsidR="00D51704" w:rsidRPr="00C85B26" w:rsidTr="00D51704">
        <w:trPr>
          <w:trHeight w:val="178"/>
        </w:trPr>
        <w:tc>
          <w:tcPr>
            <w:tcW w:w="678" w:type="pct"/>
          </w:tcPr>
          <w:p w:rsidR="00D51704" w:rsidRPr="00C85B26" w:rsidRDefault="00D51704" w:rsidP="002C194A">
            <w:pPr>
              <w:rPr>
                <w:b/>
              </w:rPr>
            </w:pPr>
            <w:r w:rsidRPr="00C85B26">
              <w:rPr>
                <w:b/>
              </w:rPr>
              <w:t>Present</w:t>
            </w:r>
          </w:p>
        </w:tc>
        <w:tc>
          <w:tcPr>
            <w:tcW w:w="1450" w:type="pct"/>
          </w:tcPr>
          <w:p w:rsidR="00D51704" w:rsidRPr="00C85B26" w:rsidRDefault="00D51704" w:rsidP="0042577D">
            <w:r w:rsidRPr="00C85B26">
              <w:t>Andrew Mullen</w:t>
            </w:r>
          </w:p>
        </w:tc>
        <w:tc>
          <w:tcPr>
            <w:tcW w:w="320" w:type="pct"/>
          </w:tcPr>
          <w:p w:rsidR="00D51704" w:rsidRPr="00C85B26" w:rsidRDefault="00D51704" w:rsidP="0042577D">
            <w:r w:rsidRPr="00C85B26">
              <w:t>AM</w:t>
            </w:r>
          </w:p>
        </w:tc>
        <w:tc>
          <w:tcPr>
            <w:tcW w:w="2552" w:type="pct"/>
          </w:tcPr>
          <w:p w:rsidR="00D51704" w:rsidRPr="00C85B26" w:rsidRDefault="00D51704" w:rsidP="0042577D">
            <w:r w:rsidRPr="00C85B26">
              <w:t>Deputy Director of HR &amp; Head of Faculty HR</w:t>
            </w:r>
            <w:r>
              <w:t xml:space="preserve"> </w:t>
            </w:r>
            <w:r w:rsidRPr="00C85B26">
              <w:t>(in the Chair)</w:t>
            </w:r>
          </w:p>
        </w:tc>
      </w:tr>
      <w:tr w:rsidR="00D51704" w:rsidRPr="00C85B26" w:rsidTr="00D51704">
        <w:trPr>
          <w:trHeight w:val="80"/>
        </w:trPr>
        <w:tc>
          <w:tcPr>
            <w:tcW w:w="678" w:type="pct"/>
          </w:tcPr>
          <w:p w:rsidR="00D51704" w:rsidRPr="00C85B26" w:rsidRDefault="00D51704" w:rsidP="002C194A"/>
        </w:tc>
        <w:tc>
          <w:tcPr>
            <w:tcW w:w="1450" w:type="pct"/>
          </w:tcPr>
          <w:p w:rsidR="00D51704" w:rsidRPr="00C85B26" w:rsidRDefault="00D51704" w:rsidP="00477179">
            <w:r w:rsidRPr="00C85B26">
              <w:t>Dr Carolyn Abbot</w:t>
            </w:r>
          </w:p>
        </w:tc>
        <w:tc>
          <w:tcPr>
            <w:tcW w:w="320" w:type="pct"/>
          </w:tcPr>
          <w:p w:rsidR="00D51704" w:rsidRPr="00C85B26" w:rsidRDefault="00D51704" w:rsidP="00477179">
            <w:r w:rsidRPr="00C85B26">
              <w:t>CA</w:t>
            </w:r>
          </w:p>
        </w:tc>
        <w:tc>
          <w:tcPr>
            <w:tcW w:w="2552" w:type="pct"/>
          </w:tcPr>
          <w:p w:rsidR="00D51704" w:rsidRPr="00C85B26" w:rsidRDefault="00D51704" w:rsidP="00477179">
            <w:r w:rsidRPr="00C85B26">
              <w:t>Senior Lecturer, School of Law</w:t>
            </w:r>
          </w:p>
        </w:tc>
      </w:tr>
      <w:tr w:rsidR="00D51704" w:rsidRPr="00C85B26" w:rsidTr="00B42655">
        <w:tc>
          <w:tcPr>
            <w:tcW w:w="678" w:type="pct"/>
          </w:tcPr>
          <w:p w:rsidR="00D51704" w:rsidRPr="00C85B26" w:rsidRDefault="00D51704" w:rsidP="002C194A"/>
        </w:tc>
        <w:tc>
          <w:tcPr>
            <w:tcW w:w="1450" w:type="pct"/>
          </w:tcPr>
          <w:p w:rsidR="00D51704" w:rsidRPr="00C85B26" w:rsidRDefault="00D51704" w:rsidP="00A970CC">
            <w:r>
              <w:t>Dr Helen Ryder</w:t>
            </w:r>
          </w:p>
        </w:tc>
        <w:tc>
          <w:tcPr>
            <w:tcW w:w="320" w:type="pct"/>
          </w:tcPr>
          <w:p w:rsidR="00D51704" w:rsidRPr="00C85B26" w:rsidRDefault="00D51704" w:rsidP="00A970CC">
            <w:proofErr w:type="spellStart"/>
            <w:r>
              <w:t>HRy</w:t>
            </w:r>
            <w:proofErr w:type="spellEnd"/>
          </w:p>
        </w:tc>
        <w:tc>
          <w:tcPr>
            <w:tcW w:w="2552" w:type="pct"/>
          </w:tcPr>
          <w:p w:rsidR="00D51704" w:rsidRPr="00C85B26" w:rsidRDefault="00D51704" w:rsidP="00A970CC">
            <w:r w:rsidRPr="00C85B26">
              <w:t>Athena SWAN Coordinator</w:t>
            </w:r>
          </w:p>
        </w:tc>
      </w:tr>
      <w:tr w:rsidR="00D51704" w:rsidRPr="00C85B26" w:rsidTr="00B42655">
        <w:tc>
          <w:tcPr>
            <w:tcW w:w="678" w:type="pct"/>
          </w:tcPr>
          <w:p w:rsidR="00D51704" w:rsidRPr="00C85B26" w:rsidRDefault="00D51704" w:rsidP="002C194A"/>
        </w:tc>
        <w:tc>
          <w:tcPr>
            <w:tcW w:w="1450" w:type="pct"/>
          </w:tcPr>
          <w:p w:rsidR="00D51704" w:rsidRPr="00C85B26" w:rsidRDefault="00D51704" w:rsidP="002C194A">
            <w:r w:rsidRPr="00C85B26">
              <w:t>Professor Helge Hoel</w:t>
            </w:r>
          </w:p>
        </w:tc>
        <w:tc>
          <w:tcPr>
            <w:tcW w:w="320" w:type="pct"/>
          </w:tcPr>
          <w:p w:rsidR="00D51704" w:rsidRPr="00C85B26" w:rsidRDefault="00D51704" w:rsidP="002C194A">
            <w:r w:rsidRPr="00C85B26">
              <w:t>HH</w:t>
            </w:r>
          </w:p>
        </w:tc>
        <w:tc>
          <w:tcPr>
            <w:tcW w:w="2552" w:type="pct"/>
          </w:tcPr>
          <w:p w:rsidR="00D51704" w:rsidRPr="00C85B26" w:rsidRDefault="00D51704" w:rsidP="002C194A">
            <w:r w:rsidRPr="00C85B26">
              <w:t>Manchester Business School (People Management and Organisations Division)</w:t>
            </w:r>
          </w:p>
        </w:tc>
      </w:tr>
      <w:tr w:rsidR="00D51704" w:rsidRPr="00C85B26" w:rsidTr="00B42655">
        <w:tc>
          <w:tcPr>
            <w:tcW w:w="678" w:type="pct"/>
          </w:tcPr>
          <w:p w:rsidR="00D51704" w:rsidRPr="00C85B26" w:rsidRDefault="00D51704" w:rsidP="002C194A"/>
        </w:tc>
        <w:tc>
          <w:tcPr>
            <w:tcW w:w="1450" w:type="pct"/>
          </w:tcPr>
          <w:p w:rsidR="00D51704" w:rsidRPr="00C85B26" w:rsidRDefault="00D51704" w:rsidP="003B319E">
            <w:r w:rsidRPr="00C85B26">
              <w:t xml:space="preserve">Jayne </w:t>
            </w:r>
            <w:proofErr w:type="spellStart"/>
            <w:r w:rsidRPr="00C85B26">
              <w:t>Hindle</w:t>
            </w:r>
            <w:proofErr w:type="spellEnd"/>
          </w:p>
        </w:tc>
        <w:tc>
          <w:tcPr>
            <w:tcW w:w="320" w:type="pct"/>
          </w:tcPr>
          <w:p w:rsidR="00D51704" w:rsidRPr="00C85B26" w:rsidRDefault="00D51704" w:rsidP="003B319E">
            <w:r w:rsidRPr="00C85B26">
              <w:t>JH</w:t>
            </w:r>
          </w:p>
        </w:tc>
        <w:tc>
          <w:tcPr>
            <w:tcW w:w="2552" w:type="pct"/>
          </w:tcPr>
          <w:p w:rsidR="00D51704" w:rsidRPr="00C85B26" w:rsidRDefault="00D51704" w:rsidP="003B319E">
            <w:r w:rsidRPr="00C85B26">
              <w:t>Head of School Administration for Arts, Languages &amp; Cultures</w:t>
            </w:r>
          </w:p>
        </w:tc>
      </w:tr>
      <w:tr w:rsidR="00D51704" w:rsidRPr="00C85B26" w:rsidTr="00B42655">
        <w:tc>
          <w:tcPr>
            <w:tcW w:w="678" w:type="pct"/>
          </w:tcPr>
          <w:p w:rsidR="00D51704" w:rsidRPr="00C85B26" w:rsidRDefault="00D51704" w:rsidP="002C194A"/>
        </w:tc>
        <w:tc>
          <w:tcPr>
            <w:tcW w:w="1450" w:type="pct"/>
          </w:tcPr>
          <w:p w:rsidR="00D51704" w:rsidRPr="00C85B26" w:rsidRDefault="00D51704" w:rsidP="00762A70">
            <w:r w:rsidRPr="00C85B26">
              <w:t>Professor Helen Gunter</w:t>
            </w:r>
          </w:p>
        </w:tc>
        <w:tc>
          <w:tcPr>
            <w:tcW w:w="320" w:type="pct"/>
          </w:tcPr>
          <w:p w:rsidR="00D51704" w:rsidRPr="00C85B26" w:rsidRDefault="00D51704" w:rsidP="00762A70">
            <w:r w:rsidRPr="00C85B26">
              <w:t>HG</w:t>
            </w:r>
          </w:p>
        </w:tc>
        <w:tc>
          <w:tcPr>
            <w:tcW w:w="2552" w:type="pct"/>
          </w:tcPr>
          <w:p w:rsidR="00D51704" w:rsidRPr="00C85B26" w:rsidRDefault="00D51704" w:rsidP="00DA2ABE">
            <w:r w:rsidRPr="00C85B26">
              <w:t xml:space="preserve">School of Environment, Education &amp; Development </w:t>
            </w:r>
          </w:p>
        </w:tc>
      </w:tr>
      <w:tr w:rsidR="00D51704" w:rsidRPr="00C85B26" w:rsidTr="00B42655">
        <w:tc>
          <w:tcPr>
            <w:tcW w:w="678" w:type="pct"/>
          </w:tcPr>
          <w:p w:rsidR="00D51704" w:rsidRPr="00C85B26" w:rsidRDefault="00D51704" w:rsidP="002C194A"/>
        </w:tc>
        <w:tc>
          <w:tcPr>
            <w:tcW w:w="1450" w:type="pct"/>
          </w:tcPr>
          <w:p w:rsidR="00D51704" w:rsidRPr="00C85B26" w:rsidRDefault="00D51704" w:rsidP="00762A70">
            <w:r>
              <w:t>Dil Sidhu</w:t>
            </w:r>
          </w:p>
        </w:tc>
        <w:tc>
          <w:tcPr>
            <w:tcW w:w="320" w:type="pct"/>
          </w:tcPr>
          <w:p w:rsidR="00D51704" w:rsidRPr="00C85B26" w:rsidRDefault="00D51704" w:rsidP="00762A70">
            <w:r>
              <w:t>DS</w:t>
            </w:r>
          </w:p>
        </w:tc>
        <w:tc>
          <w:tcPr>
            <w:tcW w:w="2552" w:type="pct"/>
          </w:tcPr>
          <w:p w:rsidR="00D51704" w:rsidRPr="00C85B26" w:rsidRDefault="00D51704" w:rsidP="00762A70">
            <w:r>
              <w:t>Chief External Officer</w:t>
            </w:r>
          </w:p>
        </w:tc>
      </w:tr>
      <w:tr w:rsidR="00D51704" w:rsidRPr="00C85B26" w:rsidTr="00B42655">
        <w:tc>
          <w:tcPr>
            <w:tcW w:w="678" w:type="pct"/>
          </w:tcPr>
          <w:p w:rsidR="00D51704" w:rsidRPr="00C85B26" w:rsidRDefault="00D51704" w:rsidP="002C194A"/>
        </w:tc>
        <w:tc>
          <w:tcPr>
            <w:tcW w:w="1450" w:type="pct"/>
          </w:tcPr>
          <w:p w:rsidR="00D51704" w:rsidRPr="00C85B26" w:rsidRDefault="00D51704" w:rsidP="00EB6300"/>
        </w:tc>
        <w:tc>
          <w:tcPr>
            <w:tcW w:w="320" w:type="pct"/>
          </w:tcPr>
          <w:p w:rsidR="00D51704" w:rsidRPr="00C85B26" w:rsidRDefault="00D51704" w:rsidP="00EB6300"/>
        </w:tc>
        <w:tc>
          <w:tcPr>
            <w:tcW w:w="2552" w:type="pct"/>
          </w:tcPr>
          <w:p w:rsidR="00D51704" w:rsidRPr="00C85B26" w:rsidRDefault="00D51704" w:rsidP="00EB6300"/>
        </w:tc>
      </w:tr>
      <w:tr w:rsidR="00D51704" w:rsidRPr="00C85B26" w:rsidTr="00B42655">
        <w:tc>
          <w:tcPr>
            <w:tcW w:w="678" w:type="pct"/>
          </w:tcPr>
          <w:p w:rsidR="00D51704" w:rsidRPr="002C49D9" w:rsidRDefault="00D51704" w:rsidP="002C194A">
            <w:pPr>
              <w:rPr>
                <w:b/>
              </w:rPr>
            </w:pPr>
            <w:r>
              <w:rPr>
                <w:b/>
              </w:rPr>
              <w:t>Ap</w:t>
            </w:r>
            <w:r w:rsidRPr="002C49D9">
              <w:rPr>
                <w:b/>
              </w:rPr>
              <w:t>ologies</w:t>
            </w:r>
            <w:r w:rsidR="001D14CF">
              <w:rPr>
                <w:b/>
              </w:rPr>
              <w:t xml:space="preserve"> received </w:t>
            </w:r>
          </w:p>
        </w:tc>
        <w:tc>
          <w:tcPr>
            <w:tcW w:w="1450" w:type="pct"/>
          </w:tcPr>
          <w:p w:rsidR="00D51704" w:rsidRPr="00C85B26" w:rsidRDefault="00D51704" w:rsidP="0047661C">
            <w:r w:rsidRPr="00C85B26">
              <w:t>Professor Colette Fagan</w:t>
            </w:r>
          </w:p>
        </w:tc>
        <w:tc>
          <w:tcPr>
            <w:tcW w:w="320" w:type="pct"/>
          </w:tcPr>
          <w:p w:rsidR="00D51704" w:rsidRPr="00C85B26" w:rsidRDefault="00D51704" w:rsidP="0047661C">
            <w:r w:rsidRPr="00C85B26">
              <w:t>CF</w:t>
            </w:r>
          </w:p>
        </w:tc>
        <w:tc>
          <w:tcPr>
            <w:tcW w:w="2552" w:type="pct"/>
          </w:tcPr>
          <w:p w:rsidR="00D51704" w:rsidRPr="00C85B26" w:rsidRDefault="00D51704" w:rsidP="00D51704">
            <w:r w:rsidRPr="00C85B26">
              <w:t xml:space="preserve">Deputy Dean – Research </w:t>
            </w:r>
          </w:p>
        </w:tc>
      </w:tr>
      <w:tr w:rsidR="00D51704" w:rsidRPr="00C85B26" w:rsidTr="00B42655">
        <w:tc>
          <w:tcPr>
            <w:tcW w:w="678" w:type="pct"/>
          </w:tcPr>
          <w:p w:rsidR="00D51704" w:rsidRDefault="00D51704" w:rsidP="002C194A">
            <w:pPr>
              <w:rPr>
                <w:b/>
              </w:rPr>
            </w:pPr>
          </w:p>
        </w:tc>
        <w:tc>
          <w:tcPr>
            <w:tcW w:w="1450" w:type="pct"/>
          </w:tcPr>
          <w:p w:rsidR="00D51704" w:rsidRPr="00C85B26" w:rsidRDefault="00D51704" w:rsidP="0096005E"/>
        </w:tc>
        <w:tc>
          <w:tcPr>
            <w:tcW w:w="320" w:type="pct"/>
          </w:tcPr>
          <w:p w:rsidR="00D51704" w:rsidRPr="00C85B26" w:rsidRDefault="00D51704" w:rsidP="0096005E"/>
        </w:tc>
        <w:tc>
          <w:tcPr>
            <w:tcW w:w="2552" w:type="pct"/>
          </w:tcPr>
          <w:p w:rsidR="00D51704" w:rsidRPr="00C85B26" w:rsidRDefault="00D51704" w:rsidP="0096005E"/>
        </w:tc>
      </w:tr>
      <w:tr w:rsidR="00D51704" w:rsidRPr="00C85B26" w:rsidTr="00B42655">
        <w:tc>
          <w:tcPr>
            <w:tcW w:w="678" w:type="pct"/>
          </w:tcPr>
          <w:p w:rsidR="00D51704" w:rsidRPr="00C85B26" w:rsidRDefault="00D51704" w:rsidP="002C194A">
            <w:pPr>
              <w:rPr>
                <w:b/>
              </w:rPr>
            </w:pPr>
            <w:r w:rsidRPr="00C85B26">
              <w:rPr>
                <w:b/>
              </w:rPr>
              <w:t>In attendance</w:t>
            </w:r>
          </w:p>
        </w:tc>
        <w:tc>
          <w:tcPr>
            <w:tcW w:w="1450" w:type="pct"/>
          </w:tcPr>
          <w:p w:rsidR="00D51704" w:rsidRPr="00C85B26" w:rsidRDefault="00D51704" w:rsidP="002C194A">
            <w:r>
              <w:t>Dr Melanie Taylor</w:t>
            </w:r>
          </w:p>
        </w:tc>
        <w:tc>
          <w:tcPr>
            <w:tcW w:w="320" w:type="pct"/>
          </w:tcPr>
          <w:p w:rsidR="00D51704" w:rsidRDefault="00D51704" w:rsidP="002C194A">
            <w:r>
              <w:t>MT</w:t>
            </w:r>
          </w:p>
        </w:tc>
        <w:tc>
          <w:tcPr>
            <w:tcW w:w="2552" w:type="pct"/>
          </w:tcPr>
          <w:p w:rsidR="00D51704" w:rsidRPr="00C85B26" w:rsidRDefault="00D51704" w:rsidP="002C194A">
            <w:r>
              <w:t>Head of Safety Services</w:t>
            </w:r>
            <w:r w:rsidR="00DA2ABE">
              <w:t>, Compliance and Risk</w:t>
            </w:r>
          </w:p>
        </w:tc>
      </w:tr>
      <w:tr w:rsidR="00D51704" w:rsidRPr="00C85B26" w:rsidTr="00B42655">
        <w:tc>
          <w:tcPr>
            <w:tcW w:w="678" w:type="pct"/>
          </w:tcPr>
          <w:p w:rsidR="00D51704" w:rsidRPr="00C85B26" w:rsidRDefault="00D51704" w:rsidP="002C194A">
            <w:pPr>
              <w:rPr>
                <w:b/>
              </w:rPr>
            </w:pPr>
          </w:p>
        </w:tc>
        <w:tc>
          <w:tcPr>
            <w:tcW w:w="1450" w:type="pct"/>
          </w:tcPr>
          <w:p w:rsidR="00D51704" w:rsidRPr="00C85B26" w:rsidRDefault="00D51704" w:rsidP="000B2BBF">
            <w:r w:rsidRPr="00C85B26">
              <w:t>Natalie Thompson-Vassel</w:t>
            </w:r>
          </w:p>
        </w:tc>
        <w:tc>
          <w:tcPr>
            <w:tcW w:w="320" w:type="pct"/>
          </w:tcPr>
          <w:p w:rsidR="00D51704" w:rsidRPr="00C85B26" w:rsidRDefault="00D51704" w:rsidP="000B2BBF">
            <w:r>
              <w:t>NT</w:t>
            </w:r>
            <w:r w:rsidRPr="00C85B26">
              <w:t>V</w:t>
            </w:r>
          </w:p>
        </w:tc>
        <w:tc>
          <w:tcPr>
            <w:tcW w:w="2552" w:type="pct"/>
          </w:tcPr>
          <w:p w:rsidR="00D51704" w:rsidRPr="00C85B26" w:rsidRDefault="00D51704" w:rsidP="000B2BBF">
            <w:r w:rsidRPr="00C85B26">
              <w:t>Human Resources</w:t>
            </w:r>
          </w:p>
        </w:tc>
      </w:tr>
    </w:tbl>
    <w:p w:rsidR="00F90E20" w:rsidRDefault="00F90E20" w:rsidP="00F90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6662"/>
        <w:gridCol w:w="1479"/>
      </w:tblGrid>
      <w:tr w:rsidR="00975F7D" w:rsidTr="00F90E20">
        <w:tc>
          <w:tcPr>
            <w:tcW w:w="534" w:type="dxa"/>
          </w:tcPr>
          <w:p w:rsidR="00975F7D" w:rsidRDefault="00975F7D" w:rsidP="00F90E20">
            <w:pPr>
              <w:rPr>
                <w:b/>
              </w:rPr>
            </w:pPr>
            <w:r>
              <w:rPr>
                <w:b/>
              </w:rPr>
              <w:t>1</w:t>
            </w:r>
          </w:p>
        </w:tc>
        <w:tc>
          <w:tcPr>
            <w:tcW w:w="567" w:type="dxa"/>
          </w:tcPr>
          <w:p w:rsidR="00975F7D" w:rsidRPr="00F90E20" w:rsidRDefault="00975F7D" w:rsidP="00F90E20">
            <w:pPr>
              <w:rPr>
                <w:b/>
              </w:rPr>
            </w:pPr>
          </w:p>
        </w:tc>
        <w:tc>
          <w:tcPr>
            <w:tcW w:w="6662" w:type="dxa"/>
          </w:tcPr>
          <w:p w:rsidR="00975F7D" w:rsidRPr="00F90E20" w:rsidRDefault="00975F7D" w:rsidP="00A851A0">
            <w:pPr>
              <w:rPr>
                <w:b/>
              </w:rPr>
            </w:pPr>
            <w:r w:rsidRPr="00F90E20">
              <w:rPr>
                <w:b/>
              </w:rPr>
              <w:t xml:space="preserve">Minutes of the meeting held on </w:t>
            </w:r>
            <w:r>
              <w:rPr>
                <w:b/>
              </w:rPr>
              <w:t xml:space="preserve">23 June </w:t>
            </w:r>
            <w:r w:rsidRPr="00F90E20">
              <w:rPr>
                <w:b/>
              </w:rPr>
              <w:t>2014</w:t>
            </w:r>
          </w:p>
        </w:tc>
        <w:tc>
          <w:tcPr>
            <w:tcW w:w="1479" w:type="dxa"/>
          </w:tcPr>
          <w:p w:rsidR="00975F7D" w:rsidRDefault="00975F7D" w:rsidP="00F90E20"/>
        </w:tc>
      </w:tr>
      <w:tr w:rsidR="00975F7D" w:rsidTr="00F90E20">
        <w:tc>
          <w:tcPr>
            <w:tcW w:w="534" w:type="dxa"/>
          </w:tcPr>
          <w:p w:rsidR="00975F7D" w:rsidRDefault="00975F7D" w:rsidP="00F90E20">
            <w:pPr>
              <w:rPr>
                <w:b/>
              </w:rPr>
            </w:pPr>
          </w:p>
        </w:tc>
        <w:tc>
          <w:tcPr>
            <w:tcW w:w="567" w:type="dxa"/>
          </w:tcPr>
          <w:p w:rsidR="00975F7D" w:rsidRPr="00F90E20" w:rsidRDefault="00975F7D" w:rsidP="00F90E20">
            <w:pPr>
              <w:rPr>
                <w:b/>
              </w:rPr>
            </w:pPr>
          </w:p>
        </w:tc>
        <w:tc>
          <w:tcPr>
            <w:tcW w:w="6662" w:type="dxa"/>
          </w:tcPr>
          <w:p w:rsidR="00975F7D" w:rsidRDefault="00975F7D" w:rsidP="00A851A0">
            <w:r>
              <w:t>The minutes were accepted as an accurate record.</w:t>
            </w:r>
          </w:p>
        </w:tc>
        <w:tc>
          <w:tcPr>
            <w:tcW w:w="1479" w:type="dxa"/>
          </w:tcPr>
          <w:p w:rsidR="00975F7D" w:rsidRDefault="00975F7D" w:rsidP="00F90E20"/>
        </w:tc>
      </w:tr>
      <w:tr w:rsidR="00975F7D" w:rsidTr="00F90E20">
        <w:tc>
          <w:tcPr>
            <w:tcW w:w="534" w:type="dxa"/>
          </w:tcPr>
          <w:p w:rsidR="00975F7D" w:rsidRDefault="00975F7D" w:rsidP="00F90E20">
            <w:pPr>
              <w:rPr>
                <w:b/>
              </w:rPr>
            </w:pPr>
          </w:p>
        </w:tc>
        <w:tc>
          <w:tcPr>
            <w:tcW w:w="567" w:type="dxa"/>
          </w:tcPr>
          <w:p w:rsidR="00975F7D" w:rsidRPr="00F90E20" w:rsidRDefault="00975F7D" w:rsidP="00F90E20">
            <w:pPr>
              <w:rPr>
                <w:b/>
              </w:rPr>
            </w:pPr>
          </w:p>
        </w:tc>
        <w:tc>
          <w:tcPr>
            <w:tcW w:w="6662" w:type="dxa"/>
          </w:tcPr>
          <w:p w:rsidR="00975F7D" w:rsidRDefault="00975F7D" w:rsidP="00A851A0"/>
        </w:tc>
        <w:tc>
          <w:tcPr>
            <w:tcW w:w="1479" w:type="dxa"/>
          </w:tcPr>
          <w:p w:rsidR="00975F7D" w:rsidRDefault="00975F7D" w:rsidP="00F90E20"/>
        </w:tc>
      </w:tr>
      <w:tr w:rsidR="00975F7D" w:rsidTr="00F90E20">
        <w:tc>
          <w:tcPr>
            <w:tcW w:w="534" w:type="dxa"/>
          </w:tcPr>
          <w:p w:rsidR="00975F7D" w:rsidRPr="00F90E20" w:rsidRDefault="00975F7D" w:rsidP="00F90E20">
            <w:pPr>
              <w:rPr>
                <w:b/>
              </w:rPr>
            </w:pPr>
            <w:r>
              <w:rPr>
                <w:b/>
              </w:rPr>
              <w:t>2</w:t>
            </w:r>
          </w:p>
        </w:tc>
        <w:tc>
          <w:tcPr>
            <w:tcW w:w="567" w:type="dxa"/>
          </w:tcPr>
          <w:p w:rsidR="00975F7D" w:rsidRPr="00F90E20" w:rsidRDefault="00975F7D" w:rsidP="00F90E20">
            <w:pPr>
              <w:rPr>
                <w:b/>
              </w:rPr>
            </w:pPr>
          </w:p>
        </w:tc>
        <w:tc>
          <w:tcPr>
            <w:tcW w:w="6662" w:type="dxa"/>
          </w:tcPr>
          <w:p w:rsidR="00975F7D" w:rsidRPr="00F90E20" w:rsidRDefault="00975F7D" w:rsidP="00D51704">
            <w:pPr>
              <w:rPr>
                <w:b/>
              </w:rPr>
            </w:pPr>
            <w:r>
              <w:rPr>
                <w:b/>
              </w:rPr>
              <w:t>Introduction of new member</w:t>
            </w:r>
          </w:p>
        </w:tc>
        <w:tc>
          <w:tcPr>
            <w:tcW w:w="1479" w:type="dxa"/>
          </w:tcPr>
          <w:p w:rsidR="00975F7D" w:rsidRDefault="00975F7D" w:rsidP="00F90E20"/>
        </w:tc>
      </w:tr>
      <w:tr w:rsidR="00975F7D" w:rsidTr="00F90E20">
        <w:tc>
          <w:tcPr>
            <w:tcW w:w="534" w:type="dxa"/>
          </w:tcPr>
          <w:p w:rsidR="00975F7D" w:rsidRDefault="00975F7D" w:rsidP="00F90E20"/>
        </w:tc>
        <w:tc>
          <w:tcPr>
            <w:tcW w:w="567" w:type="dxa"/>
          </w:tcPr>
          <w:p w:rsidR="00975F7D" w:rsidRDefault="00975F7D" w:rsidP="00F90E20"/>
        </w:tc>
        <w:tc>
          <w:tcPr>
            <w:tcW w:w="6662" w:type="dxa"/>
          </w:tcPr>
          <w:p w:rsidR="00975F7D" w:rsidRDefault="00975F7D" w:rsidP="00804162">
            <w:pPr>
              <w:pStyle w:val="PlainText"/>
            </w:pPr>
            <w:r>
              <w:t>Dil Sidhu was introduced and welcomed to the Group.  Dil is Manchester Business School</w:t>
            </w:r>
            <w:r w:rsidR="00804162">
              <w:t>’s Chief External Officer and</w:t>
            </w:r>
            <w:r>
              <w:t xml:space="preserve"> gave a brief </w:t>
            </w:r>
            <w:r w:rsidR="00804162">
              <w:t xml:space="preserve">overview of </w:t>
            </w:r>
            <w:r>
              <w:t>his career</w:t>
            </w:r>
            <w:r w:rsidR="00804162">
              <w:t xml:space="preserve"> to date</w:t>
            </w:r>
            <w:r>
              <w:t>.</w:t>
            </w:r>
            <w:r w:rsidR="005F4583">
              <w:t xml:space="preserve">  It was also noted that Jared Ruff would replace Jane Hallam as the Faculty Admin. </w:t>
            </w:r>
            <w:proofErr w:type="gramStart"/>
            <w:r w:rsidR="005F4583">
              <w:t>representative</w:t>
            </w:r>
            <w:proofErr w:type="gramEnd"/>
            <w:r w:rsidR="005F4583">
              <w:t xml:space="preserve"> at future meetings.</w:t>
            </w:r>
          </w:p>
        </w:tc>
        <w:tc>
          <w:tcPr>
            <w:tcW w:w="1479" w:type="dxa"/>
          </w:tcPr>
          <w:p w:rsidR="00975F7D" w:rsidRDefault="00975F7D" w:rsidP="00F90E20"/>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804162" w:rsidRDefault="00804162" w:rsidP="00F90E20"/>
        </w:tc>
        <w:tc>
          <w:tcPr>
            <w:tcW w:w="1479" w:type="dxa"/>
          </w:tcPr>
          <w:p w:rsidR="00804162" w:rsidRDefault="00804162" w:rsidP="00F90E20"/>
        </w:tc>
      </w:tr>
      <w:tr w:rsidR="00804162" w:rsidTr="00A851A0">
        <w:tc>
          <w:tcPr>
            <w:tcW w:w="534" w:type="dxa"/>
          </w:tcPr>
          <w:p w:rsidR="00804162" w:rsidRDefault="00804162" w:rsidP="00A851A0">
            <w:r>
              <w:rPr>
                <w:b/>
              </w:rPr>
              <w:t>3</w:t>
            </w:r>
          </w:p>
        </w:tc>
        <w:tc>
          <w:tcPr>
            <w:tcW w:w="567" w:type="dxa"/>
          </w:tcPr>
          <w:p w:rsidR="00804162" w:rsidRDefault="00804162" w:rsidP="00A851A0"/>
        </w:tc>
        <w:tc>
          <w:tcPr>
            <w:tcW w:w="6662" w:type="dxa"/>
          </w:tcPr>
          <w:p w:rsidR="00804162" w:rsidRDefault="00804162" w:rsidP="00A851A0">
            <w:r w:rsidRPr="00F90E20">
              <w:rPr>
                <w:b/>
              </w:rPr>
              <w:t>Matters arising</w:t>
            </w:r>
          </w:p>
        </w:tc>
        <w:tc>
          <w:tcPr>
            <w:tcW w:w="1479" w:type="dxa"/>
          </w:tcPr>
          <w:p w:rsidR="00804162" w:rsidRDefault="00804162" w:rsidP="00A851A0"/>
        </w:tc>
      </w:tr>
      <w:tr w:rsidR="00804162" w:rsidTr="00A851A0">
        <w:tc>
          <w:tcPr>
            <w:tcW w:w="534" w:type="dxa"/>
          </w:tcPr>
          <w:p w:rsidR="00804162" w:rsidRDefault="00804162" w:rsidP="00A851A0"/>
        </w:tc>
        <w:tc>
          <w:tcPr>
            <w:tcW w:w="567" w:type="dxa"/>
          </w:tcPr>
          <w:p w:rsidR="00804162" w:rsidRDefault="00804162" w:rsidP="00A851A0">
            <w:r>
              <w:t>3</w:t>
            </w:r>
            <w:r w:rsidRPr="00F90E20">
              <w:t>.1</w:t>
            </w:r>
          </w:p>
        </w:tc>
        <w:tc>
          <w:tcPr>
            <w:tcW w:w="6662" w:type="dxa"/>
          </w:tcPr>
          <w:p w:rsidR="00804162" w:rsidRPr="00146761" w:rsidRDefault="00804162" w:rsidP="00A851A0">
            <w:pPr>
              <w:rPr>
                <w:u w:val="single"/>
              </w:rPr>
            </w:pPr>
            <w:r w:rsidRPr="00146761">
              <w:rPr>
                <w:u w:val="single"/>
              </w:rPr>
              <w:t>Athena Swan Action plans</w:t>
            </w:r>
          </w:p>
          <w:p w:rsidR="00804162" w:rsidRDefault="00804162" w:rsidP="00367E62">
            <w:r>
              <w:t xml:space="preserve">AM confirmed that </w:t>
            </w:r>
            <w:proofErr w:type="spellStart"/>
            <w:r w:rsidR="00367E62">
              <w:t>HRy</w:t>
            </w:r>
            <w:proofErr w:type="spellEnd"/>
            <w:r w:rsidR="00367E62">
              <w:t xml:space="preserve"> had provided this information and it would be incorporated into the Working Group’s draft report</w:t>
            </w:r>
          </w:p>
        </w:tc>
        <w:tc>
          <w:tcPr>
            <w:tcW w:w="1479" w:type="dxa"/>
          </w:tcPr>
          <w:p w:rsidR="00804162" w:rsidRDefault="00804162" w:rsidP="00A851A0"/>
          <w:p w:rsidR="00804162" w:rsidRDefault="00804162" w:rsidP="00A851A0">
            <w:pPr>
              <w:rPr>
                <w:b/>
              </w:rPr>
            </w:pPr>
            <w:r>
              <w:rPr>
                <w:b/>
              </w:rPr>
              <w:t>Action:</w:t>
            </w:r>
          </w:p>
          <w:p w:rsidR="00804162" w:rsidRDefault="00804162" w:rsidP="00A851A0">
            <w:r>
              <w:t>AM</w:t>
            </w:r>
          </w:p>
        </w:tc>
      </w:tr>
      <w:tr w:rsidR="00804162" w:rsidTr="00A851A0">
        <w:tc>
          <w:tcPr>
            <w:tcW w:w="534" w:type="dxa"/>
          </w:tcPr>
          <w:p w:rsidR="00804162" w:rsidRPr="00F90E20" w:rsidRDefault="00804162" w:rsidP="00A851A0">
            <w:pPr>
              <w:rPr>
                <w:b/>
              </w:rPr>
            </w:pPr>
          </w:p>
        </w:tc>
        <w:tc>
          <w:tcPr>
            <w:tcW w:w="567" w:type="dxa"/>
          </w:tcPr>
          <w:p w:rsidR="00804162" w:rsidRPr="00F90E20" w:rsidRDefault="00804162" w:rsidP="00A851A0">
            <w:pPr>
              <w:rPr>
                <w:b/>
              </w:rPr>
            </w:pPr>
          </w:p>
        </w:tc>
        <w:tc>
          <w:tcPr>
            <w:tcW w:w="6662" w:type="dxa"/>
          </w:tcPr>
          <w:p w:rsidR="00804162" w:rsidRPr="00F90E20" w:rsidRDefault="00804162" w:rsidP="00A851A0">
            <w:pPr>
              <w:rPr>
                <w:b/>
              </w:rPr>
            </w:pPr>
          </w:p>
        </w:tc>
        <w:tc>
          <w:tcPr>
            <w:tcW w:w="1479" w:type="dxa"/>
          </w:tcPr>
          <w:p w:rsidR="00804162" w:rsidRDefault="00804162" w:rsidP="00A851A0"/>
        </w:tc>
      </w:tr>
      <w:tr w:rsidR="00804162" w:rsidRPr="00B42655" w:rsidTr="00A851A0">
        <w:tc>
          <w:tcPr>
            <w:tcW w:w="534" w:type="dxa"/>
          </w:tcPr>
          <w:p w:rsidR="00804162" w:rsidRDefault="00804162" w:rsidP="00A851A0"/>
        </w:tc>
        <w:tc>
          <w:tcPr>
            <w:tcW w:w="567" w:type="dxa"/>
          </w:tcPr>
          <w:p w:rsidR="00804162" w:rsidRDefault="00804162" w:rsidP="00A851A0">
            <w:r>
              <w:t>3.2</w:t>
            </w:r>
          </w:p>
        </w:tc>
        <w:tc>
          <w:tcPr>
            <w:tcW w:w="6662" w:type="dxa"/>
          </w:tcPr>
          <w:p w:rsidR="00804162" w:rsidRPr="00146761" w:rsidRDefault="00804162" w:rsidP="00A851A0">
            <w:pPr>
              <w:pStyle w:val="PlainText"/>
              <w:rPr>
                <w:u w:val="single"/>
              </w:rPr>
            </w:pPr>
            <w:r w:rsidRPr="00146761">
              <w:rPr>
                <w:u w:val="single"/>
              </w:rPr>
              <w:t>Disaggregation of BME staff data</w:t>
            </w:r>
          </w:p>
          <w:p w:rsidR="00367E62" w:rsidRDefault="00367E62" w:rsidP="00A851A0">
            <w:r>
              <w:t>The categorisation of the BME staff data provided in the first reports had been clarified, such that it referred to BME UK, BME EU (excluding UK) and non-EU BME.</w:t>
            </w:r>
          </w:p>
          <w:p w:rsidR="00367E62" w:rsidRDefault="00367E62" w:rsidP="00A851A0"/>
          <w:p w:rsidR="00804162" w:rsidRDefault="00367E62" w:rsidP="00367E62">
            <w:r>
              <w:t xml:space="preserve">Following the decision to aggregate the academic data to Faculty level, given the small numbers, the data had been recirculated on this basis and included with the meeting </w:t>
            </w:r>
            <w:r w:rsidR="00DA2ABE">
              <w:t>papers.</w:t>
            </w:r>
            <w:r>
              <w:t xml:space="preserve">   An aggregate</w:t>
            </w:r>
            <w:r w:rsidR="00CE3E03">
              <w:t>d</w:t>
            </w:r>
            <w:r>
              <w:t xml:space="preserve"> version of the PSS BME staff data had also been circulated.</w:t>
            </w:r>
            <w:r w:rsidR="00804162">
              <w:t xml:space="preserve">  </w:t>
            </w:r>
          </w:p>
        </w:tc>
        <w:tc>
          <w:tcPr>
            <w:tcW w:w="1479" w:type="dxa"/>
          </w:tcPr>
          <w:p w:rsidR="00804162" w:rsidRPr="00B42655" w:rsidRDefault="00804162" w:rsidP="00A851A0"/>
        </w:tc>
      </w:tr>
      <w:tr w:rsidR="00804162" w:rsidTr="00A851A0">
        <w:tc>
          <w:tcPr>
            <w:tcW w:w="534" w:type="dxa"/>
          </w:tcPr>
          <w:p w:rsidR="00804162" w:rsidRDefault="00804162" w:rsidP="00A851A0"/>
        </w:tc>
        <w:tc>
          <w:tcPr>
            <w:tcW w:w="567" w:type="dxa"/>
          </w:tcPr>
          <w:p w:rsidR="00804162" w:rsidRDefault="00804162" w:rsidP="00A851A0"/>
        </w:tc>
        <w:tc>
          <w:tcPr>
            <w:tcW w:w="6662" w:type="dxa"/>
          </w:tcPr>
          <w:p w:rsidR="00804162" w:rsidRDefault="00804162" w:rsidP="00A851A0"/>
          <w:p w:rsidR="00367E62" w:rsidRDefault="00367E62" w:rsidP="00367E62">
            <w:r>
              <w:t xml:space="preserve">In addition to the issues already identified, the aggregated data showed that BME </w:t>
            </w:r>
            <w:proofErr w:type="gramStart"/>
            <w:r>
              <w:t>staff are</w:t>
            </w:r>
            <w:proofErr w:type="gramEnd"/>
            <w:r>
              <w:t xml:space="preserve"> disproportionately represented amongst teaching </w:t>
            </w:r>
            <w:r>
              <w:lastRenderedPageBreak/>
              <w:t>only staff and formed 19 per cent of the total.</w:t>
            </w:r>
          </w:p>
        </w:tc>
        <w:tc>
          <w:tcPr>
            <w:tcW w:w="1479" w:type="dxa"/>
          </w:tcPr>
          <w:p w:rsidR="00804162" w:rsidRDefault="00804162" w:rsidP="00A851A0"/>
        </w:tc>
      </w:tr>
      <w:tr w:rsidR="00804162" w:rsidTr="00A851A0">
        <w:tc>
          <w:tcPr>
            <w:tcW w:w="534" w:type="dxa"/>
          </w:tcPr>
          <w:p w:rsidR="00804162" w:rsidRDefault="00804162" w:rsidP="00A851A0"/>
        </w:tc>
        <w:tc>
          <w:tcPr>
            <w:tcW w:w="567" w:type="dxa"/>
          </w:tcPr>
          <w:p w:rsidR="00804162" w:rsidRDefault="00804162" w:rsidP="00A851A0"/>
        </w:tc>
        <w:tc>
          <w:tcPr>
            <w:tcW w:w="6662" w:type="dxa"/>
          </w:tcPr>
          <w:p w:rsidR="00804162" w:rsidRDefault="00804162" w:rsidP="00A851A0">
            <w:pPr>
              <w:pStyle w:val="PlainText"/>
            </w:pPr>
          </w:p>
        </w:tc>
        <w:tc>
          <w:tcPr>
            <w:tcW w:w="1479" w:type="dxa"/>
          </w:tcPr>
          <w:p w:rsidR="00804162" w:rsidRDefault="00804162" w:rsidP="00A851A0"/>
        </w:tc>
      </w:tr>
      <w:tr w:rsidR="00804162" w:rsidTr="00A851A0">
        <w:tc>
          <w:tcPr>
            <w:tcW w:w="534" w:type="dxa"/>
          </w:tcPr>
          <w:p w:rsidR="00804162" w:rsidRDefault="00804162" w:rsidP="00A851A0"/>
        </w:tc>
        <w:tc>
          <w:tcPr>
            <w:tcW w:w="567" w:type="dxa"/>
          </w:tcPr>
          <w:p w:rsidR="00804162" w:rsidRDefault="00804162" w:rsidP="00A851A0">
            <w:r>
              <w:t>3.3</w:t>
            </w:r>
          </w:p>
        </w:tc>
        <w:tc>
          <w:tcPr>
            <w:tcW w:w="6662" w:type="dxa"/>
          </w:tcPr>
          <w:p w:rsidR="00367E62" w:rsidRDefault="00804162" w:rsidP="00A851A0">
            <w:r w:rsidRPr="00146761">
              <w:rPr>
                <w:u w:val="single"/>
              </w:rPr>
              <w:t>Academic promotions</w:t>
            </w:r>
          </w:p>
          <w:p w:rsidR="00367E62" w:rsidRDefault="00367E62" w:rsidP="00A851A0">
            <w:r>
              <w:t>The data on Faculty academic promotions was circulated to the Group as planned and showed:</w:t>
            </w:r>
          </w:p>
          <w:p w:rsidR="00367E62" w:rsidRDefault="00367E62" w:rsidP="00A851A0"/>
          <w:p w:rsidR="00804162" w:rsidRDefault="00367E62" w:rsidP="00367E62">
            <w:pPr>
              <w:pStyle w:val="ListParagraph"/>
              <w:numPr>
                <w:ilvl w:val="0"/>
                <w:numId w:val="5"/>
              </w:numPr>
            </w:pPr>
            <w:r>
              <w:t>That the p</w:t>
            </w:r>
            <w:r w:rsidR="00804162">
              <w:t xml:space="preserve">roportion </w:t>
            </w:r>
            <w:r w:rsidR="001E361F">
              <w:t>and number of women promoted to SL was up</w:t>
            </w:r>
            <w:r w:rsidR="00804162">
              <w:t xml:space="preserve"> from 2013</w:t>
            </w:r>
            <w:r w:rsidR="001E361F">
              <w:t>-from 47 per cent to</w:t>
            </w:r>
            <w:r w:rsidR="00804162">
              <w:t xml:space="preserve"> 54</w:t>
            </w:r>
            <w:r w:rsidR="001E361F">
              <w:t xml:space="preserve"> per cent and 8 to 13 respectively</w:t>
            </w:r>
            <w:r w:rsidR="00804162">
              <w:t xml:space="preserve">.  </w:t>
            </w:r>
          </w:p>
          <w:p w:rsidR="001E361F" w:rsidRDefault="001E361F" w:rsidP="00A851A0">
            <w:pPr>
              <w:pStyle w:val="ListParagraph"/>
              <w:numPr>
                <w:ilvl w:val="0"/>
                <w:numId w:val="5"/>
              </w:numPr>
            </w:pPr>
            <w:r>
              <w:t>T</w:t>
            </w:r>
            <w:r w:rsidR="00367E62" w:rsidRPr="001E361F">
              <w:t xml:space="preserve">he </w:t>
            </w:r>
            <w:r w:rsidRPr="001E361F">
              <w:t>p</w:t>
            </w:r>
            <w:r w:rsidR="00804162" w:rsidRPr="001E361F">
              <w:t xml:space="preserve">roportion </w:t>
            </w:r>
            <w:r w:rsidRPr="001E361F">
              <w:t xml:space="preserve">and number of women promoted to </w:t>
            </w:r>
            <w:r>
              <w:t xml:space="preserve">Chair was down slightly.  </w:t>
            </w:r>
          </w:p>
          <w:p w:rsidR="00804162" w:rsidRDefault="00804162" w:rsidP="00A851A0">
            <w:pPr>
              <w:pStyle w:val="ListParagraph"/>
              <w:numPr>
                <w:ilvl w:val="0"/>
                <w:numId w:val="5"/>
              </w:numPr>
            </w:pPr>
            <w:r>
              <w:t xml:space="preserve">Twice the percentage of </w:t>
            </w:r>
            <w:r w:rsidR="001E361F">
              <w:t xml:space="preserve">the pool of </w:t>
            </w:r>
            <w:r>
              <w:t>eligible men applied for Chair</w:t>
            </w:r>
            <w:r w:rsidR="001E361F">
              <w:t xml:space="preserve"> when compared to women</w:t>
            </w:r>
            <w:r>
              <w:t>.</w:t>
            </w:r>
          </w:p>
          <w:p w:rsidR="00804162" w:rsidRPr="00034E34" w:rsidRDefault="001E361F" w:rsidP="001E361F">
            <w:pPr>
              <w:pStyle w:val="PlainText"/>
              <w:numPr>
                <w:ilvl w:val="0"/>
                <w:numId w:val="5"/>
              </w:numPr>
            </w:pPr>
            <w:r>
              <w:t xml:space="preserve">The same proportion of men and women applied to SL </w:t>
            </w:r>
            <w:r w:rsidR="00804162">
              <w:t>level.</w:t>
            </w:r>
          </w:p>
        </w:tc>
        <w:tc>
          <w:tcPr>
            <w:tcW w:w="1479" w:type="dxa"/>
          </w:tcPr>
          <w:p w:rsidR="00804162" w:rsidRDefault="00804162" w:rsidP="00A851A0"/>
          <w:p w:rsidR="00804162" w:rsidRDefault="00804162" w:rsidP="00A851A0"/>
        </w:tc>
      </w:tr>
      <w:tr w:rsidR="00804162" w:rsidTr="00A851A0">
        <w:tc>
          <w:tcPr>
            <w:tcW w:w="534" w:type="dxa"/>
          </w:tcPr>
          <w:p w:rsidR="00804162" w:rsidRDefault="00804162" w:rsidP="00A851A0"/>
        </w:tc>
        <w:tc>
          <w:tcPr>
            <w:tcW w:w="567" w:type="dxa"/>
          </w:tcPr>
          <w:p w:rsidR="00804162" w:rsidRDefault="00804162" w:rsidP="00A851A0"/>
        </w:tc>
        <w:tc>
          <w:tcPr>
            <w:tcW w:w="6662" w:type="dxa"/>
          </w:tcPr>
          <w:p w:rsidR="00804162" w:rsidRPr="00146761" w:rsidRDefault="00804162" w:rsidP="00A851A0">
            <w:pPr>
              <w:pStyle w:val="PlainText"/>
              <w:rPr>
                <w:u w:val="single"/>
              </w:rPr>
            </w:pPr>
          </w:p>
        </w:tc>
        <w:tc>
          <w:tcPr>
            <w:tcW w:w="1479" w:type="dxa"/>
          </w:tcPr>
          <w:p w:rsidR="00804162" w:rsidRDefault="00804162" w:rsidP="00A851A0"/>
        </w:tc>
      </w:tr>
      <w:tr w:rsidR="00804162" w:rsidRPr="00303B78" w:rsidTr="00A851A0">
        <w:tc>
          <w:tcPr>
            <w:tcW w:w="534" w:type="dxa"/>
          </w:tcPr>
          <w:p w:rsidR="00804162" w:rsidRDefault="00804162" w:rsidP="00A851A0"/>
        </w:tc>
        <w:tc>
          <w:tcPr>
            <w:tcW w:w="567" w:type="dxa"/>
          </w:tcPr>
          <w:p w:rsidR="00804162" w:rsidRDefault="00804162" w:rsidP="00A851A0">
            <w:r>
              <w:t>3.4</w:t>
            </w:r>
          </w:p>
        </w:tc>
        <w:tc>
          <w:tcPr>
            <w:tcW w:w="6662" w:type="dxa"/>
          </w:tcPr>
          <w:p w:rsidR="00804162" w:rsidRPr="009A0559" w:rsidRDefault="00804162" w:rsidP="00A851A0">
            <w:pPr>
              <w:rPr>
                <w:u w:val="single"/>
              </w:rPr>
            </w:pPr>
            <w:r w:rsidRPr="009A0559">
              <w:rPr>
                <w:u w:val="single"/>
              </w:rPr>
              <w:t>University childcare provision</w:t>
            </w:r>
          </w:p>
          <w:p w:rsidR="001E361F" w:rsidRDefault="00804162" w:rsidP="001E361F">
            <w:r>
              <w:t xml:space="preserve">AM </w:t>
            </w:r>
            <w:r w:rsidR="00CE3E03">
              <w:t xml:space="preserve">reported </w:t>
            </w:r>
            <w:r>
              <w:t xml:space="preserve">that he </w:t>
            </w:r>
            <w:proofErr w:type="gramStart"/>
            <w:r>
              <w:t>raised</w:t>
            </w:r>
            <w:proofErr w:type="gramEnd"/>
            <w:r>
              <w:t xml:space="preserve"> </w:t>
            </w:r>
            <w:r w:rsidR="00CE3E03">
              <w:t xml:space="preserve">at the University Nursery Committee meeting </w:t>
            </w:r>
            <w:r>
              <w:t xml:space="preserve">the </w:t>
            </w:r>
            <w:r w:rsidR="001E361F">
              <w:t>suggestion that staff are put off applying for places by long waiting lists.  The</w:t>
            </w:r>
            <w:r>
              <w:t xml:space="preserve"> Dryden Street </w:t>
            </w:r>
            <w:r w:rsidR="00CE3E03">
              <w:t xml:space="preserve">Nursery Manager </w:t>
            </w:r>
            <w:r>
              <w:t>acknowledged that there are waiting lists</w:t>
            </w:r>
            <w:r w:rsidR="001E361F">
              <w:t xml:space="preserve"> for some rooms, but neither she nor the two </w:t>
            </w:r>
            <w:r>
              <w:t xml:space="preserve"> </w:t>
            </w:r>
            <w:r w:rsidR="001E361F">
              <w:t>p</w:t>
            </w:r>
            <w:r>
              <w:t xml:space="preserve">arents </w:t>
            </w:r>
            <w:r w:rsidR="001E361F">
              <w:t xml:space="preserve">representatives </w:t>
            </w:r>
            <w:r>
              <w:t xml:space="preserve">were </w:t>
            </w:r>
            <w:r w:rsidR="001E361F">
              <w:t xml:space="preserve">aware of </w:t>
            </w:r>
            <w:r>
              <w:t xml:space="preserve">the view was that it was not worthwhile putting a child’s name down.  </w:t>
            </w:r>
            <w:r w:rsidR="001E361F">
              <w:t xml:space="preserve"> </w:t>
            </w:r>
          </w:p>
          <w:p w:rsidR="001E361F" w:rsidRDefault="001E361F" w:rsidP="001E361F"/>
          <w:p w:rsidR="00804162" w:rsidRDefault="00804162" w:rsidP="00CE3E03">
            <w:r>
              <w:t xml:space="preserve">HH asked whether or not there was an issue with the quality of the childcare provision as many men and women take a career break to look after their children rather than sending their child to nursery.  The attitude to childcare may be linked to women returning to work.  </w:t>
            </w:r>
            <w:r w:rsidR="001E361F">
              <w:t xml:space="preserve"> </w:t>
            </w:r>
            <w:r>
              <w:t xml:space="preserve">AM stated that the parents </w:t>
            </w:r>
            <w:r w:rsidR="001E361F">
              <w:t xml:space="preserve">of children </w:t>
            </w:r>
            <w:r>
              <w:t>at Dryden Street Nursery rate it highly for a range of reasons</w:t>
            </w:r>
            <w:r w:rsidR="001E361F">
              <w:t>-</w:t>
            </w:r>
            <w:r>
              <w:t>both education and the social mix are example</w:t>
            </w:r>
            <w:r w:rsidR="00CE3E03">
              <w:t>s cited</w:t>
            </w:r>
            <w:r>
              <w:t xml:space="preserve">.  </w:t>
            </w:r>
            <w:r w:rsidR="001E361F">
              <w:t xml:space="preserve"> </w:t>
            </w:r>
          </w:p>
        </w:tc>
        <w:tc>
          <w:tcPr>
            <w:tcW w:w="1479" w:type="dxa"/>
          </w:tcPr>
          <w:p w:rsidR="00804162" w:rsidRDefault="00804162" w:rsidP="00A851A0"/>
          <w:p w:rsidR="00804162" w:rsidRDefault="00804162" w:rsidP="00A851A0"/>
          <w:p w:rsidR="00804162" w:rsidRDefault="00804162" w:rsidP="00A851A0"/>
          <w:p w:rsidR="00804162" w:rsidRDefault="00804162" w:rsidP="00A851A0"/>
          <w:p w:rsidR="00804162" w:rsidRDefault="00804162" w:rsidP="00A851A0"/>
          <w:p w:rsidR="00804162" w:rsidRPr="00303B78" w:rsidRDefault="00804162" w:rsidP="00A851A0"/>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804162" w:rsidRDefault="00804162" w:rsidP="00F90E20"/>
        </w:tc>
        <w:tc>
          <w:tcPr>
            <w:tcW w:w="1479" w:type="dxa"/>
          </w:tcPr>
          <w:p w:rsidR="00804162" w:rsidRDefault="00804162" w:rsidP="00F90E20"/>
        </w:tc>
      </w:tr>
      <w:tr w:rsidR="00804162" w:rsidTr="00F90E20">
        <w:tc>
          <w:tcPr>
            <w:tcW w:w="534" w:type="dxa"/>
          </w:tcPr>
          <w:p w:rsidR="00804162" w:rsidRDefault="00804162" w:rsidP="00F90E20"/>
        </w:tc>
        <w:tc>
          <w:tcPr>
            <w:tcW w:w="567" w:type="dxa"/>
          </w:tcPr>
          <w:p w:rsidR="00804162" w:rsidRDefault="00804162" w:rsidP="00F90E20">
            <w:r>
              <w:t>3.5</w:t>
            </w:r>
          </w:p>
        </w:tc>
        <w:tc>
          <w:tcPr>
            <w:tcW w:w="6662" w:type="dxa"/>
          </w:tcPr>
          <w:p w:rsidR="00804162" w:rsidRPr="00005877" w:rsidRDefault="00804162" w:rsidP="00A851A0">
            <w:pPr>
              <w:rPr>
                <w:u w:val="single"/>
              </w:rPr>
            </w:pPr>
            <w:r w:rsidRPr="00005877">
              <w:rPr>
                <w:u w:val="single"/>
              </w:rPr>
              <w:t xml:space="preserve">Recruitment data </w:t>
            </w:r>
          </w:p>
          <w:p w:rsidR="00804162" w:rsidRDefault="00804162" w:rsidP="00080B29">
            <w:pPr>
              <w:pStyle w:val="ListParagraph"/>
              <w:ind w:left="33"/>
            </w:pPr>
            <w:r>
              <w:t xml:space="preserve">This had been </w:t>
            </w:r>
            <w:r w:rsidR="00CE3E03">
              <w:t xml:space="preserve">recirculated </w:t>
            </w:r>
            <w:r>
              <w:t xml:space="preserve">and was aggregated due to </w:t>
            </w:r>
            <w:r w:rsidR="00CE3E03">
              <w:t xml:space="preserve">the small numbers </w:t>
            </w:r>
            <w:r>
              <w:t xml:space="preserve">at School level.  </w:t>
            </w:r>
            <w:r w:rsidR="00080B29">
              <w:t>The headlines from the data for the period 1 August 2013 to 31 July 2014 were as follows:</w:t>
            </w:r>
          </w:p>
          <w:p w:rsidR="00080B29" w:rsidRPr="00080B29" w:rsidRDefault="00080B29" w:rsidP="00080B29">
            <w:pPr>
              <w:pStyle w:val="ListParagraph"/>
              <w:ind w:left="33"/>
              <w:rPr>
                <w:i/>
              </w:rPr>
            </w:pPr>
            <w:r w:rsidRPr="00080B29">
              <w:rPr>
                <w:i/>
              </w:rPr>
              <w:t>Academic  staff</w:t>
            </w:r>
          </w:p>
          <w:p w:rsidR="00412996" w:rsidRDefault="00412996" w:rsidP="00080B29">
            <w:pPr>
              <w:pStyle w:val="ListParagraph"/>
              <w:numPr>
                <w:ilvl w:val="0"/>
                <w:numId w:val="7"/>
              </w:numPr>
              <w:tabs>
                <w:tab w:val="left" w:pos="426"/>
              </w:tabs>
            </w:pPr>
            <w:r>
              <w:t>Women formed 41 per cent of applicants at Lecturer level at and 34 per cent at SL level;</w:t>
            </w:r>
          </w:p>
          <w:p w:rsidR="00412996" w:rsidRDefault="00412996" w:rsidP="00080B29">
            <w:pPr>
              <w:pStyle w:val="ListParagraph"/>
              <w:numPr>
                <w:ilvl w:val="0"/>
                <w:numId w:val="7"/>
              </w:numPr>
              <w:tabs>
                <w:tab w:val="left" w:pos="426"/>
              </w:tabs>
            </w:pPr>
            <w:r>
              <w:t>A similar percentage of men and women were shortlisted at Lecturer and SL level;</w:t>
            </w:r>
          </w:p>
          <w:p w:rsidR="00412996" w:rsidRDefault="00412996" w:rsidP="00080B29">
            <w:pPr>
              <w:pStyle w:val="ListParagraph"/>
              <w:numPr>
                <w:ilvl w:val="0"/>
                <w:numId w:val="7"/>
              </w:numPr>
              <w:tabs>
                <w:tab w:val="left" w:pos="426"/>
              </w:tabs>
            </w:pPr>
            <w:r>
              <w:t>A similar proportion of men and women were successful at the interview stage for Lecturers, though women’s success rate was twice as high at SL level;</w:t>
            </w:r>
          </w:p>
          <w:p w:rsidR="00080B29" w:rsidRDefault="00080B29" w:rsidP="00080B29">
            <w:pPr>
              <w:pStyle w:val="ListParagraph"/>
              <w:numPr>
                <w:ilvl w:val="0"/>
                <w:numId w:val="7"/>
              </w:numPr>
              <w:tabs>
                <w:tab w:val="left" w:pos="426"/>
              </w:tabs>
            </w:pPr>
            <w:r>
              <w:t>There is n</w:t>
            </w:r>
            <w:r w:rsidRPr="006A266B">
              <w:t xml:space="preserve">o problem attracting BME candidates to apply </w:t>
            </w:r>
            <w:r>
              <w:t>for academic posts at any level with the figure representing 31</w:t>
            </w:r>
            <w:r w:rsidR="00EF3239">
              <w:t xml:space="preserve"> </w:t>
            </w:r>
            <w:r>
              <w:t>per cent of the total;</w:t>
            </w:r>
          </w:p>
          <w:p w:rsidR="00080B29" w:rsidRDefault="00080B29" w:rsidP="00080B29">
            <w:pPr>
              <w:pStyle w:val="ListParagraph"/>
              <w:numPr>
                <w:ilvl w:val="0"/>
                <w:numId w:val="7"/>
              </w:numPr>
              <w:tabs>
                <w:tab w:val="left" w:pos="426"/>
              </w:tabs>
            </w:pPr>
            <w:r>
              <w:t>14 per cent of white candidates shortlisted, 10</w:t>
            </w:r>
            <w:r w:rsidR="00067093">
              <w:t xml:space="preserve"> per cent </w:t>
            </w:r>
            <w:r>
              <w:t>of BME candidates shortlisted;</w:t>
            </w:r>
          </w:p>
          <w:p w:rsidR="00080B29" w:rsidRDefault="00080B29" w:rsidP="00080B29">
            <w:pPr>
              <w:pStyle w:val="ListParagraph"/>
              <w:numPr>
                <w:ilvl w:val="0"/>
                <w:numId w:val="7"/>
              </w:numPr>
              <w:tabs>
                <w:tab w:val="left" w:pos="426"/>
              </w:tabs>
            </w:pPr>
            <w:r>
              <w:t>Success rates at interview for White and BME are 24 and 22</w:t>
            </w:r>
            <w:r w:rsidR="00067093">
              <w:t xml:space="preserve"> per cent</w:t>
            </w:r>
            <w:r>
              <w:t xml:space="preserve"> respectively;</w:t>
            </w:r>
          </w:p>
          <w:p w:rsidR="00080B29" w:rsidRDefault="00080B29" w:rsidP="00080B29">
            <w:pPr>
              <w:pStyle w:val="ListParagraph"/>
              <w:numPr>
                <w:ilvl w:val="0"/>
                <w:numId w:val="7"/>
              </w:numPr>
              <w:tabs>
                <w:tab w:val="left" w:pos="426"/>
              </w:tabs>
            </w:pPr>
            <w:r>
              <w:t>Overall 22</w:t>
            </w:r>
            <w:r w:rsidR="00067093">
              <w:t xml:space="preserve"> per cent</w:t>
            </w:r>
            <w:r>
              <w:t xml:space="preserve"> of appointments were BME</w:t>
            </w:r>
          </w:p>
          <w:p w:rsidR="00412996" w:rsidRDefault="00067093" w:rsidP="00412996">
            <w:pPr>
              <w:pStyle w:val="ListParagraph"/>
              <w:numPr>
                <w:ilvl w:val="0"/>
                <w:numId w:val="7"/>
              </w:numPr>
              <w:tabs>
                <w:tab w:val="left" w:pos="426"/>
              </w:tabs>
            </w:pPr>
            <w:r>
              <w:t>Figures s</w:t>
            </w:r>
            <w:r w:rsidR="00080B29">
              <w:t xml:space="preserve">uggest </w:t>
            </w:r>
            <w:r w:rsidR="00CE3E03">
              <w:t xml:space="preserve">that there is </w:t>
            </w:r>
            <w:r w:rsidR="00080B29">
              <w:t xml:space="preserve">no problem with </w:t>
            </w:r>
            <w:r w:rsidR="00CE3E03">
              <w:t xml:space="preserve">the BME </w:t>
            </w:r>
            <w:r w:rsidR="00080B29">
              <w:t xml:space="preserve">pipeline, </w:t>
            </w:r>
            <w:r w:rsidR="00710883">
              <w:lastRenderedPageBreak/>
              <w:t xml:space="preserve">though there is a </w:t>
            </w:r>
            <w:r w:rsidR="00080B29">
              <w:t>possible issue at shortlisting stage</w:t>
            </w:r>
            <w:r w:rsidR="00412996">
              <w:t>;</w:t>
            </w:r>
          </w:p>
          <w:p w:rsidR="00412996" w:rsidRDefault="00710883" w:rsidP="00412996">
            <w:pPr>
              <w:pStyle w:val="ListParagraph"/>
              <w:numPr>
                <w:ilvl w:val="0"/>
                <w:numId w:val="7"/>
              </w:numPr>
              <w:tabs>
                <w:tab w:val="left" w:pos="426"/>
              </w:tabs>
            </w:pPr>
            <w:r>
              <w:t>T</w:t>
            </w:r>
            <w:r w:rsidR="00080B29">
              <w:t>he data sample is too small to come to a conclusion on cases at Chair level.</w:t>
            </w:r>
          </w:p>
          <w:p w:rsidR="00080B29" w:rsidRDefault="00067093" w:rsidP="00080B29">
            <w:pPr>
              <w:pStyle w:val="ListParagraph"/>
              <w:ind w:left="33"/>
              <w:rPr>
                <w:i/>
              </w:rPr>
            </w:pPr>
            <w:r w:rsidRPr="00067093">
              <w:rPr>
                <w:i/>
              </w:rPr>
              <w:t>Research staff</w:t>
            </w:r>
          </w:p>
          <w:p w:rsidR="00067093" w:rsidRPr="00067093" w:rsidRDefault="00067093" w:rsidP="00067093">
            <w:pPr>
              <w:numPr>
                <w:ilvl w:val="0"/>
                <w:numId w:val="8"/>
              </w:numPr>
              <w:tabs>
                <w:tab w:val="left" w:pos="426"/>
              </w:tabs>
              <w:contextualSpacing/>
            </w:pPr>
            <w:r>
              <w:t>For g</w:t>
            </w:r>
            <w:r w:rsidRPr="00067093">
              <w:t>ender</w:t>
            </w:r>
            <w:r>
              <w:t xml:space="preserve"> figures show  similar numbers </w:t>
            </w:r>
            <w:r w:rsidRPr="00067093">
              <w:t xml:space="preserve">at application and shortlisting stage, </w:t>
            </w:r>
            <w:r>
              <w:t xml:space="preserve">though men are more successful </w:t>
            </w:r>
            <w:r w:rsidRPr="00067093">
              <w:t>at interview stage</w:t>
            </w:r>
            <w:r>
              <w:t>;</w:t>
            </w:r>
          </w:p>
          <w:p w:rsidR="00067093" w:rsidRPr="00067093" w:rsidRDefault="00067093" w:rsidP="00067093">
            <w:pPr>
              <w:numPr>
                <w:ilvl w:val="0"/>
                <w:numId w:val="8"/>
              </w:numPr>
              <w:tabs>
                <w:tab w:val="left" w:pos="426"/>
              </w:tabs>
              <w:contextualSpacing/>
            </w:pPr>
            <w:r>
              <w:t xml:space="preserve">The </w:t>
            </w:r>
            <w:r w:rsidRPr="00067093">
              <w:t>BME</w:t>
            </w:r>
            <w:r>
              <w:t xml:space="preserve"> applicant </w:t>
            </w:r>
            <w:r w:rsidRPr="00067093">
              <w:t>pipeline</w:t>
            </w:r>
            <w:r>
              <w:t xml:space="preserve"> is</w:t>
            </w:r>
            <w:r w:rsidRPr="00067093">
              <w:t xml:space="preserve"> fine at 27</w:t>
            </w:r>
            <w:r>
              <w:t xml:space="preserve"> per cent</w:t>
            </w:r>
            <w:r w:rsidRPr="00067093">
              <w:t xml:space="preserve"> of applicants, but </w:t>
            </w:r>
            <w:r>
              <w:t xml:space="preserve">BME candidates are </w:t>
            </w:r>
            <w:r w:rsidRPr="00067093">
              <w:t>much less likely to be shortlisted and appointed at interview stage than white candidates</w:t>
            </w:r>
            <w:r>
              <w:t>.</w:t>
            </w:r>
          </w:p>
          <w:p w:rsidR="00080B29" w:rsidRDefault="00067093" w:rsidP="00080B29">
            <w:pPr>
              <w:pStyle w:val="ListParagraph"/>
              <w:ind w:left="33"/>
              <w:rPr>
                <w:i/>
              </w:rPr>
            </w:pPr>
            <w:r w:rsidRPr="00067093">
              <w:rPr>
                <w:i/>
              </w:rPr>
              <w:t>PSS staff</w:t>
            </w:r>
          </w:p>
          <w:p w:rsidR="00067093" w:rsidRPr="00067093" w:rsidRDefault="00067093" w:rsidP="00067093">
            <w:pPr>
              <w:pStyle w:val="ListParagraph"/>
              <w:numPr>
                <w:ilvl w:val="0"/>
                <w:numId w:val="10"/>
              </w:numPr>
              <w:tabs>
                <w:tab w:val="left" w:pos="426"/>
              </w:tabs>
            </w:pPr>
            <w:r w:rsidRPr="00067093">
              <w:t>17</w:t>
            </w:r>
            <w:r>
              <w:t xml:space="preserve"> per cent of applicants are BME, so </w:t>
            </w:r>
            <w:r w:rsidRPr="00067093">
              <w:t>no problem with pipeline</w:t>
            </w:r>
            <w:r>
              <w:t>;</w:t>
            </w:r>
          </w:p>
          <w:p w:rsidR="00067093" w:rsidRDefault="00067093" w:rsidP="00067093">
            <w:pPr>
              <w:pStyle w:val="ListParagraph"/>
              <w:numPr>
                <w:ilvl w:val="0"/>
                <w:numId w:val="10"/>
              </w:numPr>
              <w:tabs>
                <w:tab w:val="left" w:pos="426"/>
              </w:tabs>
            </w:pPr>
            <w:r>
              <w:t>BME applicants are l</w:t>
            </w:r>
            <w:r w:rsidRPr="00067093">
              <w:t>ess likely to be shortlisted than white candidates and half as likely to be appointed at interview stage</w:t>
            </w:r>
            <w:r>
              <w:t>, so this needs further investigation;</w:t>
            </w:r>
          </w:p>
          <w:p w:rsidR="00067093" w:rsidRPr="00067093" w:rsidRDefault="00067093" w:rsidP="00067093">
            <w:pPr>
              <w:pStyle w:val="ListParagraph"/>
              <w:numPr>
                <w:ilvl w:val="0"/>
                <w:numId w:val="10"/>
              </w:numPr>
              <w:tabs>
                <w:tab w:val="left" w:pos="426"/>
              </w:tabs>
            </w:pPr>
            <w:r w:rsidRPr="00067093">
              <w:t xml:space="preserve">Men </w:t>
            </w:r>
            <w:r>
              <w:t xml:space="preserve">form </w:t>
            </w:r>
            <w:r w:rsidRPr="00067093">
              <w:t>only 32</w:t>
            </w:r>
            <w:r>
              <w:t xml:space="preserve"> per cent</w:t>
            </w:r>
            <w:r w:rsidRPr="00067093">
              <w:t xml:space="preserve"> of applicant pool, but perform as well as women at shortlisting and interview stages</w:t>
            </w:r>
            <w:r>
              <w:t>.</w:t>
            </w:r>
          </w:p>
        </w:tc>
        <w:tc>
          <w:tcPr>
            <w:tcW w:w="1479" w:type="dxa"/>
          </w:tcPr>
          <w:p w:rsidR="00804162" w:rsidRDefault="00804162" w:rsidP="00A851A0"/>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804162" w:rsidRPr="00005877" w:rsidRDefault="00804162" w:rsidP="00A851A0">
            <w:pPr>
              <w:rPr>
                <w:u w:val="single"/>
              </w:rPr>
            </w:pPr>
          </w:p>
        </w:tc>
        <w:tc>
          <w:tcPr>
            <w:tcW w:w="1479" w:type="dxa"/>
          </w:tcPr>
          <w:p w:rsidR="00804162" w:rsidRDefault="00804162" w:rsidP="00A851A0"/>
        </w:tc>
      </w:tr>
      <w:tr w:rsidR="00804162" w:rsidTr="00F90E20">
        <w:tc>
          <w:tcPr>
            <w:tcW w:w="534" w:type="dxa"/>
          </w:tcPr>
          <w:p w:rsidR="00804162" w:rsidRPr="00005877" w:rsidRDefault="00804162" w:rsidP="007F0880">
            <w:pPr>
              <w:rPr>
                <w:b/>
              </w:rPr>
            </w:pPr>
            <w:r>
              <w:rPr>
                <w:b/>
              </w:rPr>
              <w:t>4</w:t>
            </w:r>
          </w:p>
        </w:tc>
        <w:tc>
          <w:tcPr>
            <w:tcW w:w="567" w:type="dxa"/>
          </w:tcPr>
          <w:p w:rsidR="00804162" w:rsidRDefault="00804162" w:rsidP="007F0880"/>
        </w:tc>
        <w:tc>
          <w:tcPr>
            <w:tcW w:w="6662" w:type="dxa"/>
          </w:tcPr>
          <w:p w:rsidR="00804162" w:rsidRPr="00005877" w:rsidRDefault="00804162" w:rsidP="007F0880">
            <w:pPr>
              <w:rPr>
                <w:b/>
              </w:rPr>
            </w:pPr>
            <w:r w:rsidRPr="00005877">
              <w:rPr>
                <w:b/>
              </w:rPr>
              <w:t xml:space="preserve">Children on campus </w:t>
            </w:r>
          </w:p>
        </w:tc>
        <w:tc>
          <w:tcPr>
            <w:tcW w:w="1479" w:type="dxa"/>
          </w:tcPr>
          <w:p w:rsidR="00804162" w:rsidRDefault="00804162" w:rsidP="00F90E20"/>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080B29" w:rsidRDefault="00804162" w:rsidP="00005877">
            <w:pPr>
              <w:pStyle w:val="PlainText"/>
            </w:pPr>
            <w:r>
              <w:t xml:space="preserve">Dr Melanie Taylor </w:t>
            </w:r>
            <w:r w:rsidR="00B86C63">
              <w:t xml:space="preserve">(MT) </w:t>
            </w:r>
            <w:r w:rsidR="00067093">
              <w:t xml:space="preserve">was invited </w:t>
            </w:r>
            <w:r>
              <w:t xml:space="preserve">to the </w:t>
            </w:r>
            <w:r w:rsidR="00067093">
              <w:t xml:space="preserve">meeting </w:t>
            </w:r>
            <w:r>
              <w:t xml:space="preserve">to </w:t>
            </w:r>
            <w:r w:rsidR="00080B29">
              <w:t xml:space="preserve">provide clarification on the University’s policy on children coming on to campus and into its buildings. </w:t>
            </w:r>
            <w:r w:rsidR="00B86C63">
              <w:t xml:space="preserve">  MT highlighted that the current</w:t>
            </w:r>
            <w:r w:rsidR="00995500">
              <w:t xml:space="preserve"> </w:t>
            </w:r>
            <w:r w:rsidR="00B86C63">
              <w:t xml:space="preserve">University Policy and Guidance on </w:t>
            </w:r>
            <w:r w:rsidR="00B86C63" w:rsidRPr="00B86C63">
              <w:t>Children on University Premises</w:t>
            </w:r>
            <w:r w:rsidR="00B86C63">
              <w:t xml:space="preserve"> was being revised and was shortly to be re-launched.</w:t>
            </w:r>
          </w:p>
          <w:p w:rsidR="00067093" w:rsidRDefault="00067093" w:rsidP="00005877">
            <w:pPr>
              <w:pStyle w:val="PlainText"/>
            </w:pPr>
          </w:p>
          <w:p w:rsidR="00804162" w:rsidRDefault="00804162" w:rsidP="00005877">
            <w:pPr>
              <w:pStyle w:val="PlainText"/>
            </w:pPr>
            <w:r>
              <w:t xml:space="preserve">MT stated that </w:t>
            </w:r>
            <w:r w:rsidR="00067093">
              <w:t xml:space="preserve">in general terms staff </w:t>
            </w:r>
            <w:r>
              <w:t xml:space="preserve">bringing </w:t>
            </w:r>
            <w:r w:rsidR="00067093">
              <w:t xml:space="preserve">their </w:t>
            </w:r>
            <w:r>
              <w:t>children onto campus should be discouraged</w:t>
            </w:r>
            <w:r w:rsidR="00067093">
              <w:t>.  However, she noted that there was information available about</w:t>
            </w:r>
            <w:r>
              <w:t xml:space="preserve"> </w:t>
            </w:r>
            <w:r w:rsidR="00067093">
              <w:t xml:space="preserve">how to undertake </w:t>
            </w:r>
            <w:r>
              <w:t xml:space="preserve">risk assessments </w:t>
            </w:r>
            <w:r w:rsidR="00067093">
              <w:t>for</w:t>
            </w:r>
            <w:r>
              <w:t xml:space="preserve"> when </w:t>
            </w:r>
            <w:r w:rsidR="00067093">
              <w:t xml:space="preserve">it was necessary to bring children into buildings </w:t>
            </w:r>
            <w:r w:rsidR="00B86C63">
              <w:t xml:space="preserve">(i.e. </w:t>
            </w:r>
            <w:r w:rsidR="00710883">
              <w:t xml:space="preserve">for short periods </w:t>
            </w:r>
            <w:r w:rsidR="00067093">
              <w:t xml:space="preserve">when </w:t>
            </w:r>
            <w:r>
              <w:t xml:space="preserve">there </w:t>
            </w:r>
            <w:r w:rsidR="00067093">
              <w:t>was</w:t>
            </w:r>
            <w:r>
              <w:t xml:space="preserve"> a</w:t>
            </w:r>
            <w:r w:rsidR="00B86C63">
              <w:t>n unforeseen</w:t>
            </w:r>
            <w:r>
              <w:t xml:space="preserve"> breakdown in childcare</w:t>
            </w:r>
            <w:r w:rsidR="00B86C63">
              <w:t>)</w:t>
            </w:r>
            <w:r>
              <w:t xml:space="preserve"> </w:t>
            </w:r>
            <w:r w:rsidR="00B86C63">
              <w:t xml:space="preserve">in exceptional circumstances, </w:t>
            </w:r>
            <w:r>
              <w:t>so that staff were able to fulfil their duties</w:t>
            </w:r>
            <w:r w:rsidR="00710883">
              <w:t>.</w:t>
            </w:r>
            <w:r>
              <w:t xml:space="preserve"> </w:t>
            </w:r>
          </w:p>
          <w:p w:rsidR="00804162" w:rsidRDefault="00804162" w:rsidP="00005877">
            <w:pPr>
              <w:pStyle w:val="PlainText"/>
            </w:pPr>
          </w:p>
          <w:p w:rsidR="00804162" w:rsidRDefault="00B86C63" w:rsidP="00005877">
            <w:pPr>
              <w:pStyle w:val="PlainText"/>
            </w:pPr>
            <w:r>
              <w:t xml:space="preserve">In discussion, it was noted that there was a general lack of awareness about the existence of the policy and the need for risk assessments.  It was agreed that the re-launch provided </w:t>
            </w:r>
            <w:r w:rsidR="00804162">
              <w:t xml:space="preserve">a good opportunity to </w:t>
            </w:r>
            <w:r>
              <w:t xml:space="preserve">publicise it and that the use of </w:t>
            </w:r>
            <w:r w:rsidR="00804162">
              <w:t xml:space="preserve">FAQs </w:t>
            </w:r>
            <w:r>
              <w:t>would be an additional means of raising awareness of the policy and its provisions</w:t>
            </w:r>
            <w:r w:rsidR="00804162">
              <w:t xml:space="preserve">.  MT </w:t>
            </w:r>
            <w:r>
              <w:t>agreed to feedback these views to colleagues in Risk and Compliance responsible for revising and re-launching the policy</w:t>
            </w:r>
            <w:r w:rsidR="00804162">
              <w:t xml:space="preserve">.  </w:t>
            </w:r>
          </w:p>
          <w:p w:rsidR="00804162" w:rsidRDefault="00804162" w:rsidP="00005877">
            <w:pPr>
              <w:pStyle w:val="PlainText"/>
            </w:pPr>
          </w:p>
          <w:p w:rsidR="00804162" w:rsidRDefault="00B86C63" w:rsidP="00710883">
            <w:pPr>
              <w:pStyle w:val="PlainText"/>
            </w:pPr>
            <w:r>
              <w:t>It was also highlighted that the policy and guidance should cover students who</w:t>
            </w:r>
            <w:r w:rsidR="00804162">
              <w:t xml:space="preserve"> </w:t>
            </w:r>
            <w:r>
              <w:t xml:space="preserve">might bring their </w:t>
            </w:r>
            <w:r w:rsidR="00804162">
              <w:t>children</w:t>
            </w:r>
            <w:r>
              <w:t xml:space="preserve"> on to campus</w:t>
            </w:r>
            <w:r w:rsidR="00804162">
              <w:t xml:space="preserve">.  MT </w:t>
            </w:r>
            <w:r>
              <w:t>also agreed to draw this to the attention of her colleagues so its application to students could be made clear.</w:t>
            </w:r>
          </w:p>
        </w:tc>
        <w:tc>
          <w:tcPr>
            <w:tcW w:w="1479" w:type="dxa"/>
          </w:tcPr>
          <w:p w:rsidR="00804162" w:rsidRDefault="00804162" w:rsidP="00F90E20"/>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804162" w:rsidRDefault="00804162" w:rsidP="00005877">
            <w:pPr>
              <w:pStyle w:val="PlainText"/>
            </w:pPr>
          </w:p>
        </w:tc>
        <w:tc>
          <w:tcPr>
            <w:tcW w:w="1479" w:type="dxa"/>
          </w:tcPr>
          <w:p w:rsidR="00804162" w:rsidRDefault="00804162" w:rsidP="00F90E20"/>
        </w:tc>
      </w:tr>
      <w:tr w:rsidR="00804162" w:rsidTr="00F90E20">
        <w:tc>
          <w:tcPr>
            <w:tcW w:w="534" w:type="dxa"/>
          </w:tcPr>
          <w:p w:rsidR="00804162" w:rsidRPr="00995500" w:rsidRDefault="00804162" w:rsidP="00F90E20">
            <w:pPr>
              <w:rPr>
                <w:b/>
              </w:rPr>
            </w:pPr>
            <w:r w:rsidRPr="00995500">
              <w:rPr>
                <w:b/>
              </w:rPr>
              <w:t>5</w:t>
            </w:r>
          </w:p>
        </w:tc>
        <w:tc>
          <w:tcPr>
            <w:tcW w:w="567" w:type="dxa"/>
          </w:tcPr>
          <w:p w:rsidR="00804162" w:rsidRPr="00995500" w:rsidRDefault="00804162" w:rsidP="00F90E20">
            <w:pPr>
              <w:rPr>
                <w:b/>
              </w:rPr>
            </w:pPr>
          </w:p>
        </w:tc>
        <w:tc>
          <w:tcPr>
            <w:tcW w:w="6662" w:type="dxa"/>
          </w:tcPr>
          <w:p w:rsidR="00804162" w:rsidRPr="00995500" w:rsidRDefault="00995500" w:rsidP="00995500">
            <w:pPr>
              <w:pStyle w:val="PlainText"/>
              <w:rPr>
                <w:b/>
              </w:rPr>
            </w:pPr>
            <w:r w:rsidRPr="00995500">
              <w:rPr>
                <w:b/>
              </w:rPr>
              <w:t>Review of Policies</w:t>
            </w:r>
          </w:p>
        </w:tc>
        <w:tc>
          <w:tcPr>
            <w:tcW w:w="1479" w:type="dxa"/>
          </w:tcPr>
          <w:p w:rsidR="00804162" w:rsidRDefault="00804162" w:rsidP="00F90E20"/>
        </w:tc>
      </w:tr>
      <w:tr w:rsidR="00995500" w:rsidTr="00F90E20">
        <w:tc>
          <w:tcPr>
            <w:tcW w:w="534" w:type="dxa"/>
          </w:tcPr>
          <w:p w:rsidR="00995500" w:rsidRPr="008C24D1" w:rsidRDefault="00995500" w:rsidP="00F90E20">
            <w:pPr>
              <w:rPr>
                <w:b/>
              </w:rPr>
            </w:pPr>
          </w:p>
        </w:tc>
        <w:tc>
          <w:tcPr>
            <w:tcW w:w="567" w:type="dxa"/>
          </w:tcPr>
          <w:p w:rsidR="00995500" w:rsidRDefault="00995500" w:rsidP="00F90E20">
            <w:r>
              <w:t>5.1</w:t>
            </w:r>
          </w:p>
        </w:tc>
        <w:tc>
          <w:tcPr>
            <w:tcW w:w="6662" w:type="dxa"/>
          </w:tcPr>
          <w:p w:rsidR="00995500" w:rsidRPr="00995500" w:rsidRDefault="00995500" w:rsidP="00995500">
            <w:pPr>
              <w:pStyle w:val="PlainText"/>
              <w:rPr>
                <w:u w:val="single"/>
              </w:rPr>
            </w:pPr>
            <w:r w:rsidRPr="00995500">
              <w:rPr>
                <w:u w:val="single"/>
              </w:rPr>
              <w:t>Review of Stress at Work , Dignity at Work and Study an</w:t>
            </w:r>
            <w:r>
              <w:rPr>
                <w:u w:val="single"/>
              </w:rPr>
              <w:t>d Consensual Relationships policies</w:t>
            </w:r>
          </w:p>
        </w:tc>
        <w:tc>
          <w:tcPr>
            <w:tcW w:w="1479" w:type="dxa"/>
          </w:tcPr>
          <w:p w:rsidR="00995500" w:rsidRDefault="00995500" w:rsidP="00F90E20"/>
        </w:tc>
      </w:tr>
      <w:tr w:rsidR="00804162" w:rsidTr="00F90E20">
        <w:tc>
          <w:tcPr>
            <w:tcW w:w="534" w:type="dxa"/>
          </w:tcPr>
          <w:p w:rsidR="00804162" w:rsidRDefault="00804162" w:rsidP="00906EAE"/>
        </w:tc>
        <w:tc>
          <w:tcPr>
            <w:tcW w:w="567" w:type="dxa"/>
          </w:tcPr>
          <w:p w:rsidR="00804162" w:rsidRDefault="00804162" w:rsidP="00906EAE"/>
        </w:tc>
        <w:tc>
          <w:tcPr>
            <w:tcW w:w="6662" w:type="dxa"/>
          </w:tcPr>
          <w:p w:rsidR="00804162" w:rsidRPr="00F90E20" w:rsidRDefault="00995500" w:rsidP="00995500">
            <w:pPr>
              <w:pStyle w:val="PlainText"/>
              <w:rPr>
                <w:b/>
              </w:rPr>
            </w:pPr>
            <w:r>
              <w:t xml:space="preserve">It was noted that HH’s helpful review of these policies had been circulated with the papers.  AM </w:t>
            </w:r>
            <w:proofErr w:type="gramStart"/>
            <w:r>
              <w:t>undertook</w:t>
            </w:r>
            <w:proofErr w:type="gramEnd"/>
            <w:r>
              <w:t xml:space="preserve"> to feed these back to the relevant “owners” within HR, so that they could be considered as part </w:t>
            </w:r>
            <w:r>
              <w:lastRenderedPageBreak/>
              <w:t xml:space="preserve">of the regular reviews of the content and operation of the policies. </w:t>
            </w:r>
          </w:p>
        </w:tc>
        <w:tc>
          <w:tcPr>
            <w:tcW w:w="1479" w:type="dxa"/>
          </w:tcPr>
          <w:p w:rsidR="00804162" w:rsidRDefault="00995500" w:rsidP="00F90E20">
            <w:r>
              <w:lastRenderedPageBreak/>
              <w:t>AM</w:t>
            </w:r>
          </w:p>
        </w:tc>
      </w:tr>
      <w:tr w:rsidR="00804162" w:rsidTr="00F90E20">
        <w:tc>
          <w:tcPr>
            <w:tcW w:w="534" w:type="dxa"/>
          </w:tcPr>
          <w:p w:rsidR="00804162" w:rsidRDefault="00804162" w:rsidP="00906EAE"/>
        </w:tc>
        <w:tc>
          <w:tcPr>
            <w:tcW w:w="567" w:type="dxa"/>
          </w:tcPr>
          <w:p w:rsidR="00804162" w:rsidRDefault="00995500" w:rsidP="00906EAE">
            <w:r>
              <w:t>5.2</w:t>
            </w:r>
          </w:p>
        </w:tc>
        <w:tc>
          <w:tcPr>
            <w:tcW w:w="6662" w:type="dxa"/>
          </w:tcPr>
          <w:p w:rsidR="00804162" w:rsidRPr="00995500" w:rsidRDefault="00995500" w:rsidP="00906EAE">
            <w:pPr>
              <w:rPr>
                <w:u w:val="single"/>
              </w:rPr>
            </w:pPr>
            <w:r w:rsidRPr="00995500">
              <w:rPr>
                <w:u w:val="single"/>
              </w:rPr>
              <w:t>Review of recruitment and appointment policies</w:t>
            </w:r>
          </w:p>
        </w:tc>
        <w:tc>
          <w:tcPr>
            <w:tcW w:w="1479" w:type="dxa"/>
          </w:tcPr>
          <w:p w:rsidR="00804162" w:rsidRDefault="00804162" w:rsidP="00F90E20"/>
        </w:tc>
      </w:tr>
      <w:tr w:rsidR="00995500" w:rsidTr="00F90E20">
        <w:tc>
          <w:tcPr>
            <w:tcW w:w="534" w:type="dxa"/>
          </w:tcPr>
          <w:p w:rsidR="00995500" w:rsidRDefault="00995500" w:rsidP="00906EAE"/>
        </w:tc>
        <w:tc>
          <w:tcPr>
            <w:tcW w:w="567" w:type="dxa"/>
          </w:tcPr>
          <w:p w:rsidR="00995500" w:rsidRDefault="00995500" w:rsidP="00906EAE"/>
        </w:tc>
        <w:tc>
          <w:tcPr>
            <w:tcW w:w="6662" w:type="dxa"/>
          </w:tcPr>
          <w:p w:rsidR="00995500" w:rsidRDefault="005F4583" w:rsidP="005F4583">
            <w:r>
              <w:t xml:space="preserve">It was noted that CA and JH had undertaken a comprehensive review of recruitment and appointment policies which had been circulated with the papers.  They had highlighted gaps in policy, issues regarding accessibility and awareness, and a need to review the content of training.   AM </w:t>
            </w:r>
            <w:proofErr w:type="gramStart"/>
            <w:r>
              <w:t>undertook</w:t>
            </w:r>
            <w:proofErr w:type="gramEnd"/>
            <w:r>
              <w:t xml:space="preserve"> to raise these matters with HR colleagues.</w:t>
            </w:r>
          </w:p>
        </w:tc>
        <w:tc>
          <w:tcPr>
            <w:tcW w:w="1479" w:type="dxa"/>
          </w:tcPr>
          <w:p w:rsidR="00995500" w:rsidRDefault="005F4583" w:rsidP="00F90E20">
            <w:r>
              <w:t>AM</w:t>
            </w:r>
          </w:p>
        </w:tc>
      </w:tr>
      <w:tr w:rsidR="005F4583" w:rsidTr="00F90E20">
        <w:tc>
          <w:tcPr>
            <w:tcW w:w="534" w:type="dxa"/>
          </w:tcPr>
          <w:p w:rsidR="005F4583" w:rsidRDefault="005F4583" w:rsidP="00906EAE"/>
        </w:tc>
        <w:tc>
          <w:tcPr>
            <w:tcW w:w="567" w:type="dxa"/>
          </w:tcPr>
          <w:p w:rsidR="005F4583" w:rsidRDefault="005F4583" w:rsidP="00906EAE">
            <w:r>
              <w:t>5.3</w:t>
            </w:r>
          </w:p>
        </w:tc>
        <w:tc>
          <w:tcPr>
            <w:tcW w:w="6662" w:type="dxa"/>
          </w:tcPr>
          <w:p w:rsidR="005F4583" w:rsidRPr="005F4583" w:rsidRDefault="005F4583" w:rsidP="005F4583">
            <w:pPr>
              <w:rPr>
                <w:u w:val="single"/>
              </w:rPr>
            </w:pPr>
            <w:r w:rsidRPr="005F4583">
              <w:rPr>
                <w:u w:val="single"/>
              </w:rPr>
              <w:t>Review of promotion arrangements</w:t>
            </w:r>
          </w:p>
        </w:tc>
        <w:tc>
          <w:tcPr>
            <w:tcW w:w="1479" w:type="dxa"/>
          </w:tcPr>
          <w:p w:rsidR="005F4583" w:rsidRDefault="005F4583" w:rsidP="00F90E20"/>
        </w:tc>
      </w:tr>
      <w:tr w:rsidR="005F4583" w:rsidTr="00F90E20">
        <w:tc>
          <w:tcPr>
            <w:tcW w:w="534" w:type="dxa"/>
          </w:tcPr>
          <w:p w:rsidR="005F4583" w:rsidRDefault="005F4583" w:rsidP="00906EAE"/>
        </w:tc>
        <w:tc>
          <w:tcPr>
            <w:tcW w:w="567" w:type="dxa"/>
          </w:tcPr>
          <w:p w:rsidR="005F4583" w:rsidRDefault="005F4583" w:rsidP="00906EAE"/>
        </w:tc>
        <w:tc>
          <w:tcPr>
            <w:tcW w:w="6662" w:type="dxa"/>
          </w:tcPr>
          <w:p w:rsidR="005F4583" w:rsidRDefault="005F4583" w:rsidP="005F4583">
            <w:r>
              <w:t>HG noted that she had submitted a note about an initial review of the processes and highlighted the following as matters for consideration:</w:t>
            </w:r>
          </w:p>
          <w:p w:rsidR="00AD4C3C" w:rsidRDefault="00AD4C3C" w:rsidP="00AD4C3C">
            <w:pPr>
              <w:pStyle w:val="ListParagraph"/>
              <w:numPr>
                <w:ilvl w:val="0"/>
                <w:numId w:val="12"/>
              </w:numPr>
            </w:pPr>
            <w:r>
              <w:t xml:space="preserve">Having clearer guidance as to how </w:t>
            </w:r>
            <w:r w:rsidRPr="00AD4C3C">
              <w:t xml:space="preserve">individual circumstances </w:t>
            </w:r>
            <w:r>
              <w:t xml:space="preserve">are taken </w:t>
            </w:r>
            <w:r w:rsidRPr="00AD4C3C">
              <w:t>into account (</w:t>
            </w:r>
            <w:r>
              <w:t xml:space="preserve">e.g. </w:t>
            </w:r>
            <w:r w:rsidRPr="00AD4C3C">
              <w:t>part-time</w:t>
            </w:r>
            <w:r>
              <w:t xml:space="preserve"> working</w:t>
            </w:r>
            <w:r w:rsidRPr="00AD4C3C">
              <w:t>, maternity leave, long term absence)</w:t>
            </w:r>
            <w:r>
              <w:t>;</w:t>
            </w:r>
          </w:p>
          <w:p w:rsidR="005F4583" w:rsidRDefault="00AD4C3C" w:rsidP="00AD4C3C">
            <w:pPr>
              <w:pStyle w:val="ListParagraph"/>
              <w:numPr>
                <w:ilvl w:val="0"/>
                <w:numId w:val="12"/>
              </w:numPr>
            </w:pPr>
            <w:r>
              <w:t>Cross-referencing in policies to the equality and diversity policy;</w:t>
            </w:r>
          </w:p>
          <w:p w:rsidR="00AD4C3C" w:rsidRDefault="00AD4C3C" w:rsidP="00AD4C3C">
            <w:pPr>
              <w:pStyle w:val="ListParagraph"/>
              <w:numPr>
                <w:ilvl w:val="0"/>
                <w:numId w:val="12"/>
              </w:numPr>
            </w:pPr>
            <w:r>
              <w:t>Widening consideration out beyond gender and ethnicity to other protected groups;</w:t>
            </w:r>
          </w:p>
          <w:p w:rsidR="00AD4C3C" w:rsidRDefault="00AD4C3C" w:rsidP="00AD4C3C">
            <w:pPr>
              <w:pStyle w:val="ListParagraph"/>
              <w:numPr>
                <w:ilvl w:val="0"/>
                <w:numId w:val="12"/>
              </w:numPr>
            </w:pPr>
            <w:r w:rsidRPr="00AD4C3C">
              <w:rPr>
                <w:rFonts w:eastAsia="Times New Roman" w:cs="Tahoma"/>
                <w:color w:val="000000"/>
              </w:rPr>
              <w:t>Considering a framework through which policies are assessed-perhaps through an Equality and Diversity Code of Conduct</w:t>
            </w:r>
            <w:r>
              <w:rPr>
                <w:rFonts w:ascii="Tahoma" w:eastAsia="Times New Roman" w:hAnsi="Tahoma" w:cs="Tahoma"/>
                <w:color w:val="000000"/>
                <w:sz w:val="20"/>
                <w:szCs w:val="20"/>
              </w:rPr>
              <w:t>. </w:t>
            </w:r>
          </w:p>
          <w:p w:rsidR="005F4583" w:rsidRDefault="005F4583" w:rsidP="005F4583"/>
          <w:p w:rsidR="00FA7F60" w:rsidRDefault="00AD4C3C" w:rsidP="001D14CF">
            <w:r>
              <w:t>It was agreed that these matters would be considered in finalising the content and recommendations in the Group’s final report.</w:t>
            </w:r>
          </w:p>
        </w:tc>
        <w:tc>
          <w:tcPr>
            <w:tcW w:w="1479" w:type="dxa"/>
          </w:tcPr>
          <w:p w:rsidR="005F4583" w:rsidRDefault="005F4583" w:rsidP="00F90E20"/>
        </w:tc>
      </w:tr>
      <w:tr w:rsidR="001D14CF" w:rsidTr="00F90E20">
        <w:tc>
          <w:tcPr>
            <w:tcW w:w="534" w:type="dxa"/>
          </w:tcPr>
          <w:p w:rsidR="001D14CF" w:rsidRDefault="001D14CF" w:rsidP="00906EAE"/>
        </w:tc>
        <w:tc>
          <w:tcPr>
            <w:tcW w:w="567" w:type="dxa"/>
          </w:tcPr>
          <w:p w:rsidR="001D14CF" w:rsidRDefault="001D14CF" w:rsidP="00906EAE">
            <w:r>
              <w:t>5.4</w:t>
            </w:r>
          </w:p>
        </w:tc>
        <w:tc>
          <w:tcPr>
            <w:tcW w:w="6662" w:type="dxa"/>
          </w:tcPr>
          <w:p w:rsidR="001D14CF" w:rsidRPr="001D14CF" w:rsidRDefault="001D14CF" w:rsidP="005F4583">
            <w:pPr>
              <w:rPr>
                <w:u w:val="single"/>
              </w:rPr>
            </w:pPr>
            <w:r w:rsidRPr="001D14CF">
              <w:rPr>
                <w:u w:val="single"/>
              </w:rPr>
              <w:t>Outstanding reviews</w:t>
            </w:r>
          </w:p>
        </w:tc>
        <w:tc>
          <w:tcPr>
            <w:tcW w:w="1479" w:type="dxa"/>
          </w:tcPr>
          <w:p w:rsidR="001D14CF" w:rsidRDefault="001D14CF" w:rsidP="00F90E20"/>
        </w:tc>
      </w:tr>
      <w:tr w:rsidR="001D14CF" w:rsidTr="00F90E20">
        <w:tc>
          <w:tcPr>
            <w:tcW w:w="534" w:type="dxa"/>
          </w:tcPr>
          <w:p w:rsidR="001D14CF" w:rsidRDefault="001D14CF" w:rsidP="00906EAE"/>
        </w:tc>
        <w:tc>
          <w:tcPr>
            <w:tcW w:w="567" w:type="dxa"/>
          </w:tcPr>
          <w:p w:rsidR="001D14CF" w:rsidRDefault="001D14CF" w:rsidP="00906EAE"/>
        </w:tc>
        <w:tc>
          <w:tcPr>
            <w:tcW w:w="6662" w:type="dxa"/>
          </w:tcPr>
          <w:p w:rsidR="001D14CF" w:rsidRPr="001D14CF" w:rsidRDefault="001D14CF" w:rsidP="005F4583">
            <w:r w:rsidRPr="001D14CF">
              <w:t>It was noted that the outstanding reviews would have to be submitted in time for the finalisation of the Group’s report.</w:t>
            </w:r>
          </w:p>
        </w:tc>
        <w:tc>
          <w:tcPr>
            <w:tcW w:w="1479" w:type="dxa"/>
          </w:tcPr>
          <w:p w:rsidR="001D14CF" w:rsidRDefault="001D14CF" w:rsidP="00F90E20"/>
        </w:tc>
      </w:tr>
      <w:tr w:rsidR="001D14CF" w:rsidTr="00F90E20">
        <w:tc>
          <w:tcPr>
            <w:tcW w:w="534" w:type="dxa"/>
          </w:tcPr>
          <w:p w:rsidR="001D14CF" w:rsidRDefault="001D14CF" w:rsidP="00906EAE"/>
        </w:tc>
        <w:tc>
          <w:tcPr>
            <w:tcW w:w="567" w:type="dxa"/>
          </w:tcPr>
          <w:p w:rsidR="001D14CF" w:rsidRDefault="001D14CF" w:rsidP="00906EAE"/>
        </w:tc>
        <w:tc>
          <w:tcPr>
            <w:tcW w:w="6662" w:type="dxa"/>
          </w:tcPr>
          <w:p w:rsidR="001D14CF" w:rsidRPr="001D14CF" w:rsidRDefault="001D14CF" w:rsidP="005F4583"/>
        </w:tc>
        <w:tc>
          <w:tcPr>
            <w:tcW w:w="1479" w:type="dxa"/>
          </w:tcPr>
          <w:p w:rsidR="001D14CF" w:rsidRDefault="001D14CF" w:rsidP="00F90E20"/>
        </w:tc>
      </w:tr>
      <w:tr w:rsidR="00804162" w:rsidTr="00F90E20">
        <w:tc>
          <w:tcPr>
            <w:tcW w:w="534" w:type="dxa"/>
          </w:tcPr>
          <w:p w:rsidR="00804162" w:rsidRDefault="008C24D1" w:rsidP="00906EAE">
            <w:r>
              <w:rPr>
                <w:b/>
              </w:rPr>
              <w:t>6</w:t>
            </w:r>
          </w:p>
        </w:tc>
        <w:tc>
          <w:tcPr>
            <w:tcW w:w="567" w:type="dxa"/>
          </w:tcPr>
          <w:p w:rsidR="00804162" w:rsidRDefault="00804162" w:rsidP="00906EAE"/>
        </w:tc>
        <w:tc>
          <w:tcPr>
            <w:tcW w:w="6662" w:type="dxa"/>
          </w:tcPr>
          <w:p w:rsidR="00804162" w:rsidRDefault="00804162" w:rsidP="00906EAE">
            <w:r>
              <w:rPr>
                <w:b/>
              </w:rPr>
              <w:t>School and Faculty Admin Action plans – report and discussion on progress</w:t>
            </w:r>
            <w:r w:rsidRPr="005E5A7F">
              <w:rPr>
                <w:b/>
              </w:rPr>
              <w:t xml:space="preserve"> </w:t>
            </w:r>
          </w:p>
        </w:tc>
        <w:tc>
          <w:tcPr>
            <w:tcW w:w="1479" w:type="dxa"/>
          </w:tcPr>
          <w:p w:rsidR="00804162" w:rsidRDefault="00804162" w:rsidP="00F90E20"/>
        </w:tc>
      </w:tr>
      <w:tr w:rsidR="00804162" w:rsidTr="00F90E20">
        <w:tc>
          <w:tcPr>
            <w:tcW w:w="534" w:type="dxa"/>
          </w:tcPr>
          <w:p w:rsidR="00804162" w:rsidRDefault="00804162" w:rsidP="00906EAE"/>
        </w:tc>
        <w:tc>
          <w:tcPr>
            <w:tcW w:w="567" w:type="dxa"/>
          </w:tcPr>
          <w:p w:rsidR="00804162" w:rsidRDefault="00804162" w:rsidP="00906EAE"/>
        </w:tc>
        <w:tc>
          <w:tcPr>
            <w:tcW w:w="6662" w:type="dxa"/>
          </w:tcPr>
          <w:p w:rsidR="001D14CF" w:rsidRPr="001D14CF" w:rsidRDefault="001D14CF" w:rsidP="00005877">
            <w:pPr>
              <w:pStyle w:val="PlainText"/>
            </w:pPr>
            <w:r w:rsidRPr="001D14CF">
              <w:t>It was noted that work was well underway in SALC, SEED, Law and MBS in devising action plans, and that working groups had been convened to oversee the devising and implementation of plans.  The need to engage with a wide constituency of colleagues and to gain sponsorship from the Head of School was discussed.  Colleagues were also reminded to involve their designated HR Partner in supporting the work.</w:t>
            </w:r>
          </w:p>
          <w:p w:rsidR="001D14CF" w:rsidRPr="001D14CF" w:rsidRDefault="001D14CF" w:rsidP="00005877">
            <w:pPr>
              <w:pStyle w:val="PlainText"/>
            </w:pPr>
          </w:p>
          <w:p w:rsidR="00804162" w:rsidRDefault="001D14CF" w:rsidP="001D14CF">
            <w:pPr>
              <w:pStyle w:val="PlainText"/>
            </w:pPr>
            <w:r w:rsidRPr="001D14CF">
              <w:t xml:space="preserve">It was noted that Jared Ruff would be taking work forward for the Faculty Admin.  AM </w:t>
            </w:r>
            <w:proofErr w:type="gramStart"/>
            <w:r w:rsidRPr="001D14CF">
              <w:t>undertook</w:t>
            </w:r>
            <w:proofErr w:type="gramEnd"/>
            <w:r w:rsidRPr="001D14CF">
              <w:t xml:space="preserve"> to obtain an update from Social Sciences.</w:t>
            </w:r>
          </w:p>
        </w:tc>
        <w:tc>
          <w:tcPr>
            <w:tcW w:w="1479" w:type="dxa"/>
          </w:tcPr>
          <w:p w:rsidR="00804162" w:rsidRDefault="00804162" w:rsidP="00F90E20"/>
        </w:tc>
      </w:tr>
      <w:tr w:rsidR="00804162" w:rsidTr="00F90E20">
        <w:tc>
          <w:tcPr>
            <w:tcW w:w="534" w:type="dxa"/>
          </w:tcPr>
          <w:p w:rsidR="00804162" w:rsidRDefault="00804162" w:rsidP="00906EAE"/>
        </w:tc>
        <w:tc>
          <w:tcPr>
            <w:tcW w:w="567" w:type="dxa"/>
          </w:tcPr>
          <w:p w:rsidR="00804162" w:rsidRDefault="00804162" w:rsidP="00906EAE"/>
        </w:tc>
        <w:tc>
          <w:tcPr>
            <w:tcW w:w="6662" w:type="dxa"/>
          </w:tcPr>
          <w:p w:rsidR="00804162" w:rsidRDefault="00804162" w:rsidP="00906EAE"/>
        </w:tc>
        <w:tc>
          <w:tcPr>
            <w:tcW w:w="1479" w:type="dxa"/>
          </w:tcPr>
          <w:p w:rsidR="00804162" w:rsidRDefault="00804162" w:rsidP="00F90E20"/>
        </w:tc>
      </w:tr>
      <w:tr w:rsidR="00804162" w:rsidTr="00F90E20">
        <w:tc>
          <w:tcPr>
            <w:tcW w:w="534" w:type="dxa"/>
          </w:tcPr>
          <w:p w:rsidR="00804162" w:rsidRPr="00F90E20" w:rsidRDefault="008C24D1" w:rsidP="00F90E20">
            <w:pPr>
              <w:rPr>
                <w:b/>
              </w:rPr>
            </w:pPr>
            <w:r>
              <w:rPr>
                <w:b/>
              </w:rPr>
              <w:t>7</w:t>
            </w:r>
          </w:p>
        </w:tc>
        <w:tc>
          <w:tcPr>
            <w:tcW w:w="567" w:type="dxa"/>
          </w:tcPr>
          <w:p w:rsidR="00804162" w:rsidRPr="00F90E20" w:rsidRDefault="00804162" w:rsidP="00F90E20">
            <w:pPr>
              <w:rPr>
                <w:b/>
              </w:rPr>
            </w:pPr>
          </w:p>
        </w:tc>
        <w:tc>
          <w:tcPr>
            <w:tcW w:w="6662" w:type="dxa"/>
          </w:tcPr>
          <w:p w:rsidR="00804162" w:rsidRPr="00F90E20" w:rsidRDefault="00804162" w:rsidP="00F90E20">
            <w:pPr>
              <w:rPr>
                <w:b/>
              </w:rPr>
            </w:pPr>
            <w:r>
              <w:rPr>
                <w:b/>
              </w:rPr>
              <w:t>Next steps and plan for finalising Working Group’s report</w:t>
            </w:r>
          </w:p>
        </w:tc>
        <w:tc>
          <w:tcPr>
            <w:tcW w:w="1479" w:type="dxa"/>
          </w:tcPr>
          <w:p w:rsidR="00804162" w:rsidRDefault="00804162" w:rsidP="00F90E20"/>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804162" w:rsidRDefault="00804162" w:rsidP="00314D63">
            <w:pPr>
              <w:pStyle w:val="PlainText"/>
            </w:pPr>
            <w:r>
              <w:t xml:space="preserve">AM </w:t>
            </w:r>
            <w:r w:rsidR="00314D63">
              <w:t xml:space="preserve">noted </w:t>
            </w:r>
            <w:r>
              <w:t xml:space="preserve">that the Working Group’s report </w:t>
            </w:r>
            <w:r w:rsidR="00314D63">
              <w:t xml:space="preserve">is </w:t>
            </w:r>
            <w:r>
              <w:t xml:space="preserve">due to go to </w:t>
            </w:r>
            <w:r w:rsidR="00314D63">
              <w:t xml:space="preserve">HPRC </w:t>
            </w:r>
            <w:r>
              <w:t>on 11 Novembe</w:t>
            </w:r>
            <w:r w:rsidR="00314D63">
              <w:t xml:space="preserve">r.   IT was agreed that a further meeting would be scheduled for </w:t>
            </w:r>
            <w:r>
              <w:t xml:space="preserve">mid-October to discuss the </w:t>
            </w:r>
            <w:r w:rsidR="00314D63">
              <w:t xml:space="preserve">content of the report, the </w:t>
            </w:r>
            <w:r>
              <w:t>future role of the group, on</w:t>
            </w:r>
            <w:r w:rsidR="00314D63">
              <w:t>-</w:t>
            </w:r>
            <w:r>
              <w:t>going work</w:t>
            </w:r>
            <w:r w:rsidR="00314D63">
              <w:t xml:space="preserve"> and the appropriate means, content and timing of communicating the Group’s work to date.</w:t>
            </w:r>
          </w:p>
        </w:tc>
        <w:tc>
          <w:tcPr>
            <w:tcW w:w="1479" w:type="dxa"/>
          </w:tcPr>
          <w:p w:rsidR="00804162" w:rsidRDefault="00804162" w:rsidP="00F90E20"/>
          <w:p w:rsidR="00804162" w:rsidRDefault="00804162" w:rsidP="00F90E20">
            <w:pPr>
              <w:rPr>
                <w:b/>
              </w:rPr>
            </w:pPr>
          </w:p>
          <w:p w:rsidR="00804162" w:rsidRDefault="00804162" w:rsidP="00F90E20">
            <w:pPr>
              <w:rPr>
                <w:b/>
              </w:rPr>
            </w:pPr>
          </w:p>
          <w:p w:rsidR="00804162" w:rsidRDefault="00804162" w:rsidP="00F90E20">
            <w:pPr>
              <w:rPr>
                <w:b/>
              </w:rPr>
            </w:pPr>
          </w:p>
          <w:p w:rsidR="00804162" w:rsidRPr="00B42655" w:rsidRDefault="00804162" w:rsidP="00F90E20">
            <w:r w:rsidRPr="00964ED4">
              <w:rPr>
                <w:b/>
              </w:rPr>
              <w:t>Action:</w:t>
            </w:r>
            <w:r>
              <w:t xml:space="preserve"> NTV</w:t>
            </w:r>
          </w:p>
        </w:tc>
      </w:tr>
      <w:tr w:rsidR="00DA2ABE" w:rsidTr="00F90E20">
        <w:tc>
          <w:tcPr>
            <w:tcW w:w="534" w:type="dxa"/>
          </w:tcPr>
          <w:p w:rsidR="00DA2ABE" w:rsidRDefault="00DA2ABE" w:rsidP="00F90E20"/>
        </w:tc>
        <w:tc>
          <w:tcPr>
            <w:tcW w:w="567" w:type="dxa"/>
          </w:tcPr>
          <w:p w:rsidR="00DA2ABE" w:rsidRDefault="00DA2ABE" w:rsidP="00F90E20"/>
        </w:tc>
        <w:tc>
          <w:tcPr>
            <w:tcW w:w="6662" w:type="dxa"/>
          </w:tcPr>
          <w:p w:rsidR="00DA2ABE" w:rsidRDefault="00DA2ABE" w:rsidP="00314D63">
            <w:pPr>
              <w:pStyle w:val="PlainText"/>
            </w:pPr>
          </w:p>
        </w:tc>
        <w:tc>
          <w:tcPr>
            <w:tcW w:w="1479" w:type="dxa"/>
          </w:tcPr>
          <w:p w:rsidR="00DA2ABE" w:rsidRDefault="00DA2ABE" w:rsidP="00F90E20"/>
        </w:tc>
      </w:tr>
      <w:tr w:rsidR="00804162" w:rsidTr="00F90E20">
        <w:tc>
          <w:tcPr>
            <w:tcW w:w="534" w:type="dxa"/>
          </w:tcPr>
          <w:p w:rsidR="00804162" w:rsidRPr="008C24D1" w:rsidRDefault="008C24D1" w:rsidP="00F90E20">
            <w:pPr>
              <w:rPr>
                <w:b/>
              </w:rPr>
            </w:pPr>
            <w:r w:rsidRPr="008C24D1">
              <w:rPr>
                <w:b/>
              </w:rPr>
              <w:t>8</w:t>
            </w:r>
          </w:p>
        </w:tc>
        <w:tc>
          <w:tcPr>
            <w:tcW w:w="567" w:type="dxa"/>
          </w:tcPr>
          <w:p w:rsidR="00804162" w:rsidRPr="008C24D1" w:rsidRDefault="00804162" w:rsidP="00F90E20">
            <w:pPr>
              <w:rPr>
                <w:b/>
              </w:rPr>
            </w:pPr>
          </w:p>
        </w:tc>
        <w:tc>
          <w:tcPr>
            <w:tcW w:w="6662" w:type="dxa"/>
          </w:tcPr>
          <w:p w:rsidR="00804162" w:rsidRDefault="008C24D1" w:rsidP="00F90E20">
            <w:r>
              <w:rPr>
                <w:b/>
              </w:rPr>
              <w:t xml:space="preserve">Summary of </w:t>
            </w:r>
            <w:r w:rsidR="00804162" w:rsidRPr="00005877">
              <w:rPr>
                <w:b/>
              </w:rPr>
              <w:t>other business</w:t>
            </w:r>
          </w:p>
        </w:tc>
        <w:tc>
          <w:tcPr>
            <w:tcW w:w="1479" w:type="dxa"/>
          </w:tcPr>
          <w:p w:rsidR="00804162" w:rsidRDefault="00804162" w:rsidP="00F90E20"/>
        </w:tc>
      </w:tr>
      <w:tr w:rsidR="008C24D1" w:rsidTr="00F90E20">
        <w:tc>
          <w:tcPr>
            <w:tcW w:w="534" w:type="dxa"/>
          </w:tcPr>
          <w:p w:rsidR="008C24D1" w:rsidRPr="008C24D1" w:rsidRDefault="008C24D1" w:rsidP="00F90E20">
            <w:pPr>
              <w:rPr>
                <w:b/>
              </w:rPr>
            </w:pPr>
          </w:p>
        </w:tc>
        <w:tc>
          <w:tcPr>
            <w:tcW w:w="567" w:type="dxa"/>
          </w:tcPr>
          <w:p w:rsidR="008C24D1" w:rsidRPr="008C24D1" w:rsidRDefault="008C24D1" w:rsidP="00F90E20">
            <w:r w:rsidRPr="008C24D1">
              <w:t>8.1</w:t>
            </w:r>
          </w:p>
        </w:tc>
        <w:tc>
          <w:tcPr>
            <w:tcW w:w="6662" w:type="dxa"/>
          </w:tcPr>
          <w:p w:rsidR="008C24D1" w:rsidRPr="008C24D1" w:rsidRDefault="00EB6517" w:rsidP="008C24D1">
            <w:pPr>
              <w:pStyle w:val="PlainText"/>
              <w:tabs>
                <w:tab w:val="left" w:pos="2595"/>
              </w:tabs>
              <w:rPr>
                <w:u w:val="single"/>
              </w:rPr>
            </w:pPr>
            <w:r w:rsidRPr="008C24D1">
              <w:rPr>
                <w:u w:val="single"/>
              </w:rPr>
              <w:t>Unconscious</w:t>
            </w:r>
            <w:r w:rsidR="008C24D1" w:rsidRPr="008C24D1">
              <w:rPr>
                <w:u w:val="single"/>
              </w:rPr>
              <w:t xml:space="preserve"> bias training</w:t>
            </w:r>
            <w:r w:rsidR="008C24D1" w:rsidRPr="008C24D1">
              <w:tab/>
            </w:r>
          </w:p>
        </w:tc>
        <w:tc>
          <w:tcPr>
            <w:tcW w:w="1479" w:type="dxa"/>
          </w:tcPr>
          <w:p w:rsidR="008C24D1" w:rsidRPr="00964ED4" w:rsidRDefault="008C24D1" w:rsidP="00F90E20">
            <w:pPr>
              <w:rPr>
                <w:b/>
              </w:rPr>
            </w:pPr>
          </w:p>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804162" w:rsidRDefault="00804162" w:rsidP="00710883">
            <w:pPr>
              <w:pStyle w:val="PlainText"/>
            </w:pPr>
            <w:r>
              <w:t xml:space="preserve">AM </w:t>
            </w:r>
            <w:r w:rsidR="00314D63">
              <w:t xml:space="preserve">noted </w:t>
            </w:r>
            <w:r w:rsidR="00710883">
              <w:t xml:space="preserve">that ECU has devised </w:t>
            </w:r>
            <w:r>
              <w:t xml:space="preserve">unconscious bias training and suggested </w:t>
            </w:r>
            <w:r w:rsidR="00314D63">
              <w:t xml:space="preserve">that the Group’s members might </w:t>
            </w:r>
            <w:r>
              <w:t xml:space="preserve">pilot </w:t>
            </w:r>
            <w:r w:rsidR="00314D63">
              <w:t xml:space="preserve">the </w:t>
            </w:r>
            <w:r>
              <w:t xml:space="preserve">training.  </w:t>
            </w:r>
            <w:r w:rsidR="00314D63">
              <w:t xml:space="preserve"> </w:t>
            </w:r>
            <w:r>
              <w:t xml:space="preserve">HG </w:t>
            </w:r>
            <w:r w:rsidR="00EB6517">
              <w:t>informed</w:t>
            </w:r>
            <w:r>
              <w:t xml:space="preserve"> the meeting that there was already similar training provided by STDU.  </w:t>
            </w:r>
            <w:r w:rsidR="00314D63">
              <w:t xml:space="preserve"> </w:t>
            </w:r>
            <w:r>
              <w:t>HG to send the links to AM.</w:t>
            </w:r>
          </w:p>
        </w:tc>
        <w:tc>
          <w:tcPr>
            <w:tcW w:w="1479" w:type="dxa"/>
          </w:tcPr>
          <w:p w:rsidR="00804162" w:rsidRDefault="00804162" w:rsidP="00F90E20">
            <w:r w:rsidRPr="00964ED4">
              <w:rPr>
                <w:b/>
              </w:rPr>
              <w:t>Action:</w:t>
            </w:r>
            <w:r>
              <w:t xml:space="preserve"> AM/HG</w:t>
            </w:r>
          </w:p>
        </w:tc>
      </w:tr>
      <w:tr w:rsidR="008C24D1" w:rsidTr="00F90E20">
        <w:tc>
          <w:tcPr>
            <w:tcW w:w="534" w:type="dxa"/>
          </w:tcPr>
          <w:p w:rsidR="008C24D1" w:rsidRDefault="008C24D1" w:rsidP="00F90E20"/>
        </w:tc>
        <w:tc>
          <w:tcPr>
            <w:tcW w:w="567" w:type="dxa"/>
          </w:tcPr>
          <w:p w:rsidR="008C24D1" w:rsidRDefault="008C24D1" w:rsidP="00F90E20"/>
        </w:tc>
        <w:tc>
          <w:tcPr>
            <w:tcW w:w="6662" w:type="dxa"/>
          </w:tcPr>
          <w:p w:rsidR="008C24D1" w:rsidRPr="00034E34" w:rsidRDefault="008C24D1" w:rsidP="00303B78">
            <w:pPr>
              <w:pStyle w:val="PlainText"/>
            </w:pPr>
          </w:p>
        </w:tc>
        <w:tc>
          <w:tcPr>
            <w:tcW w:w="1479" w:type="dxa"/>
          </w:tcPr>
          <w:p w:rsidR="008C24D1" w:rsidRDefault="008C24D1" w:rsidP="00F90E20"/>
        </w:tc>
      </w:tr>
      <w:tr w:rsidR="00804162" w:rsidTr="00F90E20">
        <w:tc>
          <w:tcPr>
            <w:tcW w:w="534" w:type="dxa"/>
          </w:tcPr>
          <w:p w:rsidR="00804162" w:rsidRDefault="00804162" w:rsidP="00F90E20"/>
        </w:tc>
        <w:tc>
          <w:tcPr>
            <w:tcW w:w="567" w:type="dxa"/>
          </w:tcPr>
          <w:p w:rsidR="00804162" w:rsidRDefault="008C24D1" w:rsidP="00F90E20">
            <w:r>
              <w:t>8.2</w:t>
            </w:r>
          </w:p>
        </w:tc>
        <w:tc>
          <w:tcPr>
            <w:tcW w:w="6662" w:type="dxa"/>
          </w:tcPr>
          <w:p w:rsidR="00804162" w:rsidRPr="008C24D1" w:rsidRDefault="008C24D1" w:rsidP="008C24D1">
            <w:pPr>
              <w:pStyle w:val="PlainText"/>
              <w:rPr>
                <w:u w:val="single"/>
              </w:rPr>
            </w:pPr>
            <w:r w:rsidRPr="008C24D1">
              <w:rPr>
                <w:u w:val="single"/>
              </w:rPr>
              <w:t>ECU-Race Equality Charter Mark accreditation</w:t>
            </w:r>
          </w:p>
        </w:tc>
        <w:tc>
          <w:tcPr>
            <w:tcW w:w="1479" w:type="dxa"/>
          </w:tcPr>
          <w:p w:rsidR="00804162" w:rsidRDefault="00804162" w:rsidP="00F90E20"/>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804162" w:rsidRPr="00146761" w:rsidRDefault="00314D63" w:rsidP="001D14CF">
            <w:pPr>
              <w:pStyle w:val="PlainText"/>
              <w:rPr>
                <w:u w:val="single"/>
              </w:rPr>
            </w:pPr>
            <w:r>
              <w:t xml:space="preserve">It was noted that the first meeting of the University’s </w:t>
            </w:r>
            <w:r w:rsidR="00804162">
              <w:t>Race Equality Charter Mark</w:t>
            </w:r>
            <w:r>
              <w:t xml:space="preserve"> Working Group was due to take place on 29 September and </w:t>
            </w:r>
            <w:r w:rsidR="00804162">
              <w:t xml:space="preserve"> </w:t>
            </w:r>
            <w:r>
              <w:t>that t</w:t>
            </w:r>
            <w:r w:rsidR="00804162">
              <w:t xml:space="preserve">he President </w:t>
            </w:r>
            <w:r w:rsidR="001D14CF">
              <w:t>&amp; Vice-Chancellor and Registrar, Secretary and Chief Operating Officer were hosting a lunch with the</w:t>
            </w:r>
            <w:r w:rsidR="00804162">
              <w:t xml:space="preserve"> group </w:t>
            </w:r>
            <w:r w:rsidR="001D14CF">
              <w:t xml:space="preserve">immediately </w:t>
            </w:r>
            <w:r w:rsidR="00804162">
              <w:t xml:space="preserve">afterwards.  </w:t>
            </w:r>
          </w:p>
        </w:tc>
        <w:tc>
          <w:tcPr>
            <w:tcW w:w="1479" w:type="dxa"/>
          </w:tcPr>
          <w:p w:rsidR="00804162" w:rsidRDefault="00804162" w:rsidP="00F90E20"/>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804162" w:rsidRDefault="00804162" w:rsidP="002C2A04"/>
        </w:tc>
        <w:tc>
          <w:tcPr>
            <w:tcW w:w="1479" w:type="dxa"/>
          </w:tcPr>
          <w:p w:rsidR="00804162" w:rsidRPr="00303B78" w:rsidRDefault="00804162" w:rsidP="00F90E20"/>
        </w:tc>
      </w:tr>
      <w:tr w:rsidR="008C24D1" w:rsidTr="00F90E20">
        <w:tc>
          <w:tcPr>
            <w:tcW w:w="534" w:type="dxa"/>
          </w:tcPr>
          <w:p w:rsidR="008C24D1" w:rsidRDefault="008C24D1" w:rsidP="00F90E20"/>
        </w:tc>
        <w:tc>
          <w:tcPr>
            <w:tcW w:w="567" w:type="dxa"/>
          </w:tcPr>
          <w:p w:rsidR="008C24D1" w:rsidRDefault="008C24D1" w:rsidP="00F90E20">
            <w:r>
              <w:t>8.3</w:t>
            </w:r>
          </w:p>
        </w:tc>
        <w:tc>
          <w:tcPr>
            <w:tcW w:w="6662" w:type="dxa"/>
          </w:tcPr>
          <w:p w:rsidR="008C24D1" w:rsidRPr="008C24D1" w:rsidRDefault="008C24D1" w:rsidP="00460831">
            <w:pPr>
              <w:rPr>
                <w:u w:val="single"/>
              </w:rPr>
            </w:pPr>
            <w:r w:rsidRPr="008C24D1">
              <w:rPr>
                <w:u w:val="single"/>
              </w:rPr>
              <w:t>Appointment of new AVP for Social Respons</w:t>
            </w:r>
            <w:r>
              <w:rPr>
                <w:u w:val="single"/>
              </w:rPr>
              <w:t>i</w:t>
            </w:r>
            <w:r w:rsidRPr="008C24D1">
              <w:rPr>
                <w:u w:val="single"/>
              </w:rPr>
              <w:t>bility</w:t>
            </w:r>
          </w:p>
        </w:tc>
        <w:tc>
          <w:tcPr>
            <w:tcW w:w="1479" w:type="dxa"/>
          </w:tcPr>
          <w:p w:rsidR="008C24D1" w:rsidRDefault="008C24D1" w:rsidP="00F90E20"/>
        </w:tc>
      </w:tr>
      <w:tr w:rsidR="00804162" w:rsidTr="00F90E20">
        <w:tc>
          <w:tcPr>
            <w:tcW w:w="534" w:type="dxa"/>
          </w:tcPr>
          <w:p w:rsidR="00804162" w:rsidRDefault="00804162" w:rsidP="00F90E20"/>
        </w:tc>
        <w:tc>
          <w:tcPr>
            <w:tcW w:w="567" w:type="dxa"/>
          </w:tcPr>
          <w:p w:rsidR="00804162" w:rsidRDefault="00804162" w:rsidP="00F90E20"/>
        </w:tc>
        <w:tc>
          <w:tcPr>
            <w:tcW w:w="6662" w:type="dxa"/>
          </w:tcPr>
          <w:p w:rsidR="00804162" w:rsidRDefault="00314D63" w:rsidP="00314D63">
            <w:r>
              <w:t xml:space="preserve">In his new role as Associate Vice-President for Social Responsibility, Professor </w:t>
            </w:r>
            <w:r w:rsidR="00804162">
              <w:t xml:space="preserve">James Thompson will be taking over </w:t>
            </w:r>
            <w:r>
              <w:t>the equality and diversity brief for which Professor Aneez Esmail was responsible.</w:t>
            </w:r>
          </w:p>
        </w:tc>
        <w:tc>
          <w:tcPr>
            <w:tcW w:w="1479" w:type="dxa"/>
          </w:tcPr>
          <w:p w:rsidR="00804162" w:rsidRDefault="00804162" w:rsidP="00F90E20"/>
        </w:tc>
      </w:tr>
      <w:tr w:rsidR="00804162" w:rsidTr="00F90E20">
        <w:tc>
          <w:tcPr>
            <w:tcW w:w="534" w:type="dxa"/>
          </w:tcPr>
          <w:p w:rsidR="00804162" w:rsidRDefault="00804162" w:rsidP="00F90E20"/>
        </w:tc>
        <w:tc>
          <w:tcPr>
            <w:tcW w:w="567" w:type="dxa"/>
          </w:tcPr>
          <w:p w:rsidR="00804162" w:rsidRDefault="00804162" w:rsidP="009A0559"/>
        </w:tc>
        <w:tc>
          <w:tcPr>
            <w:tcW w:w="6662" w:type="dxa"/>
          </w:tcPr>
          <w:p w:rsidR="00804162" w:rsidRDefault="00804162" w:rsidP="009639E0">
            <w:pPr>
              <w:pStyle w:val="ListParagraph"/>
              <w:ind w:left="33"/>
            </w:pPr>
          </w:p>
        </w:tc>
        <w:tc>
          <w:tcPr>
            <w:tcW w:w="1479" w:type="dxa"/>
          </w:tcPr>
          <w:p w:rsidR="00804162" w:rsidRDefault="00804162" w:rsidP="00F90E20"/>
        </w:tc>
      </w:tr>
      <w:tr w:rsidR="00804162" w:rsidTr="00F90E20">
        <w:tc>
          <w:tcPr>
            <w:tcW w:w="534" w:type="dxa"/>
          </w:tcPr>
          <w:p w:rsidR="00804162" w:rsidRDefault="008C24D1" w:rsidP="00F90E20">
            <w:r>
              <w:rPr>
                <w:b/>
              </w:rPr>
              <w:t>9</w:t>
            </w:r>
          </w:p>
        </w:tc>
        <w:tc>
          <w:tcPr>
            <w:tcW w:w="567" w:type="dxa"/>
          </w:tcPr>
          <w:p w:rsidR="00804162" w:rsidRDefault="00804162" w:rsidP="00F90E20"/>
        </w:tc>
        <w:tc>
          <w:tcPr>
            <w:tcW w:w="6662" w:type="dxa"/>
          </w:tcPr>
          <w:p w:rsidR="00804162" w:rsidRDefault="00804162" w:rsidP="00460831">
            <w:r w:rsidRPr="00F90E20">
              <w:rPr>
                <w:b/>
              </w:rPr>
              <w:t>Date of next meeting</w:t>
            </w:r>
          </w:p>
        </w:tc>
        <w:tc>
          <w:tcPr>
            <w:tcW w:w="1479" w:type="dxa"/>
          </w:tcPr>
          <w:p w:rsidR="00804162" w:rsidRDefault="00804162" w:rsidP="00F90E20"/>
        </w:tc>
      </w:tr>
      <w:tr w:rsidR="00804162" w:rsidTr="00F90E20">
        <w:tc>
          <w:tcPr>
            <w:tcW w:w="534" w:type="dxa"/>
          </w:tcPr>
          <w:p w:rsidR="00804162" w:rsidRPr="00253E95" w:rsidRDefault="00804162" w:rsidP="00F90E20">
            <w:pPr>
              <w:rPr>
                <w:b/>
              </w:rPr>
            </w:pPr>
          </w:p>
        </w:tc>
        <w:tc>
          <w:tcPr>
            <w:tcW w:w="567" w:type="dxa"/>
          </w:tcPr>
          <w:p w:rsidR="00804162" w:rsidRPr="00253E95" w:rsidRDefault="00804162" w:rsidP="00F90E20">
            <w:pPr>
              <w:rPr>
                <w:b/>
              </w:rPr>
            </w:pPr>
          </w:p>
        </w:tc>
        <w:tc>
          <w:tcPr>
            <w:tcW w:w="6662" w:type="dxa"/>
          </w:tcPr>
          <w:p w:rsidR="00804162" w:rsidRPr="00253E95" w:rsidRDefault="008C24D1" w:rsidP="008C24D1">
            <w:pPr>
              <w:rPr>
                <w:b/>
              </w:rPr>
            </w:pPr>
            <w:r>
              <w:t xml:space="preserve">Monday </w:t>
            </w:r>
            <w:r w:rsidR="00804162">
              <w:t>20</w:t>
            </w:r>
            <w:r w:rsidRPr="008C24D1">
              <w:rPr>
                <w:vertAlign w:val="superscript"/>
              </w:rPr>
              <w:t>t</w:t>
            </w:r>
            <w:r w:rsidR="00EF3239">
              <w:rPr>
                <w:vertAlign w:val="superscript"/>
              </w:rPr>
              <w:t>h</w:t>
            </w:r>
            <w:r w:rsidR="00804162">
              <w:t xml:space="preserve"> October </w:t>
            </w:r>
            <w:r>
              <w:t xml:space="preserve">from </w:t>
            </w:r>
            <w:r w:rsidR="00804162">
              <w:t>11:00 – 12:00 in the HR Boardroom, 1</w:t>
            </w:r>
            <w:r w:rsidR="00804162" w:rsidRPr="00005877">
              <w:rPr>
                <w:vertAlign w:val="superscript"/>
              </w:rPr>
              <w:t>st</w:t>
            </w:r>
            <w:r w:rsidR="00804162">
              <w:t xml:space="preserve"> Floor, Simon Building.</w:t>
            </w:r>
          </w:p>
        </w:tc>
        <w:tc>
          <w:tcPr>
            <w:tcW w:w="1479" w:type="dxa"/>
          </w:tcPr>
          <w:p w:rsidR="00804162" w:rsidRDefault="00804162" w:rsidP="00005877"/>
        </w:tc>
      </w:tr>
    </w:tbl>
    <w:p w:rsidR="00F90E20" w:rsidRDefault="00F90E20" w:rsidP="001F71C7"/>
    <w:sectPr w:rsidR="00F90E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DE" w:rsidRDefault="005A03DE" w:rsidP="009A0559">
      <w:pPr>
        <w:spacing w:after="0" w:line="240" w:lineRule="auto"/>
      </w:pPr>
      <w:r>
        <w:separator/>
      </w:r>
    </w:p>
  </w:endnote>
  <w:endnote w:type="continuationSeparator" w:id="0">
    <w:p w:rsidR="005A03DE" w:rsidRDefault="005A03DE" w:rsidP="009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26923"/>
      <w:docPartObj>
        <w:docPartGallery w:val="Page Numbers (Bottom of Page)"/>
        <w:docPartUnique/>
      </w:docPartObj>
    </w:sdtPr>
    <w:sdtEndPr/>
    <w:sdtContent>
      <w:sdt>
        <w:sdtPr>
          <w:id w:val="-1669238322"/>
          <w:docPartObj>
            <w:docPartGallery w:val="Page Numbers (Top of Page)"/>
            <w:docPartUnique/>
          </w:docPartObj>
        </w:sdtPr>
        <w:sdtEndPr/>
        <w:sdtContent>
          <w:p w:rsidR="009A0559" w:rsidRDefault="009A05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6F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FBD">
              <w:rPr>
                <w:b/>
                <w:bCs/>
                <w:noProof/>
              </w:rPr>
              <w:t>5</w:t>
            </w:r>
            <w:r>
              <w:rPr>
                <w:b/>
                <w:bCs/>
                <w:sz w:val="24"/>
                <w:szCs w:val="24"/>
              </w:rPr>
              <w:fldChar w:fldCharType="end"/>
            </w:r>
          </w:p>
        </w:sdtContent>
      </w:sdt>
    </w:sdtContent>
  </w:sdt>
  <w:p w:rsidR="009A0559" w:rsidRDefault="009A0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DE" w:rsidRDefault="005A03DE" w:rsidP="009A0559">
      <w:pPr>
        <w:spacing w:after="0" w:line="240" w:lineRule="auto"/>
      </w:pPr>
      <w:r>
        <w:separator/>
      </w:r>
    </w:p>
  </w:footnote>
  <w:footnote w:type="continuationSeparator" w:id="0">
    <w:p w:rsidR="005A03DE" w:rsidRDefault="005A03DE" w:rsidP="009A0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7C6"/>
    <w:multiLevelType w:val="hybridMultilevel"/>
    <w:tmpl w:val="66E86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805C8"/>
    <w:multiLevelType w:val="hybridMultilevel"/>
    <w:tmpl w:val="15302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007753"/>
    <w:multiLevelType w:val="hybridMultilevel"/>
    <w:tmpl w:val="FE64D58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A1445C2"/>
    <w:multiLevelType w:val="hybridMultilevel"/>
    <w:tmpl w:val="720821E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4">
    <w:nsid w:val="535B0712"/>
    <w:multiLevelType w:val="hybridMultilevel"/>
    <w:tmpl w:val="EF063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F315A2"/>
    <w:multiLevelType w:val="hybridMultilevel"/>
    <w:tmpl w:val="5E0A3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48D5426"/>
    <w:multiLevelType w:val="hybridMultilevel"/>
    <w:tmpl w:val="0868C000"/>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7">
    <w:nsid w:val="6C513E4F"/>
    <w:multiLevelType w:val="hybridMultilevel"/>
    <w:tmpl w:val="270C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B95627"/>
    <w:multiLevelType w:val="hybridMultilevel"/>
    <w:tmpl w:val="A5460E0C"/>
    <w:lvl w:ilvl="0" w:tplc="0809000B">
      <w:start w:val="1"/>
      <w:numFmt w:val="bullet"/>
      <w:lvlText w:val=""/>
      <w:lvlJc w:val="left"/>
      <w:pPr>
        <w:ind w:left="393" w:hanging="360"/>
      </w:pPr>
      <w:rPr>
        <w:rFonts w:ascii="Wingdings" w:hAnsi="Wingdings"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
    <w:nsid w:val="6EAE65F9"/>
    <w:multiLevelType w:val="hybridMultilevel"/>
    <w:tmpl w:val="F4A63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A515B7D"/>
    <w:multiLevelType w:val="hybridMultilevel"/>
    <w:tmpl w:val="0FD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C50647D"/>
    <w:multiLevelType w:val="hybridMultilevel"/>
    <w:tmpl w:val="D14C063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9"/>
  </w:num>
  <w:num w:numId="6">
    <w:abstractNumId w:val="2"/>
  </w:num>
  <w:num w:numId="7">
    <w:abstractNumId w:val="11"/>
  </w:num>
  <w:num w:numId="8">
    <w:abstractNumId w:val="3"/>
  </w:num>
  <w:num w:numId="9">
    <w:abstractNumId w:val="8"/>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20"/>
    <w:rsid w:val="00005877"/>
    <w:rsid w:val="00031449"/>
    <w:rsid w:val="00034E34"/>
    <w:rsid w:val="00067093"/>
    <w:rsid w:val="00080B29"/>
    <w:rsid w:val="00097AF5"/>
    <w:rsid w:val="001024F4"/>
    <w:rsid w:val="00146761"/>
    <w:rsid w:val="001C4688"/>
    <w:rsid w:val="001D14CF"/>
    <w:rsid w:val="001E361F"/>
    <w:rsid w:val="001E6964"/>
    <w:rsid w:val="001F71C7"/>
    <w:rsid w:val="002228E1"/>
    <w:rsid w:val="00253E95"/>
    <w:rsid w:val="00257ECF"/>
    <w:rsid w:val="00276CB0"/>
    <w:rsid w:val="002C2A04"/>
    <w:rsid w:val="00303B78"/>
    <w:rsid w:val="00314D63"/>
    <w:rsid w:val="003328F2"/>
    <w:rsid w:val="00367E62"/>
    <w:rsid w:val="00373261"/>
    <w:rsid w:val="00412996"/>
    <w:rsid w:val="004333FE"/>
    <w:rsid w:val="00460831"/>
    <w:rsid w:val="00472F5D"/>
    <w:rsid w:val="00474CEB"/>
    <w:rsid w:val="004B20A1"/>
    <w:rsid w:val="004E240E"/>
    <w:rsid w:val="0052483F"/>
    <w:rsid w:val="00534A01"/>
    <w:rsid w:val="00577815"/>
    <w:rsid w:val="00595AF1"/>
    <w:rsid w:val="00596971"/>
    <w:rsid w:val="005A03DE"/>
    <w:rsid w:val="005A0C49"/>
    <w:rsid w:val="005B75A5"/>
    <w:rsid w:val="005E5A7F"/>
    <w:rsid w:val="005F4583"/>
    <w:rsid w:val="005F713F"/>
    <w:rsid w:val="00617078"/>
    <w:rsid w:val="006211E7"/>
    <w:rsid w:val="0062746D"/>
    <w:rsid w:val="00676FBD"/>
    <w:rsid w:val="00691435"/>
    <w:rsid w:val="006E28FC"/>
    <w:rsid w:val="00710883"/>
    <w:rsid w:val="00725CE6"/>
    <w:rsid w:val="007439CB"/>
    <w:rsid w:val="008010FC"/>
    <w:rsid w:val="00804162"/>
    <w:rsid w:val="00866FEC"/>
    <w:rsid w:val="008C24D1"/>
    <w:rsid w:val="009639E0"/>
    <w:rsid w:val="00964ED4"/>
    <w:rsid w:val="00975F7D"/>
    <w:rsid w:val="0097642E"/>
    <w:rsid w:val="00992E49"/>
    <w:rsid w:val="00995500"/>
    <w:rsid w:val="009A0559"/>
    <w:rsid w:val="009A7E0F"/>
    <w:rsid w:val="00AD4C3C"/>
    <w:rsid w:val="00AE5E6A"/>
    <w:rsid w:val="00AE6A5A"/>
    <w:rsid w:val="00B1100D"/>
    <w:rsid w:val="00B42655"/>
    <w:rsid w:val="00B86C63"/>
    <w:rsid w:val="00BF1D42"/>
    <w:rsid w:val="00C45318"/>
    <w:rsid w:val="00CE3E03"/>
    <w:rsid w:val="00D51704"/>
    <w:rsid w:val="00D941CF"/>
    <w:rsid w:val="00DA2ABE"/>
    <w:rsid w:val="00E010F7"/>
    <w:rsid w:val="00E95606"/>
    <w:rsid w:val="00EA6C6F"/>
    <w:rsid w:val="00EB6517"/>
    <w:rsid w:val="00EC283B"/>
    <w:rsid w:val="00EF3239"/>
    <w:rsid w:val="00F12ADC"/>
    <w:rsid w:val="00F80B26"/>
    <w:rsid w:val="00F90E20"/>
    <w:rsid w:val="00FA7F60"/>
    <w:rsid w:val="00FB32F1"/>
    <w:rsid w:val="00FE0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0E2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0E20"/>
    <w:rPr>
      <w:rFonts w:ascii="Calibri" w:hAnsi="Calibri" w:cs="Consolas"/>
      <w:szCs w:val="21"/>
    </w:rPr>
  </w:style>
  <w:style w:type="paragraph" w:styleId="ListParagraph">
    <w:name w:val="List Paragraph"/>
    <w:basedOn w:val="Normal"/>
    <w:uiPriority w:val="34"/>
    <w:qFormat/>
    <w:rsid w:val="00B42655"/>
    <w:pPr>
      <w:ind w:left="720"/>
      <w:contextualSpacing/>
    </w:pPr>
  </w:style>
  <w:style w:type="paragraph" w:styleId="Header">
    <w:name w:val="header"/>
    <w:basedOn w:val="Normal"/>
    <w:link w:val="HeaderChar"/>
    <w:uiPriority w:val="99"/>
    <w:unhideWhenUsed/>
    <w:rsid w:val="009A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559"/>
  </w:style>
  <w:style w:type="paragraph" w:styleId="Footer">
    <w:name w:val="footer"/>
    <w:basedOn w:val="Normal"/>
    <w:link w:val="FooterChar"/>
    <w:uiPriority w:val="99"/>
    <w:unhideWhenUsed/>
    <w:rsid w:val="009A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559"/>
  </w:style>
  <w:style w:type="paragraph" w:styleId="BalloonText">
    <w:name w:val="Balloon Text"/>
    <w:basedOn w:val="Normal"/>
    <w:link w:val="BalloonTextChar"/>
    <w:uiPriority w:val="99"/>
    <w:semiHidden/>
    <w:unhideWhenUsed/>
    <w:rsid w:val="0043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0E2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0E20"/>
    <w:rPr>
      <w:rFonts w:ascii="Calibri" w:hAnsi="Calibri" w:cs="Consolas"/>
      <w:szCs w:val="21"/>
    </w:rPr>
  </w:style>
  <w:style w:type="paragraph" w:styleId="ListParagraph">
    <w:name w:val="List Paragraph"/>
    <w:basedOn w:val="Normal"/>
    <w:uiPriority w:val="34"/>
    <w:qFormat/>
    <w:rsid w:val="00B42655"/>
    <w:pPr>
      <w:ind w:left="720"/>
      <w:contextualSpacing/>
    </w:pPr>
  </w:style>
  <w:style w:type="paragraph" w:styleId="Header">
    <w:name w:val="header"/>
    <w:basedOn w:val="Normal"/>
    <w:link w:val="HeaderChar"/>
    <w:uiPriority w:val="99"/>
    <w:unhideWhenUsed/>
    <w:rsid w:val="009A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559"/>
  </w:style>
  <w:style w:type="paragraph" w:styleId="Footer">
    <w:name w:val="footer"/>
    <w:basedOn w:val="Normal"/>
    <w:link w:val="FooterChar"/>
    <w:uiPriority w:val="99"/>
    <w:unhideWhenUsed/>
    <w:rsid w:val="009A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559"/>
  </w:style>
  <w:style w:type="paragraph" w:styleId="BalloonText">
    <w:name w:val="Balloon Text"/>
    <w:basedOn w:val="Normal"/>
    <w:link w:val="BalloonTextChar"/>
    <w:uiPriority w:val="99"/>
    <w:semiHidden/>
    <w:unhideWhenUsed/>
    <w:rsid w:val="0043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76978">
      <w:bodyDiv w:val="1"/>
      <w:marLeft w:val="0"/>
      <w:marRight w:val="0"/>
      <w:marTop w:val="0"/>
      <w:marBottom w:val="0"/>
      <w:divBdr>
        <w:top w:val="none" w:sz="0" w:space="0" w:color="auto"/>
        <w:left w:val="none" w:sz="0" w:space="0" w:color="auto"/>
        <w:bottom w:val="none" w:sz="0" w:space="0" w:color="auto"/>
        <w:right w:val="none" w:sz="0" w:space="0" w:color="auto"/>
      </w:divBdr>
    </w:div>
    <w:div w:id="934287559">
      <w:bodyDiv w:val="1"/>
      <w:marLeft w:val="0"/>
      <w:marRight w:val="0"/>
      <w:marTop w:val="0"/>
      <w:marBottom w:val="0"/>
      <w:divBdr>
        <w:top w:val="none" w:sz="0" w:space="0" w:color="auto"/>
        <w:left w:val="none" w:sz="0" w:space="0" w:color="auto"/>
        <w:bottom w:val="none" w:sz="0" w:space="0" w:color="auto"/>
        <w:right w:val="none" w:sz="0" w:space="0" w:color="auto"/>
      </w:divBdr>
    </w:div>
    <w:div w:id="1081220984">
      <w:bodyDiv w:val="1"/>
      <w:marLeft w:val="0"/>
      <w:marRight w:val="0"/>
      <w:marTop w:val="0"/>
      <w:marBottom w:val="0"/>
      <w:divBdr>
        <w:top w:val="none" w:sz="0" w:space="0" w:color="auto"/>
        <w:left w:val="none" w:sz="0" w:space="0" w:color="auto"/>
        <w:bottom w:val="none" w:sz="0" w:space="0" w:color="auto"/>
        <w:right w:val="none" w:sz="0" w:space="0" w:color="auto"/>
      </w:divBdr>
    </w:div>
    <w:div w:id="1135102325">
      <w:bodyDiv w:val="1"/>
      <w:marLeft w:val="0"/>
      <w:marRight w:val="0"/>
      <w:marTop w:val="0"/>
      <w:marBottom w:val="0"/>
      <w:divBdr>
        <w:top w:val="none" w:sz="0" w:space="0" w:color="auto"/>
        <w:left w:val="none" w:sz="0" w:space="0" w:color="auto"/>
        <w:bottom w:val="none" w:sz="0" w:space="0" w:color="auto"/>
        <w:right w:val="none" w:sz="0" w:space="0" w:color="auto"/>
      </w:divBdr>
    </w:div>
    <w:div w:id="1169055188">
      <w:bodyDiv w:val="1"/>
      <w:marLeft w:val="0"/>
      <w:marRight w:val="0"/>
      <w:marTop w:val="0"/>
      <w:marBottom w:val="0"/>
      <w:divBdr>
        <w:top w:val="none" w:sz="0" w:space="0" w:color="auto"/>
        <w:left w:val="none" w:sz="0" w:space="0" w:color="auto"/>
        <w:bottom w:val="none" w:sz="0" w:space="0" w:color="auto"/>
        <w:right w:val="none" w:sz="0" w:space="0" w:color="auto"/>
      </w:divBdr>
    </w:div>
    <w:div w:id="1411851370">
      <w:bodyDiv w:val="1"/>
      <w:marLeft w:val="0"/>
      <w:marRight w:val="0"/>
      <w:marTop w:val="0"/>
      <w:marBottom w:val="0"/>
      <w:divBdr>
        <w:top w:val="none" w:sz="0" w:space="0" w:color="auto"/>
        <w:left w:val="none" w:sz="0" w:space="0" w:color="auto"/>
        <w:bottom w:val="none" w:sz="0" w:space="0" w:color="auto"/>
        <w:right w:val="none" w:sz="0" w:space="0" w:color="auto"/>
      </w:divBdr>
    </w:div>
    <w:div w:id="1838768319">
      <w:bodyDiv w:val="1"/>
      <w:marLeft w:val="0"/>
      <w:marRight w:val="0"/>
      <w:marTop w:val="0"/>
      <w:marBottom w:val="0"/>
      <w:divBdr>
        <w:top w:val="none" w:sz="0" w:space="0" w:color="auto"/>
        <w:left w:val="none" w:sz="0" w:space="0" w:color="auto"/>
        <w:bottom w:val="none" w:sz="0" w:space="0" w:color="auto"/>
        <w:right w:val="none" w:sz="0" w:space="0" w:color="auto"/>
      </w:divBdr>
    </w:div>
    <w:div w:id="1960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Thompson-Vassel</dc:creator>
  <cp:lastModifiedBy>Andrew Mullen</cp:lastModifiedBy>
  <cp:revision>2</cp:revision>
  <cp:lastPrinted>2014-10-15T07:17:00Z</cp:lastPrinted>
  <dcterms:created xsi:type="dcterms:W3CDTF">2016-03-18T13:41:00Z</dcterms:created>
  <dcterms:modified xsi:type="dcterms:W3CDTF">2016-03-18T13:41:00Z</dcterms:modified>
</cp:coreProperties>
</file>