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E" w:rsidRPr="00C85B26" w:rsidRDefault="0020669E" w:rsidP="0020669E">
      <w:pPr>
        <w:jc w:val="center"/>
        <w:rPr>
          <w:b/>
        </w:rPr>
      </w:pPr>
      <w:bookmarkStart w:id="0" w:name="_GoBack"/>
      <w:bookmarkEnd w:id="0"/>
      <w:r w:rsidRPr="00C85B26">
        <w:rPr>
          <w:b/>
        </w:rPr>
        <w:t>THE UNIVERSITY OF MANCHESTER</w:t>
      </w:r>
    </w:p>
    <w:p w:rsidR="0020669E" w:rsidRPr="00C85B26" w:rsidRDefault="00BB3F8B" w:rsidP="0020669E">
      <w:pPr>
        <w:rPr>
          <w:b/>
        </w:rPr>
      </w:pPr>
      <w:r>
        <w:rPr>
          <w:b/>
        </w:rPr>
        <w:t xml:space="preserve">Faculty of </w:t>
      </w:r>
      <w:r w:rsidR="0020669E" w:rsidRPr="00C85B26">
        <w:rPr>
          <w:b/>
        </w:rPr>
        <w:t>Humanities Staff Equality and Diversity Working Group</w:t>
      </w:r>
    </w:p>
    <w:p w:rsidR="00DE1D26" w:rsidRPr="00C85B26" w:rsidRDefault="00DE1D26" w:rsidP="0020669E">
      <w:r w:rsidRPr="00C85B26">
        <w:t xml:space="preserve">Minutes of the meeting held on </w:t>
      </w:r>
      <w:r w:rsidR="002C49D9">
        <w:t>Thurs</w:t>
      </w:r>
      <w:r w:rsidR="00BB3F8B">
        <w:t xml:space="preserve">day </w:t>
      </w:r>
      <w:r w:rsidR="002C49D9">
        <w:t>15</w:t>
      </w:r>
      <w:r w:rsidRPr="00C85B26">
        <w:t xml:space="preserve"> Ma</w:t>
      </w:r>
      <w:r w:rsidR="0062725B">
        <w:t>y</w:t>
      </w:r>
      <w:r w:rsidRPr="00C85B26">
        <w:t xml:space="preserve"> 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539"/>
        <w:gridCol w:w="710"/>
        <w:gridCol w:w="4739"/>
      </w:tblGrid>
      <w:tr w:rsidR="0020669E" w:rsidRPr="00C85B26" w:rsidTr="00B905B2">
        <w:tc>
          <w:tcPr>
            <w:tcW w:w="678" w:type="pct"/>
          </w:tcPr>
          <w:p w:rsidR="0020669E" w:rsidRPr="00C85B26" w:rsidRDefault="0020669E" w:rsidP="0020669E">
            <w:pPr>
              <w:rPr>
                <w:b/>
              </w:rPr>
            </w:pPr>
            <w:r w:rsidRPr="00C85B26">
              <w:rPr>
                <w:b/>
              </w:rPr>
              <w:t>Present</w:t>
            </w:r>
          </w:p>
        </w:tc>
        <w:tc>
          <w:tcPr>
            <w:tcW w:w="1374" w:type="pct"/>
          </w:tcPr>
          <w:p w:rsidR="0020669E" w:rsidRPr="00C85B26" w:rsidRDefault="0020669E" w:rsidP="0020669E">
            <w:r w:rsidRPr="00C85B26">
              <w:t>Professor Colette Fagan</w:t>
            </w:r>
          </w:p>
        </w:tc>
        <w:tc>
          <w:tcPr>
            <w:tcW w:w="384" w:type="pct"/>
          </w:tcPr>
          <w:p w:rsidR="0020669E" w:rsidRPr="00C85B26" w:rsidRDefault="0020669E" w:rsidP="0020669E">
            <w:r w:rsidRPr="00C85B26">
              <w:t>CF</w:t>
            </w:r>
          </w:p>
        </w:tc>
        <w:tc>
          <w:tcPr>
            <w:tcW w:w="2564" w:type="pct"/>
          </w:tcPr>
          <w:p w:rsidR="0020669E" w:rsidRPr="00C85B26" w:rsidRDefault="0020669E" w:rsidP="0020669E">
            <w:r w:rsidRPr="00C85B26">
              <w:t>Deputy Dean – Research (in the Chair)</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Andrew Mullen</w:t>
            </w:r>
          </w:p>
        </w:tc>
        <w:tc>
          <w:tcPr>
            <w:tcW w:w="384" w:type="pct"/>
          </w:tcPr>
          <w:p w:rsidR="0020669E" w:rsidRPr="00C85B26" w:rsidRDefault="0020669E" w:rsidP="0020669E">
            <w:r w:rsidRPr="00C85B26">
              <w:t>AM</w:t>
            </w:r>
          </w:p>
        </w:tc>
        <w:tc>
          <w:tcPr>
            <w:tcW w:w="2564" w:type="pct"/>
          </w:tcPr>
          <w:p w:rsidR="0020669E" w:rsidRPr="00C85B26" w:rsidRDefault="0020669E" w:rsidP="0020669E">
            <w:r w:rsidRPr="00C85B26">
              <w:t>Deputy Director of HR &amp; Head of Faculty HR</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Dr Carolyn Abbot</w:t>
            </w:r>
          </w:p>
        </w:tc>
        <w:tc>
          <w:tcPr>
            <w:tcW w:w="384" w:type="pct"/>
          </w:tcPr>
          <w:p w:rsidR="0020669E" w:rsidRPr="00C85B26" w:rsidRDefault="0020669E" w:rsidP="0020669E">
            <w:r w:rsidRPr="00C85B26">
              <w:t>CA</w:t>
            </w:r>
          </w:p>
        </w:tc>
        <w:tc>
          <w:tcPr>
            <w:tcW w:w="2564" w:type="pct"/>
          </w:tcPr>
          <w:p w:rsidR="0020669E" w:rsidRPr="00C85B26" w:rsidRDefault="0020669E" w:rsidP="0020669E">
            <w:r w:rsidRPr="00C85B26">
              <w:t>Senior Lecturer, School of Law</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Professor Claire Alexander</w:t>
            </w:r>
          </w:p>
        </w:tc>
        <w:tc>
          <w:tcPr>
            <w:tcW w:w="384" w:type="pct"/>
          </w:tcPr>
          <w:p w:rsidR="0020669E" w:rsidRPr="00C85B26" w:rsidRDefault="0020669E" w:rsidP="00B44BE5">
            <w:proofErr w:type="spellStart"/>
            <w:r w:rsidRPr="00C85B26">
              <w:t>C</w:t>
            </w:r>
            <w:r w:rsidR="00B44BE5">
              <w:t>A</w:t>
            </w:r>
            <w:r w:rsidRPr="00C85B26">
              <w:t>l</w:t>
            </w:r>
            <w:proofErr w:type="spellEnd"/>
          </w:p>
        </w:tc>
        <w:tc>
          <w:tcPr>
            <w:tcW w:w="2564" w:type="pct"/>
          </w:tcPr>
          <w:p w:rsidR="0020669E" w:rsidRPr="00C85B26" w:rsidRDefault="0020669E" w:rsidP="0020669E">
            <w:r w:rsidRPr="00C85B26">
              <w:t>School of Social Sciences (Sociology)</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Professor Helen Gunter</w:t>
            </w:r>
          </w:p>
        </w:tc>
        <w:tc>
          <w:tcPr>
            <w:tcW w:w="384" w:type="pct"/>
          </w:tcPr>
          <w:p w:rsidR="0020669E" w:rsidRPr="00C85B26" w:rsidRDefault="0020669E" w:rsidP="0020669E">
            <w:r w:rsidRPr="00C85B26">
              <w:t>HG</w:t>
            </w:r>
          </w:p>
        </w:tc>
        <w:tc>
          <w:tcPr>
            <w:tcW w:w="2564" w:type="pct"/>
          </w:tcPr>
          <w:p w:rsidR="0020669E" w:rsidRPr="00C85B26" w:rsidRDefault="0020669E" w:rsidP="0020669E">
            <w:r w:rsidRPr="00C85B26">
              <w:t>School of Environment, Education &amp; Development (Education)</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 xml:space="preserve">Jayne </w:t>
            </w:r>
            <w:proofErr w:type="spellStart"/>
            <w:r w:rsidRPr="00C85B26">
              <w:t>Hindle</w:t>
            </w:r>
            <w:proofErr w:type="spellEnd"/>
          </w:p>
        </w:tc>
        <w:tc>
          <w:tcPr>
            <w:tcW w:w="384" w:type="pct"/>
          </w:tcPr>
          <w:p w:rsidR="0020669E" w:rsidRPr="00C85B26" w:rsidRDefault="0020669E" w:rsidP="0020669E">
            <w:r w:rsidRPr="00C85B26">
              <w:t>JH</w:t>
            </w:r>
          </w:p>
        </w:tc>
        <w:tc>
          <w:tcPr>
            <w:tcW w:w="2564" w:type="pct"/>
          </w:tcPr>
          <w:p w:rsidR="0020669E" w:rsidRPr="00C85B26" w:rsidRDefault="0020669E" w:rsidP="0020669E">
            <w:r w:rsidRPr="00C85B26">
              <w:t>Head of School Administration for Arts, Languages &amp; Cultures</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Professor Helge Hoel</w:t>
            </w:r>
          </w:p>
        </w:tc>
        <w:tc>
          <w:tcPr>
            <w:tcW w:w="384" w:type="pct"/>
          </w:tcPr>
          <w:p w:rsidR="0020669E" w:rsidRPr="00C85B26" w:rsidRDefault="0020669E" w:rsidP="0020669E">
            <w:r w:rsidRPr="00C85B26">
              <w:t>HH</w:t>
            </w:r>
          </w:p>
        </w:tc>
        <w:tc>
          <w:tcPr>
            <w:tcW w:w="2564" w:type="pct"/>
          </w:tcPr>
          <w:p w:rsidR="0020669E" w:rsidRPr="00C85B26" w:rsidRDefault="0020669E" w:rsidP="0020669E">
            <w:r w:rsidRPr="00C85B26">
              <w:t>Manchester Business School (People Management and Organisations Division)</w:t>
            </w:r>
          </w:p>
        </w:tc>
      </w:tr>
      <w:tr w:rsidR="0020669E" w:rsidRPr="00C85B26" w:rsidTr="00B905B2">
        <w:tc>
          <w:tcPr>
            <w:tcW w:w="678" w:type="pct"/>
          </w:tcPr>
          <w:p w:rsidR="0020669E" w:rsidRPr="00C85B26" w:rsidRDefault="0020669E" w:rsidP="0020669E"/>
        </w:tc>
        <w:tc>
          <w:tcPr>
            <w:tcW w:w="1374" w:type="pct"/>
          </w:tcPr>
          <w:p w:rsidR="0020669E" w:rsidRPr="00C85B26" w:rsidRDefault="0020669E" w:rsidP="0020669E">
            <w:r w:rsidRPr="00C85B26">
              <w:t>Jane Hallam</w:t>
            </w:r>
          </w:p>
        </w:tc>
        <w:tc>
          <w:tcPr>
            <w:tcW w:w="384" w:type="pct"/>
          </w:tcPr>
          <w:p w:rsidR="0020669E" w:rsidRPr="00C85B26" w:rsidRDefault="0020669E" w:rsidP="0020669E">
            <w:proofErr w:type="spellStart"/>
            <w:r w:rsidRPr="00C85B26">
              <w:t>JHa</w:t>
            </w:r>
            <w:proofErr w:type="spellEnd"/>
          </w:p>
        </w:tc>
        <w:tc>
          <w:tcPr>
            <w:tcW w:w="2564" w:type="pct"/>
          </w:tcPr>
          <w:p w:rsidR="0020669E" w:rsidRPr="00C85B26" w:rsidRDefault="0020669E" w:rsidP="0020669E">
            <w:r w:rsidRPr="00C85B26">
              <w:t>Head of Faculty Planning &amp; Compliance</w:t>
            </w:r>
          </w:p>
        </w:tc>
      </w:tr>
      <w:tr w:rsidR="002C49D9" w:rsidRPr="00C85B26" w:rsidTr="00B905B2">
        <w:tc>
          <w:tcPr>
            <w:tcW w:w="678" w:type="pct"/>
          </w:tcPr>
          <w:p w:rsidR="002C49D9" w:rsidRPr="002C49D9" w:rsidRDefault="002C49D9" w:rsidP="0020669E">
            <w:pPr>
              <w:rPr>
                <w:b/>
              </w:rPr>
            </w:pPr>
            <w:r w:rsidRPr="002C49D9">
              <w:rPr>
                <w:b/>
              </w:rPr>
              <w:t>Apologies</w:t>
            </w:r>
          </w:p>
        </w:tc>
        <w:tc>
          <w:tcPr>
            <w:tcW w:w="1374" w:type="pct"/>
          </w:tcPr>
          <w:p w:rsidR="002C49D9" w:rsidRPr="00C85B26" w:rsidRDefault="002C49D9" w:rsidP="00044261">
            <w:r w:rsidRPr="00C85B26">
              <w:t>Professor Claire Annesley</w:t>
            </w:r>
          </w:p>
        </w:tc>
        <w:tc>
          <w:tcPr>
            <w:tcW w:w="384" w:type="pct"/>
          </w:tcPr>
          <w:p w:rsidR="002C49D9" w:rsidRPr="00C85B26" w:rsidRDefault="002C49D9" w:rsidP="00044261">
            <w:r w:rsidRPr="00C85B26">
              <w:t>C</w:t>
            </w:r>
            <w:r w:rsidR="002D64C8" w:rsidRPr="00C85B26">
              <w:t>a</w:t>
            </w:r>
            <w:r w:rsidRPr="00C85B26">
              <w:t>n</w:t>
            </w:r>
          </w:p>
        </w:tc>
        <w:tc>
          <w:tcPr>
            <w:tcW w:w="2564" w:type="pct"/>
          </w:tcPr>
          <w:p w:rsidR="002C49D9" w:rsidRPr="00C85B26" w:rsidRDefault="002C49D9" w:rsidP="00044261">
            <w:r w:rsidRPr="00C85B26">
              <w:t>School of Social Sciences (Politics)</w:t>
            </w:r>
          </w:p>
        </w:tc>
      </w:tr>
      <w:tr w:rsidR="002C49D9" w:rsidRPr="00C85B26" w:rsidTr="00B905B2">
        <w:tc>
          <w:tcPr>
            <w:tcW w:w="678" w:type="pct"/>
          </w:tcPr>
          <w:p w:rsidR="002C49D9" w:rsidRDefault="002C49D9" w:rsidP="0020669E"/>
        </w:tc>
        <w:tc>
          <w:tcPr>
            <w:tcW w:w="1374" w:type="pct"/>
          </w:tcPr>
          <w:p w:rsidR="002C49D9" w:rsidRPr="00C85B26" w:rsidRDefault="002C49D9" w:rsidP="00D424E2">
            <w:r w:rsidRPr="00C85B26">
              <w:t>Mariam Attia</w:t>
            </w:r>
          </w:p>
        </w:tc>
        <w:tc>
          <w:tcPr>
            <w:tcW w:w="384" w:type="pct"/>
          </w:tcPr>
          <w:p w:rsidR="002C49D9" w:rsidRPr="00C85B26" w:rsidRDefault="002C49D9" w:rsidP="00D424E2">
            <w:r w:rsidRPr="00C85B26">
              <w:t>MA</w:t>
            </w:r>
          </w:p>
        </w:tc>
        <w:tc>
          <w:tcPr>
            <w:tcW w:w="2564" w:type="pct"/>
          </w:tcPr>
          <w:p w:rsidR="002C49D9" w:rsidRPr="00C85B26" w:rsidRDefault="002C49D9" w:rsidP="00D424E2">
            <w:r w:rsidRPr="00C85B26">
              <w:t>Research Development Officer</w:t>
            </w:r>
          </w:p>
        </w:tc>
      </w:tr>
      <w:tr w:rsidR="00D3683B" w:rsidRPr="00C85B26" w:rsidTr="00B905B2">
        <w:tc>
          <w:tcPr>
            <w:tcW w:w="678" w:type="pct"/>
          </w:tcPr>
          <w:p w:rsidR="00D3683B" w:rsidRDefault="00D3683B" w:rsidP="0020669E"/>
        </w:tc>
        <w:tc>
          <w:tcPr>
            <w:tcW w:w="1374" w:type="pct"/>
          </w:tcPr>
          <w:p w:rsidR="00D3683B" w:rsidRPr="00C85B26" w:rsidRDefault="00D3683B" w:rsidP="00D1171F">
            <w:r w:rsidRPr="00C85B26">
              <w:t>Dr Helen Dutton</w:t>
            </w:r>
          </w:p>
        </w:tc>
        <w:tc>
          <w:tcPr>
            <w:tcW w:w="384" w:type="pct"/>
          </w:tcPr>
          <w:p w:rsidR="00D3683B" w:rsidRPr="00C85B26" w:rsidRDefault="00D3683B" w:rsidP="00D1171F">
            <w:r w:rsidRPr="00C85B26">
              <w:t>HD</w:t>
            </w:r>
          </w:p>
        </w:tc>
        <w:tc>
          <w:tcPr>
            <w:tcW w:w="2564" w:type="pct"/>
          </w:tcPr>
          <w:p w:rsidR="00D3683B" w:rsidRPr="00C85B26" w:rsidRDefault="00D3683B" w:rsidP="00D1171F">
            <w:r w:rsidRPr="00C85B26">
              <w:t>Athena SWAN Coordinator</w:t>
            </w:r>
          </w:p>
        </w:tc>
      </w:tr>
      <w:tr w:rsidR="00D3683B" w:rsidRPr="00C85B26" w:rsidTr="00B905B2">
        <w:tc>
          <w:tcPr>
            <w:tcW w:w="678" w:type="pct"/>
          </w:tcPr>
          <w:p w:rsidR="00D3683B" w:rsidRPr="00C85B26" w:rsidRDefault="00D3683B" w:rsidP="0020669E">
            <w:pPr>
              <w:rPr>
                <w:b/>
              </w:rPr>
            </w:pPr>
            <w:r w:rsidRPr="00C85B26">
              <w:rPr>
                <w:b/>
              </w:rPr>
              <w:t>In attendance</w:t>
            </w:r>
          </w:p>
        </w:tc>
        <w:tc>
          <w:tcPr>
            <w:tcW w:w="1374" w:type="pct"/>
          </w:tcPr>
          <w:p w:rsidR="00D3683B" w:rsidRPr="00C85B26" w:rsidRDefault="00D3683B" w:rsidP="0020669E">
            <w:r w:rsidRPr="00C85B26">
              <w:t>Natalie Thompson-Vassel</w:t>
            </w:r>
          </w:p>
        </w:tc>
        <w:tc>
          <w:tcPr>
            <w:tcW w:w="384" w:type="pct"/>
          </w:tcPr>
          <w:p w:rsidR="00D3683B" w:rsidRPr="00C85B26" w:rsidRDefault="00D3683B" w:rsidP="0020669E">
            <w:r w:rsidRPr="00C85B26">
              <w:t>N T-V</w:t>
            </w:r>
          </w:p>
        </w:tc>
        <w:tc>
          <w:tcPr>
            <w:tcW w:w="2564" w:type="pct"/>
          </w:tcPr>
          <w:p w:rsidR="00D3683B" w:rsidRPr="00C85B26" w:rsidRDefault="00D3683B" w:rsidP="0020669E">
            <w:r w:rsidRPr="00C85B26">
              <w:t>Human Resources</w:t>
            </w:r>
          </w:p>
        </w:tc>
      </w:tr>
    </w:tbl>
    <w:p w:rsidR="0020669E" w:rsidRPr="00C85B26" w:rsidRDefault="0020669E" w:rsidP="002066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6520"/>
        <w:gridCol w:w="1621"/>
      </w:tblGrid>
      <w:tr w:rsidR="00DB28C4" w:rsidRPr="00C85B26" w:rsidTr="00DB28C4">
        <w:tc>
          <w:tcPr>
            <w:tcW w:w="534" w:type="dxa"/>
          </w:tcPr>
          <w:p w:rsidR="00DB28C4" w:rsidRPr="00C85B26" w:rsidRDefault="00DB28C4" w:rsidP="0020669E">
            <w:r w:rsidRPr="00C85B26">
              <w:t>1</w:t>
            </w:r>
          </w:p>
        </w:tc>
        <w:tc>
          <w:tcPr>
            <w:tcW w:w="567" w:type="dxa"/>
          </w:tcPr>
          <w:p w:rsidR="00DB28C4" w:rsidRPr="00C85B26" w:rsidRDefault="00DB28C4" w:rsidP="0020669E"/>
        </w:tc>
        <w:tc>
          <w:tcPr>
            <w:tcW w:w="6520" w:type="dxa"/>
          </w:tcPr>
          <w:p w:rsidR="00DB28C4" w:rsidRPr="00C85B26" w:rsidRDefault="0062725B" w:rsidP="0020669E">
            <w:pPr>
              <w:rPr>
                <w:b/>
              </w:rPr>
            </w:pPr>
            <w:r w:rsidRPr="0062725B">
              <w:rPr>
                <w:b/>
              </w:rPr>
              <w:t>Minutes of meeting held on 5 March 2014</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B54DD8" w:rsidRPr="00C85B26" w:rsidRDefault="0062725B" w:rsidP="00B54DD8">
            <w:r>
              <w:t>The minutes were agreed as an accurate record of the previous meeting.</w:t>
            </w:r>
          </w:p>
        </w:tc>
        <w:tc>
          <w:tcPr>
            <w:tcW w:w="1621" w:type="dxa"/>
          </w:tcPr>
          <w:p w:rsidR="00DB28C4" w:rsidRDefault="00DB28C4" w:rsidP="0020669E"/>
          <w:p w:rsidR="00AA748C" w:rsidRPr="00C85B26" w:rsidRDefault="00AA748C"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DB28C4" w:rsidRPr="00C85B26" w:rsidRDefault="00DB28C4" w:rsidP="0020669E"/>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r w:rsidRPr="00C85B26">
              <w:t>2</w:t>
            </w:r>
          </w:p>
        </w:tc>
        <w:tc>
          <w:tcPr>
            <w:tcW w:w="567" w:type="dxa"/>
          </w:tcPr>
          <w:p w:rsidR="00DB28C4" w:rsidRPr="00C85B26" w:rsidRDefault="00DB28C4" w:rsidP="0020669E"/>
        </w:tc>
        <w:tc>
          <w:tcPr>
            <w:tcW w:w="6520" w:type="dxa"/>
          </w:tcPr>
          <w:p w:rsidR="00DB28C4" w:rsidRPr="00C85B26" w:rsidRDefault="0062725B" w:rsidP="0020669E">
            <w:pPr>
              <w:rPr>
                <w:b/>
              </w:rPr>
            </w:pPr>
            <w:r w:rsidRPr="0062725B">
              <w:t xml:space="preserve"> </w:t>
            </w:r>
            <w:r w:rsidRPr="0062725B">
              <w:rPr>
                <w:b/>
              </w:rPr>
              <w:t>Matters arising</w:t>
            </w:r>
            <w:r w:rsidR="00D3683B">
              <w:rPr>
                <w:b/>
              </w:rPr>
              <w:t xml:space="preserve"> from previous meeting</w:t>
            </w:r>
          </w:p>
        </w:tc>
        <w:tc>
          <w:tcPr>
            <w:tcW w:w="1621" w:type="dxa"/>
          </w:tcPr>
          <w:p w:rsidR="00DB28C4" w:rsidRPr="00C85B26" w:rsidRDefault="00DB28C4" w:rsidP="0020669E"/>
        </w:tc>
      </w:tr>
      <w:tr w:rsidR="00DB28C4" w:rsidRPr="00C85B26" w:rsidTr="00DB28C4">
        <w:tc>
          <w:tcPr>
            <w:tcW w:w="534" w:type="dxa"/>
          </w:tcPr>
          <w:p w:rsidR="00DB28C4" w:rsidRPr="00C85B26" w:rsidRDefault="006F56AD" w:rsidP="0020669E">
            <w:r>
              <w:t>2.1</w:t>
            </w:r>
          </w:p>
        </w:tc>
        <w:tc>
          <w:tcPr>
            <w:tcW w:w="567" w:type="dxa"/>
          </w:tcPr>
          <w:p w:rsidR="00DB28C4" w:rsidRPr="00C85B26" w:rsidRDefault="00DB28C4" w:rsidP="00AD11E8"/>
        </w:tc>
        <w:tc>
          <w:tcPr>
            <w:tcW w:w="6520" w:type="dxa"/>
          </w:tcPr>
          <w:p w:rsidR="006F56AD" w:rsidRPr="006F56AD" w:rsidRDefault="006F56AD" w:rsidP="006F56AD">
            <w:pPr>
              <w:rPr>
                <w:u w:val="single"/>
              </w:rPr>
            </w:pPr>
            <w:r w:rsidRPr="006F56AD">
              <w:rPr>
                <w:u w:val="single"/>
              </w:rPr>
              <w:t>Athena SWAN action plans</w:t>
            </w:r>
          </w:p>
          <w:p w:rsidR="002D4B51" w:rsidRPr="00C85B26" w:rsidRDefault="00A75125" w:rsidP="006F56AD">
            <w:r>
              <w:t xml:space="preserve">HD to provide a summary overview of the Athena </w:t>
            </w:r>
            <w:r w:rsidR="006F56AD">
              <w:t xml:space="preserve">SWAN </w:t>
            </w:r>
            <w:r>
              <w:t>action</w:t>
            </w:r>
            <w:r w:rsidR="006F56AD">
              <w:t>s</w:t>
            </w:r>
            <w:r>
              <w:t xml:space="preserve"> at </w:t>
            </w:r>
            <w:r w:rsidR="0062725B" w:rsidRPr="0062725B">
              <w:t>the next meeting</w:t>
            </w:r>
            <w:r>
              <w:t>.</w:t>
            </w:r>
          </w:p>
        </w:tc>
        <w:tc>
          <w:tcPr>
            <w:tcW w:w="1621" w:type="dxa"/>
          </w:tcPr>
          <w:p w:rsidR="00410B1E" w:rsidRPr="00DB5ADA" w:rsidRDefault="00E1315D" w:rsidP="0020669E">
            <w:pPr>
              <w:rPr>
                <w:b/>
              </w:rPr>
            </w:pPr>
            <w:r w:rsidRPr="00DB5ADA">
              <w:rPr>
                <w:b/>
              </w:rPr>
              <w:t xml:space="preserve">Action: </w:t>
            </w:r>
            <w:r w:rsidR="006F56AD" w:rsidRPr="00DB5ADA">
              <w:rPr>
                <w:b/>
              </w:rPr>
              <w:t>HD</w:t>
            </w:r>
          </w:p>
          <w:p w:rsidR="00AF3275" w:rsidRPr="00DB5ADA" w:rsidRDefault="00AF3275" w:rsidP="0020669E">
            <w:pPr>
              <w:rPr>
                <w:b/>
              </w:rPr>
            </w:pPr>
          </w:p>
        </w:tc>
      </w:tr>
      <w:tr w:rsidR="00A75125" w:rsidRPr="00C85B26" w:rsidTr="00DB28C4">
        <w:tc>
          <w:tcPr>
            <w:tcW w:w="534" w:type="dxa"/>
          </w:tcPr>
          <w:p w:rsidR="00A75125" w:rsidRPr="00C85B26" w:rsidRDefault="006F56AD" w:rsidP="0020669E">
            <w:r>
              <w:t>2.2</w:t>
            </w:r>
          </w:p>
        </w:tc>
        <w:tc>
          <w:tcPr>
            <w:tcW w:w="567" w:type="dxa"/>
          </w:tcPr>
          <w:p w:rsidR="00A75125" w:rsidRPr="0062725B" w:rsidRDefault="00A75125" w:rsidP="00AD11E8"/>
        </w:tc>
        <w:tc>
          <w:tcPr>
            <w:tcW w:w="6520" w:type="dxa"/>
          </w:tcPr>
          <w:p w:rsidR="006F56AD" w:rsidRPr="006F56AD" w:rsidRDefault="006F56AD" w:rsidP="0062725B">
            <w:pPr>
              <w:rPr>
                <w:u w:val="single"/>
              </w:rPr>
            </w:pPr>
            <w:r w:rsidRPr="006F56AD">
              <w:rPr>
                <w:u w:val="single"/>
              </w:rPr>
              <w:t xml:space="preserve">Disaggregation of BME staff data </w:t>
            </w:r>
          </w:p>
          <w:p w:rsidR="00A75125" w:rsidRDefault="00A75125" w:rsidP="006F56AD">
            <w:r>
              <w:t xml:space="preserve">CF </w:t>
            </w:r>
            <w:r w:rsidR="006F56AD">
              <w:t>confirmed that work to provide a breakdown of BME staff data into</w:t>
            </w:r>
            <w:r>
              <w:t xml:space="preserve"> UK and non-UK BME </w:t>
            </w:r>
            <w:r w:rsidR="006F56AD">
              <w:t>categories</w:t>
            </w:r>
            <w:r>
              <w:t xml:space="preserve"> </w:t>
            </w:r>
            <w:r w:rsidR="00B44BE5">
              <w:t xml:space="preserve">was in </w:t>
            </w:r>
            <w:r w:rsidR="006F56AD">
              <w:t>progress and a further update would be provided as soon as possible.</w:t>
            </w:r>
          </w:p>
        </w:tc>
        <w:tc>
          <w:tcPr>
            <w:tcW w:w="1621" w:type="dxa"/>
          </w:tcPr>
          <w:p w:rsidR="006F56AD" w:rsidRPr="00DB5ADA" w:rsidRDefault="006F56AD" w:rsidP="0020669E">
            <w:pPr>
              <w:rPr>
                <w:b/>
              </w:rPr>
            </w:pPr>
          </w:p>
          <w:p w:rsidR="00A75125" w:rsidRPr="00DB5ADA" w:rsidRDefault="00E1315D" w:rsidP="0020669E">
            <w:pPr>
              <w:rPr>
                <w:b/>
              </w:rPr>
            </w:pPr>
            <w:r w:rsidRPr="00DB5ADA">
              <w:rPr>
                <w:b/>
              </w:rPr>
              <w:t xml:space="preserve">Action: </w:t>
            </w:r>
            <w:r w:rsidR="006F56AD" w:rsidRPr="00DB5ADA">
              <w:rPr>
                <w:b/>
              </w:rPr>
              <w:t xml:space="preserve">AM/HD </w:t>
            </w:r>
          </w:p>
        </w:tc>
      </w:tr>
      <w:tr w:rsidR="00A75125" w:rsidRPr="00C85B26" w:rsidTr="00DB28C4">
        <w:tc>
          <w:tcPr>
            <w:tcW w:w="534" w:type="dxa"/>
          </w:tcPr>
          <w:p w:rsidR="00A75125" w:rsidRPr="00C85B26" w:rsidRDefault="006F56AD" w:rsidP="0020669E">
            <w:r>
              <w:t>2.3</w:t>
            </w:r>
          </w:p>
        </w:tc>
        <w:tc>
          <w:tcPr>
            <w:tcW w:w="567" w:type="dxa"/>
          </w:tcPr>
          <w:p w:rsidR="00A75125" w:rsidRPr="0062725B" w:rsidRDefault="00A75125" w:rsidP="00AD11E8"/>
        </w:tc>
        <w:tc>
          <w:tcPr>
            <w:tcW w:w="6520" w:type="dxa"/>
          </w:tcPr>
          <w:p w:rsidR="006F56AD" w:rsidRPr="006F56AD" w:rsidRDefault="006F56AD" w:rsidP="0062725B">
            <w:pPr>
              <w:rPr>
                <w:u w:val="single"/>
              </w:rPr>
            </w:pPr>
            <w:r w:rsidRPr="006F56AD">
              <w:rPr>
                <w:u w:val="single"/>
              </w:rPr>
              <w:t>Recruitment data</w:t>
            </w:r>
          </w:p>
          <w:p w:rsidR="00A75125" w:rsidRDefault="00A75125" w:rsidP="006F56AD">
            <w:r>
              <w:t xml:space="preserve">AM informed the meeting that the recruitment information was proving </w:t>
            </w:r>
            <w:r w:rsidR="006F56AD">
              <w:t xml:space="preserve">more difficult to retrieve using the new </w:t>
            </w:r>
            <w:proofErr w:type="spellStart"/>
            <w:r>
              <w:t>Jobtrain</w:t>
            </w:r>
            <w:proofErr w:type="spellEnd"/>
            <w:r>
              <w:t xml:space="preserve"> </w:t>
            </w:r>
            <w:r w:rsidR="006F56AD">
              <w:t xml:space="preserve">reporting tool </w:t>
            </w:r>
            <w:r>
              <w:t>tha</w:t>
            </w:r>
            <w:r w:rsidR="006F56AD">
              <w:t>n initially anticipated</w:t>
            </w:r>
            <w:r>
              <w:t>.</w:t>
            </w:r>
            <w:r w:rsidRPr="0062725B">
              <w:t xml:space="preserve"> </w:t>
            </w:r>
            <w:r w:rsidR="006F56AD">
              <w:t xml:space="preserve"> </w:t>
            </w:r>
            <w:r>
              <w:t xml:space="preserve">AM stated that </w:t>
            </w:r>
            <w:r w:rsidR="006F56AD">
              <w:t xml:space="preserve">E&amp;D colleagues working with HR’s Recruitment Team </w:t>
            </w:r>
            <w:r w:rsidRPr="0062725B">
              <w:t>hop</w:t>
            </w:r>
            <w:r w:rsidR="006F56AD">
              <w:t>e</w:t>
            </w:r>
            <w:r w:rsidRPr="0062725B">
              <w:t xml:space="preserve"> to </w:t>
            </w:r>
            <w:r w:rsidR="006F56AD">
              <w:t xml:space="preserve">be in a position to </w:t>
            </w:r>
            <w:r w:rsidRPr="0062725B">
              <w:t xml:space="preserve">issue </w:t>
            </w:r>
            <w:r>
              <w:t xml:space="preserve">the data </w:t>
            </w:r>
            <w:r w:rsidRPr="0062725B">
              <w:t>on Monday</w:t>
            </w:r>
            <w:r w:rsidR="006F56AD">
              <w:t xml:space="preserve"> 19 May</w:t>
            </w:r>
            <w:r w:rsidRPr="0062725B">
              <w:t xml:space="preserve">. </w:t>
            </w:r>
            <w:r w:rsidR="006F56AD">
              <w:t xml:space="preserve"> </w:t>
            </w:r>
            <w:r w:rsidRPr="0062725B">
              <w:t>A</w:t>
            </w:r>
            <w:r w:rsidR="006F56AD">
              <w:t>M apologi</w:t>
            </w:r>
            <w:r>
              <w:t>s</w:t>
            </w:r>
            <w:r w:rsidR="006F56AD">
              <w:t>ed that</w:t>
            </w:r>
            <w:r>
              <w:t xml:space="preserve"> the data</w:t>
            </w:r>
            <w:r w:rsidR="006F56AD">
              <w:t xml:space="preserve"> has not been available </w:t>
            </w:r>
            <w:r w:rsidRPr="0062725B">
              <w:t>sooner.</w:t>
            </w:r>
          </w:p>
        </w:tc>
        <w:tc>
          <w:tcPr>
            <w:tcW w:w="1621" w:type="dxa"/>
          </w:tcPr>
          <w:p w:rsidR="00A75125" w:rsidRPr="00C85B26" w:rsidRDefault="00A75125" w:rsidP="0020669E"/>
        </w:tc>
      </w:tr>
      <w:tr w:rsidR="00A75125" w:rsidRPr="00C85B26" w:rsidTr="00DB28C4">
        <w:tc>
          <w:tcPr>
            <w:tcW w:w="534" w:type="dxa"/>
          </w:tcPr>
          <w:p w:rsidR="00A75125" w:rsidRPr="00C85B26" w:rsidRDefault="006F56AD" w:rsidP="0020669E">
            <w:r>
              <w:t>2.4</w:t>
            </w:r>
          </w:p>
        </w:tc>
        <w:tc>
          <w:tcPr>
            <w:tcW w:w="567" w:type="dxa"/>
          </w:tcPr>
          <w:p w:rsidR="00A75125" w:rsidRPr="0062725B" w:rsidRDefault="00A75125" w:rsidP="00AD11E8"/>
        </w:tc>
        <w:tc>
          <w:tcPr>
            <w:tcW w:w="6520" w:type="dxa"/>
          </w:tcPr>
          <w:p w:rsidR="006F56AD" w:rsidRPr="006F56AD" w:rsidRDefault="006F56AD" w:rsidP="00A75125">
            <w:pPr>
              <w:rPr>
                <w:u w:val="single"/>
              </w:rPr>
            </w:pPr>
            <w:r w:rsidRPr="006F56AD">
              <w:rPr>
                <w:u w:val="single"/>
              </w:rPr>
              <w:t>Removal of Other White category</w:t>
            </w:r>
          </w:p>
          <w:p w:rsidR="00A75125" w:rsidRDefault="00E25672" w:rsidP="00E25672">
            <w:r>
              <w:t xml:space="preserve">AM noted that the reason there was no data entered against the Other </w:t>
            </w:r>
            <w:r w:rsidR="00A75125">
              <w:t xml:space="preserve">White </w:t>
            </w:r>
            <w:r>
              <w:t xml:space="preserve">category in data issued </w:t>
            </w:r>
            <w:r w:rsidR="007E6A35">
              <w:t xml:space="preserve">in the staff dashboards </w:t>
            </w:r>
            <w:r>
              <w:t xml:space="preserve">was that HESA now aggregated all white staff for reporting purposes.  This means that the White British category in the datasets provided covered white staff of all nationalities. </w:t>
            </w:r>
            <w:r w:rsidR="007E6A35">
              <w:t xml:space="preserve">  The E&amp;D unit would change headings in future data sets accordingly.</w:t>
            </w:r>
          </w:p>
        </w:tc>
        <w:tc>
          <w:tcPr>
            <w:tcW w:w="1621" w:type="dxa"/>
          </w:tcPr>
          <w:p w:rsidR="00A75125" w:rsidRPr="00C85B26" w:rsidRDefault="00A75125" w:rsidP="0020669E"/>
        </w:tc>
      </w:tr>
      <w:tr w:rsidR="00A75125" w:rsidRPr="00C85B26" w:rsidTr="00DB28C4">
        <w:tc>
          <w:tcPr>
            <w:tcW w:w="534" w:type="dxa"/>
          </w:tcPr>
          <w:p w:rsidR="00A75125" w:rsidRPr="00C85B26" w:rsidRDefault="00A75125" w:rsidP="0020669E"/>
        </w:tc>
        <w:tc>
          <w:tcPr>
            <w:tcW w:w="567" w:type="dxa"/>
          </w:tcPr>
          <w:p w:rsidR="00A75125" w:rsidRPr="0062725B" w:rsidRDefault="00A75125" w:rsidP="00AD11E8"/>
        </w:tc>
        <w:tc>
          <w:tcPr>
            <w:tcW w:w="6520" w:type="dxa"/>
          </w:tcPr>
          <w:p w:rsidR="00A75125" w:rsidRDefault="00A75125" w:rsidP="0062725B"/>
        </w:tc>
        <w:tc>
          <w:tcPr>
            <w:tcW w:w="1621" w:type="dxa"/>
          </w:tcPr>
          <w:p w:rsidR="00A75125" w:rsidRPr="00C85B26" w:rsidRDefault="00A75125" w:rsidP="0020669E"/>
        </w:tc>
      </w:tr>
      <w:tr w:rsidR="00DB28C4" w:rsidRPr="00C85B26" w:rsidTr="00DB28C4">
        <w:tc>
          <w:tcPr>
            <w:tcW w:w="534" w:type="dxa"/>
          </w:tcPr>
          <w:p w:rsidR="00DB28C4" w:rsidRPr="00C85B26" w:rsidRDefault="00DB28C4" w:rsidP="0020669E">
            <w:r w:rsidRPr="00C85B26">
              <w:lastRenderedPageBreak/>
              <w:t>3</w:t>
            </w:r>
          </w:p>
        </w:tc>
        <w:tc>
          <w:tcPr>
            <w:tcW w:w="567" w:type="dxa"/>
          </w:tcPr>
          <w:p w:rsidR="00DB28C4" w:rsidRPr="00C85B26" w:rsidRDefault="00DB28C4" w:rsidP="0020669E"/>
        </w:tc>
        <w:tc>
          <w:tcPr>
            <w:tcW w:w="6520" w:type="dxa"/>
          </w:tcPr>
          <w:p w:rsidR="00DB28C4" w:rsidRPr="00C85B26" w:rsidRDefault="0062725B" w:rsidP="00C97DCD">
            <w:pPr>
              <w:rPr>
                <w:b/>
              </w:rPr>
            </w:pPr>
            <w:r w:rsidRPr="0062725B">
              <w:rPr>
                <w:b/>
              </w:rPr>
              <w:t>Review of School/Faculty Admin commentaries</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792782" w:rsidRPr="00C85B26" w:rsidRDefault="00E25672" w:rsidP="002D64C8">
            <w:r>
              <w:t>CG thanked WG members for returning their commentaries by the due date</w:t>
            </w:r>
            <w:r w:rsidR="0066162D">
              <w:t xml:space="preserve"> as requested</w:t>
            </w:r>
            <w:r>
              <w:t xml:space="preserve">.  </w:t>
            </w:r>
            <w:r w:rsidR="00A75125">
              <w:t xml:space="preserve">CF confirmed that everyone had received copies </w:t>
            </w:r>
            <w:r w:rsidR="002D64C8">
              <w:t>with their meeting papers.</w:t>
            </w:r>
          </w:p>
        </w:tc>
        <w:tc>
          <w:tcPr>
            <w:tcW w:w="1621" w:type="dxa"/>
          </w:tcPr>
          <w:p w:rsidR="00DB28C4" w:rsidRPr="00C85B26" w:rsidRDefault="00DB28C4" w:rsidP="0020669E"/>
        </w:tc>
      </w:tr>
      <w:tr w:rsidR="009E493B" w:rsidRPr="00C85B26" w:rsidTr="00DB28C4">
        <w:tc>
          <w:tcPr>
            <w:tcW w:w="534" w:type="dxa"/>
          </w:tcPr>
          <w:p w:rsidR="009E493B" w:rsidRPr="00C85B26" w:rsidRDefault="009E493B" w:rsidP="0020669E"/>
        </w:tc>
        <w:tc>
          <w:tcPr>
            <w:tcW w:w="567" w:type="dxa"/>
          </w:tcPr>
          <w:p w:rsidR="009E493B" w:rsidRPr="00C85B26" w:rsidRDefault="009E493B" w:rsidP="0020669E"/>
        </w:tc>
        <w:tc>
          <w:tcPr>
            <w:tcW w:w="6520" w:type="dxa"/>
          </w:tcPr>
          <w:p w:rsidR="009E493B" w:rsidRPr="00C85B26" w:rsidRDefault="009E493B" w:rsidP="00DE1D26"/>
        </w:tc>
        <w:tc>
          <w:tcPr>
            <w:tcW w:w="1621" w:type="dxa"/>
          </w:tcPr>
          <w:p w:rsidR="009E493B" w:rsidRPr="00C85B26" w:rsidRDefault="009E493B" w:rsidP="0020669E"/>
        </w:tc>
      </w:tr>
      <w:tr w:rsidR="00DB28C4" w:rsidRPr="00C85B26" w:rsidTr="00DB28C4">
        <w:tc>
          <w:tcPr>
            <w:tcW w:w="534" w:type="dxa"/>
          </w:tcPr>
          <w:p w:rsidR="00DB28C4" w:rsidRPr="00C85B26" w:rsidRDefault="00DB28C4" w:rsidP="0020669E">
            <w:r w:rsidRPr="00C85B26">
              <w:t>4</w:t>
            </w:r>
          </w:p>
        </w:tc>
        <w:tc>
          <w:tcPr>
            <w:tcW w:w="567" w:type="dxa"/>
          </w:tcPr>
          <w:p w:rsidR="00DB28C4" w:rsidRPr="00C85B26" w:rsidRDefault="00DB28C4" w:rsidP="0020669E"/>
        </w:tc>
        <w:tc>
          <w:tcPr>
            <w:tcW w:w="6520" w:type="dxa"/>
          </w:tcPr>
          <w:p w:rsidR="00DB28C4" w:rsidRPr="00C85B26" w:rsidRDefault="0062725B" w:rsidP="0020669E">
            <w:pPr>
              <w:rPr>
                <w:b/>
              </w:rPr>
            </w:pPr>
            <w:r w:rsidRPr="0062725B">
              <w:rPr>
                <w:b/>
              </w:rPr>
              <w:t>Draft Working Group report</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p w:rsidR="00AF7457" w:rsidRPr="00C85B26" w:rsidRDefault="00AF7457" w:rsidP="0020669E"/>
          <w:p w:rsidR="00AF7457" w:rsidRPr="00C85B26" w:rsidRDefault="00AF7457" w:rsidP="0020669E"/>
        </w:tc>
        <w:tc>
          <w:tcPr>
            <w:tcW w:w="6520" w:type="dxa"/>
          </w:tcPr>
          <w:p w:rsidR="00274733" w:rsidRDefault="00274733" w:rsidP="0062725B">
            <w:r>
              <w:t xml:space="preserve">CF stated that the Draft </w:t>
            </w:r>
            <w:r w:rsidR="002D64C8">
              <w:t xml:space="preserve">Interim </w:t>
            </w:r>
            <w:r>
              <w:t>Working Group report</w:t>
            </w:r>
            <w:r w:rsidR="00B44BE5">
              <w:t xml:space="preserve"> would have to be submitted</w:t>
            </w:r>
            <w:r>
              <w:t xml:space="preserve"> </w:t>
            </w:r>
            <w:r w:rsidR="002D64C8">
              <w:t xml:space="preserve">the following day </w:t>
            </w:r>
            <w:r w:rsidR="0062725B" w:rsidRPr="0062725B">
              <w:t xml:space="preserve">to </w:t>
            </w:r>
            <w:r w:rsidR="002D64C8">
              <w:t>the Dean’s Advisory Group (DAG) for its meeting on 19 May and for Humanities P</w:t>
            </w:r>
            <w:r w:rsidR="007E6A35">
              <w:t xml:space="preserve">olicy and </w:t>
            </w:r>
            <w:r w:rsidR="002D64C8">
              <w:t>R</w:t>
            </w:r>
            <w:r w:rsidR="007E6A35">
              <w:t xml:space="preserve">esources </w:t>
            </w:r>
            <w:r w:rsidR="002D64C8">
              <w:t>C</w:t>
            </w:r>
            <w:r w:rsidR="007E6A35">
              <w:t>ommittee</w:t>
            </w:r>
            <w:r w:rsidR="002D64C8">
              <w:t xml:space="preserve"> (HPRC) for its meeting on 23 May.  The re</w:t>
            </w:r>
            <w:r w:rsidR="00B44BE5">
              <w:t>port was intended to provide tho</w:t>
            </w:r>
            <w:r w:rsidR="002D64C8">
              <w:t xml:space="preserve">se fora with a reminder of the Group’s remit as well as </w:t>
            </w:r>
            <w:r w:rsidR="007E6A35">
              <w:t xml:space="preserve">a report on </w:t>
            </w:r>
            <w:r w:rsidR="002D64C8">
              <w:t>progress to date.</w:t>
            </w:r>
            <w:r w:rsidR="0062725B" w:rsidRPr="0062725B">
              <w:t xml:space="preserve"> </w:t>
            </w:r>
          </w:p>
          <w:p w:rsidR="002D64C8" w:rsidRDefault="002D64C8" w:rsidP="0062725B"/>
          <w:p w:rsidR="0099301D" w:rsidRPr="00C85B26" w:rsidRDefault="00274733" w:rsidP="00606AB0">
            <w:r>
              <w:t xml:space="preserve">CF </w:t>
            </w:r>
            <w:r w:rsidR="007E6A35">
              <w:t>invited colleagues to give</w:t>
            </w:r>
            <w:r w:rsidR="002C49D9">
              <w:t xml:space="preserve"> comments on the draft report </w:t>
            </w:r>
            <w:r w:rsidR="00606AB0">
              <w:t>which</w:t>
            </w:r>
            <w:r w:rsidR="002C49D9">
              <w:t xml:space="preserve"> </w:t>
            </w:r>
            <w:r w:rsidR="007E6A35">
              <w:t xml:space="preserve">she </w:t>
            </w:r>
            <w:r w:rsidR="002C49D9">
              <w:t xml:space="preserve">and AM had worked together </w:t>
            </w:r>
            <w:r w:rsidR="00606AB0">
              <w:t xml:space="preserve">to </w:t>
            </w:r>
            <w:r w:rsidR="002D64C8">
              <w:t>produc</w:t>
            </w:r>
            <w:r w:rsidR="00606AB0">
              <w:t>e</w:t>
            </w:r>
            <w:r w:rsidR="002C49D9">
              <w:t xml:space="preserve"> at speed.</w:t>
            </w:r>
          </w:p>
        </w:tc>
        <w:tc>
          <w:tcPr>
            <w:tcW w:w="1621" w:type="dxa"/>
          </w:tcPr>
          <w:p w:rsidR="00DB28C4" w:rsidRPr="00C85B26" w:rsidRDefault="00DB28C4" w:rsidP="0020669E">
            <w:pPr>
              <w:rPr>
                <w:b/>
              </w:rPr>
            </w:pPr>
          </w:p>
          <w:p w:rsidR="0065739D" w:rsidRPr="00C85B26" w:rsidRDefault="0065739D" w:rsidP="0020669E">
            <w:pPr>
              <w:rPr>
                <w:b/>
              </w:rPr>
            </w:pPr>
          </w:p>
          <w:p w:rsidR="0065739D" w:rsidRPr="00C85B26" w:rsidRDefault="0065739D" w:rsidP="0020669E">
            <w:pPr>
              <w:rPr>
                <w:b/>
              </w:rPr>
            </w:pP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D64C8" w:rsidRDefault="002D64C8" w:rsidP="002D64C8">
            <w:pPr>
              <w:rPr>
                <w:b/>
                <w:color w:val="FF0000"/>
              </w:rPr>
            </w:pPr>
          </w:p>
          <w:p w:rsidR="002D64C8" w:rsidRPr="002D64C8" w:rsidRDefault="002D64C8" w:rsidP="002D64C8">
            <w:pPr>
              <w:rPr>
                <w:color w:val="000000" w:themeColor="text1"/>
              </w:rPr>
            </w:pPr>
            <w:r>
              <w:rPr>
                <w:color w:val="000000" w:themeColor="text1"/>
              </w:rPr>
              <w:t xml:space="preserve">WG members commented in general terms that the draft interim report was a helpful and informative summary of its Stage 1 work.  Some minor drafting comments were made, which it was agreed would be incorporated into the </w:t>
            </w:r>
            <w:r w:rsidR="00606AB0">
              <w:rPr>
                <w:color w:val="000000" w:themeColor="text1"/>
              </w:rPr>
              <w:t xml:space="preserve">revised </w:t>
            </w:r>
            <w:r>
              <w:rPr>
                <w:color w:val="000000" w:themeColor="text1"/>
              </w:rPr>
              <w:t xml:space="preserve">version </w:t>
            </w:r>
            <w:r w:rsidR="00606AB0">
              <w:rPr>
                <w:color w:val="000000" w:themeColor="text1"/>
              </w:rPr>
              <w:t xml:space="preserve">of the interim report </w:t>
            </w:r>
            <w:r>
              <w:rPr>
                <w:color w:val="000000" w:themeColor="text1"/>
              </w:rPr>
              <w:t xml:space="preserve">to be forwarded to DAG and HPRC.  </w:t>
            </w:r>
          </w:p>
        </w:tc>
        <w:tc>
          <w:tcPr>
            <w:tcW w:w="1621" w:type="dxa"/>
          </w:tcPr>
          <w:p w:rsidR="00E11B37" w:rsidRDefault="00E11B37" w:rsidP="00E11B37">
            <w:pPr>
              <w:rPr>
                <w:b/>
              </w:rPr>
            </w:pPr>
          </w:p>
          <w:p w:rsidR="00E11B37" w:rsidRDefault="00E11B37" w:rsidP="00E11B37">
            <w:pPr>
              <w:rPr>
                <w:b/>
              </w:rPr>
            </w:pPr>
          </w:p>
          <w:p w:rsidR="00E11B37" w:rsidRDefault="00E11B37" w:rsidP="00E11B37">
            <w:pPr>
              <w:rPr>
                <w:b/>
              </w:rPr>
            </w:pPr>
          </w:p>
          <w:p w:rsidR="00E11B37" w:rsidRDefault="00E11B37" w:rsidP="00E11B37">
            <w:pPr>
              <w:rPr>
                <w:b/>
              </w:rPr>
            </w:pPr>
          </w:p>
          <w:p w:rsidR="00E11B37" w:rsidRDefault="00E11B37" w:rsidP="00E11B37">
            <w:pPr>
              <w:rPr>
                <w:b/>
              </w:rPr>
            </w:pPr>
          </w:p>
          <w:p w:rsidR="002C49D9" w:rsidRPr="00C85B26" w:rsidRDefault="00E11B37" w:rsidP="00E11B37">
            <w:pPr>
              <w:rPr>
                <w:b/>
              </w:rPr>
            </w:pPr>
            <w:r>
              <w:rPr>
                <w:b/>
              </w:rPr>
              <w:t>Action:  CF</w:t>
            </w: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46A30" w:rsidRDefault="00246A30" w:rsidP="00B44BE5"/>
          <w:p w:rsidR="002C49D9" w:rsidRPr="00C85B26" w:rsidRDefault="002C49D9" w:rsidP="00606AB0">
            <w:proofErr w:type="spellStart"/>
            <w:r w:rsidRPr="0062725B">
              <w:t>C</w:t>
            </w:r>
            <w:r>
              <w:t>Al</w:t>
            </w:r>
            <w:proofErr w:type="spellEnd"/>
            <w:r w:rsidR="00270865">
              <w:t xml:space="preserve"> raised </w:t>
            </w:r>
            <w:r w:rsidR="00723E65">
              <w:t xml:space="preserve">an issue </w:t>
            </w:r>
            <w:r w:rsidR="00270865">
              <w:t xml:space="preserve">regarding </w:t>
            </w:r>
            <w:r w:rsidR="00723E65">
              <w:t xml:space="preserve">the groups classed as </w:t>
            </w:r>
            <w:r w:rsidR="00B44BE5">
              <w:t>BME and the sub-categories the BME category encompasses.</w:t>
            </w:r>
            <w:r>
              <w:t xml:space="preserve"> </w:t>
            </w:r>
            <w:r w:rsidR="00B44BE5">
              <w:t xml:space="preserve"> </w:t>
            </w:r>
            <w:proofErr w:type="spellStart"/>
            <w:r w:rsidR="00723E65">
              <w:t>C</w:t>
            </w:r>
            <w:r w:rsidR="00B44BE5">
              <w:t>A</w:t>
            </w:r>
            <w:r w:rsidR="00723E65">
              <w:t>l</w:t>
            </w:r>
            <w:proofErr w:type="spellEnd"/>
            <w:r w:rsidR="00723E65">
              <w:t xml:space="preserve"> not</w:t>
            </w:r>
            <w:r w:rsidR="00270865">
              <w:t xml:space="preserve">ed that within the Russell Group the number of Black and </w:t>
            </w:r>
            <w:r>
              <w:t>Black-Ca</w:t>
            </w:r>
            <w:r w:rsidRPr="0062725B">
              <w:t>rib</w:t>
            </w:r>
            <w:r>
              <w:t>b</w:t>
            </w:r>
            <w:r w:rsidRPr="0062725B">
              <w:t>ean Professors</w:t>
            </w:r>
            <w:r w:rsidR="00723E65">
              <w:t xml:space="preserve"> is very low</w:t>
            </w:r>
            <w:r w:rsidR="00270865">
              <w:t>.</w:t>
            </w:r>
            <w:r w:rsidRPr="0062725B">
              <w:t xml:space="preserve">  </w:t>
            </w:r>
            <w:r w:rsidR="00606AB0">
              <w:t>Similar to the picture for the Russell Group overall,</w:t>
            </w:r>
            <w:r w:rsidR="00606AB0" w:rsidDel="00606AB0">
              <w:t xml:space="preserve"> </w:t>
            </w:r>
            <w:r w:rsidR="00723E65">
              <w:t xml:space="preserve">, </w:t>
            </w:r>
            <w:r w:rsidR="00270865">
              <w:t xml:space="preserve">there are </w:t>
            </w:r>
            <w:r w:rsidR="00723E65">
              <w:t>a significant number of Chinese</w:t>
            </w:r>
            <w:r w:rsidR="00B44BE5">
              <w:t xml:space="preserve"> and Asian staff </w:t>
            </w:r>
            <w:r w:rsidR="00723E65">
              <w:t>in</w:t>
            </w:r>
            <w:r w:rsidR="00B44BE5">
              <w:t>, for example,</w:t>
            </w:r>
            <w:r w:rsidR="00723E65">
              <w:t xml:space="preserve"> </w:t>
            </w:r>
            <w:r w:rsidRPr="0062725B">
              <w:t>M</w:t>
            </w:r>
            <w:r w:rsidR="00270865">
              <w:t xml:space="preserve">anchester </w:t>
            </w:r>
            <w:r w:rsidRPr="0062725B">
              <w:t>B</w:t>
            </w:r>
            <w:r w:rsidR="00270865">
              <w:t xml:space="preserve">usiness </w:t>
            </w:r>
            <w:r w:rsidRPr="0062725B">
              <w:t>S</w:t>
            </w:r>
            <w:r w:rsidR="00270865">
              <w:t>chool</w:t>
            </w:r>
            <w:r w:rsidR="00723E65">
              <w:t>, which</w:t>
            </w:r>
            <w:r w:rsidR="00270865">
              <w:t xml:space="preserve"> skew</w:t>
            </w:r>
            <w:r w:rsidR="00723E65">
              <w:t>s</w:t>
            </w:r>
            <w:r w:rsidR="00270865">
              <w:t xml:space="preserve"> the </w:t>
            </w:r>
            <w:r w:rsidR="00B44BE5">
              <w:t>overall picture for BME</w:t>
            </w:r>
            <w:r w:rsidR="00606AB0">
              <w:t xml:space="preserve"> representation within academia</w:t>
            </w:r>
            <w:r w:rsidRPr="0062725B">
              <w:t xml:space="preserve">. </w:t>
            </w:r>
            <w:r w:rsidR="00B44BE5">
              <w:t xml:space="preserve">  </w:t>
            </w:r>
            <w:proofErr w:type="spellStart"/>
            <w:r w:rsidR="00270865">
              <w:t>CAl</w:t>
            </w:r>
            <w:proofErr w:type="spellEnd"/>
            <w:r w:rsidR="00270865">
              <w:t xml:space="preserve"> stated that </w:t>
            </w:r>
            <w:r w:rsidR="00723E65">
              <w:t xml:space="preserve">evidence shows </w:t>
            </w:r>
            <w:r w:rsidR="00B44BE5">
              <w:t xml:space="preserve">that the </w:t>
            </w:r>
            <w:r w:rsidR="00606AB0">
              <w:t xml:space="preserve">UK labour market </w:t>
            </w:r>
            <w:r w:rsidR="00B44BE5">
              <w:t>prospects of the Asian and Chinese population are much better than for those of Black origin</w:t>
            </w:r>
            <w:r w:rsidRPr="0062725B">
              <w:t>.</w:t>
            </w:r>
            <w:r w:rsidR="00270865">
              <w:t xml:space="preserve">  CF stated that she would </w:t>
            </w:r>
            <w:r w:rsidR="00606AB0">
              <w:t xml:space="preserve">revise </w:t>
            </w:r>
            <w:r w:rsidR="00270865">
              <w:t xml:space="preserve">the </w:t>
            </w:r>
            <w:proofErr w:type="gramStart"/>
            <w:r w:rsidR="00606AB0">
              <w:t xml:space="preserve">interim </w:t>
            </w:r>
            <w:r w:rsidR="00270865">
              <w:t xml:space="preserve"> report</w:t>
            </w:r>
            <w:proofErr w:type="gramEnd"/>
            <w:r w:rsidR="00723E65">
              <w:t xml:space="preserve"> to cover this point</w:t>
            </w:r>
            <w:r w:rsidR="00270865">
              <w:t>.</w:t>
            </w:r>
            <w:r w:rsidRPr="0062725B">
              <w:t xml:space="preserve">  </w:t>
            </w:r>
          </w:p>
        </w:tc>
        <w:tc>
          <w:tcPr>
            <w:tcW w:w="1621" w:type="dxa"/>
          </w:tcPr>
          <w:p w:rsidR="00270865" w:rsidRDefault="00270865" w:rsidP="00270865">
            <w:pPr>
              <w:rPr>
                <w:b/>
              </w:rPr>
            </w:pPr>
          </w:p>
          <w:p w:rsidR="00270865" w:rsidRDefault="00270865" w:rsidP="00270865">
            <w:pPr>
              <w:rPr>
                <w:b/>
              </w:rPr>
            </w:pPr>
          </w:p>
          <w:p w:rsidR="00270865" w:rsidRDefault="00270865" w:rsidP="00270865">
            <w:pPr>
              <w:rPr>
                <w:b/>
              </w:rPr>
            </w:pPr>
          </w:p>
          <w:p w:rsidR="00270865" w:rsidRDefault="00270865" w:rsidP="00270865">
            <w:pPr>
              <w:rPr>
                <w:b/>
              </w:rPr>
            </w:pPr>
          </w:p>
          <w:p w:rsidR="00270865" w:rsidRDefault="00270865" w:rsidP="00270865">
            <w:pPr>
              <w:rPr>
                <w:b/>
              </w:rPr>
            </w:pPr>
          </w:p>
          <w:p w:rsidR="00723E65" w:rsidRDefault="00723E65" w:rsidP="00270865">
            <w:pPr>
              <w:rPr>
                <w:b/>
              </w:rPr>
            </w:pPr>
          </w:p>
          <w:p w:rsidR="00723E65" w:rsidRDefault="00723E65" w:rsidP="00270865">
            <w:pPr>
              <w:rPr>
                <w:b/>
              </w:rPr>
            </w:pPr>
          </w:p>
          <w:p w:rsidR="00246A30" w:rsidRDefault="00246A30" w:rsidP="00270865">
            <w:pPr>
              <w:rPr>
                <w:b/>
              </w:rPr>
            </w:pPr>
          </w:p>
          <w:p w:rsidR="007E6A35" w:rsidRDefault="007E6A35" w:rsidP="007E6A35">
            <w:pPr>
              <w:rPr>
                <w:b/>
              </w:rPr>
            </w:pPr>
          </w:p>
          <w:p w:rsidR="002C49D9" w:rsidRPr="00270865" w:rsidRDefault="002C49D9" w:rsidP="007E6A35">
            <w:pPr>
              <w:rPr>
                <w:b/>
              </w:rPr>
            </w:pPr>
            <w:r w:rsidRPr="00270865">
              <w:rPr>
                <w:b/>
              </w:rPr>
              <w:t xml:space="preserve">Action: CF </w:t>
            </w: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46A30" w:rsidRDefault="00246A30" w:rsidP="00723E65"/>
          <w:p w:rsidR="002C49D9" w:rsidRPr="00C85B26" w:rsidRDefault="00E11B37" w:rsidP="00723E65">
            <w:r>
              <w:t xml:space="preserve">HG </w:t>
            </w:r>
            <w:r w:rsidR="00723E65">
              <w:t xml:space="preserve">noted that there was </w:t>
            </w:r>
            <w:r>
              <w:t>a need</w:t>
            </w:r>
            <w:r w:rsidR="002C49D9" w:rsidRPr="0062725B">
              <w:t xml:space="preserve"> within SEED to drill down and look </w:t>
            </w:r>
            <w:r w:rsidR="00270865">
              <w:t xml:space="preserve">at the patterns within the data </w:t>
            </w:r>
            <w:r w:rsidR="00723E65">
              <w:t xml:space="preserve">in order to take a more informed view.  For example, it may be that in some disciplines linked to professions, the ethnic composition reflected the professional cohort </w:t>
            </w:r>
            <w:r w:rsidR="00B44BE5">
              <w:t xml:space="preserve">(e.g. education) </w:t>
            </w:r>
            <w:r w:rsidR="00723E65">
              <w:t xml:space="preserve">and </w:t>
            </w:r>
            <w:r w:rsidR="00B44BE5">
              <w:t xml:space="preserve">therefore </w:t>
            </w:r>
            <w:r w:rsidR="00723E65">
              <w:t xml:space="preserve">our control over this </w:t>
            </w:r>
            <w:r w:rsidR="00B44BE5">
              <w:t xml:space="preserve">“pipeline” </w:t>
            </w:r>
            <w:r w:rsidR="00723E65">
              <w:t>was limited.</w:t>
            </w:r>
          </w:p>
        </w:tc>
        <w:tc>
          <w:tcPr>
            <w:tcW w:w="1621" w:type="dxa"/>
          </w:tcPr>
          <w:p w:rsidR="002C49D9" w:rsidRPr="00C85B26" w:rsidRDefault="002C49D9" w:rsidP="0020669E">
            <w:pPr>
              <w:rPr>
                <w:b/>
              </w:rPr>
            </w:pP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46A30" w:rsidRDefault="00246A30" w:rsidP="00723E65"/>
          <w:p w:rsidR="002C49D9" w:rsidRPr="00C85B26" w:rsidRDefault="00270865" w:rsidP="00723E65">
            <w:r>
              <w:t xml:space="preserve">CF stated that she would </w:t>
            </w:r>
            <w:r w:rsidR="00723E65">
              <w:t xml:space="preserve">modify </w:t>
            </w:r>
            <w:r w:rsidR="002C49D9" w:rsidRPr="0062725B">
              <w:t>the content</w:t>
            </w:r>
            <w:r>
              <w:t>s as discussed and confirmed that the</w:t>
            </w:r>
            <w:r w:rsidRPr="0062725B">
              <w:t xml:space="preserve"> Equal Pay</w:t>
            </w:r>
            <w:r w:rsidR="00723E65">
              <w:t xml:space="preserve"> information </w:t>
            </w:r>
            <w:r w:rsidR="00B44BE5">
              <w:t xml:space="preserve">in the initial draft </w:t>
            </w:r>
            <w:r w:rsidR="00723E65">
              <w:t xml:space="preserve">would be summarised </w:t>
            </w:r>
            <w:r w:rsidR="007E6A35">
              <w:t xml:space="preserve">further </w:t>
            </w:r>
            <w:r w:rsidR="00723E65">
              <w:t xml:space="preserve">as more detailed information was in the public domain on </w:t>
            </w:r>
            <w:proofErr w:type="spellStart"/>
            <w:r w:rsidR="00723E65">
              <w:t>StaffNet</w:t>
            </w:r>
            <w:proofErr w:type="spellEnd"/>
            <w:r w:rsidRPr="0062725B">
              <w:t>.</w:t>
            </w:r>
            <w:r>
              <w:t xml:space="preserve">  All agreed that they were ha</w:t>
            </w:r>
            <w:r w:rsidR="00723E65">
              <w:t>ppy with the draft report to be forwarded to DAG and HPRC</w:t>
            </w:r>
            <w:r>
              <w:t xml:space="preserve"> on this basis.</w:t>
            </w:r>
          </w:p>
        </w:tc>
        <w:tc>
          <w:tcPr>
            <w:tcW w:w="1621" w:type="dxa"/>
          </w:tcPr>
          <w:p w:rsidR="00270865" w:rsidRDefault="00270865" w:rsidP="0020669E">
            <w:pPr>
              <w:rPr>
                <w:b/>
              </w:rPr>
            </w:pPr>
          </w:p>
          <w:p w:rsidR="00270865" w:rsidRDefault="00270865" w:rsidP="0020669E">
            <w:pPr>
              <w:rPr>
                <w:b/>
              </w:rPr>
            </w:pPr>
          </w:p>
          <w:p w:rsidR="00270865" w:rsidRDefault="00270865" w:rsidP="0020669E">
            <w:pPr>
              <w:rPr>
                <w:b/>
              </w:rPr>
            </w:pPr>
          </w:p>
          <w:p w:rsidR="00FF79E6" w:rsidRDefault="00FF79E6" w:rsidP="0020669E">
            <w:pPr>
              <w:rPr>
                <w:b/>
              </w:rPr>
            </w:pPr>
          </w:p>
          <w:p w:rsidR="00246A30" w:rsidRDefault="00246A30" w:rsidP="0020669E">
            <w:pPr>
              <w:rPr>
                <w:b/>
              </w:rPr>
            </w:pPr>
          </w:p>
          <w:p w:rsidR="00606AB0" w:rsidRPr="00C85B26" w:rsidRDefault="00270865" w:rsidP="0020669E">
            <w:pPr>
              <w:rPr>
                <w:b/>
              </w:rPr>
            </w:pPr>
            <w:r>
              <w:rPr>
                <w:b/>
              </w:rPr>
              <w:t>Action: CF</w:t>
            </w:r>
            <w:r w:rsidR="00606AB0">
              <w:rPr>
                <w:b/>
              </w:rPr>
              <w:t>/AM</w:t>
            </w: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C49D9" w:rsidRPr="00C85B26" w:rsidRDefault="002C49D9" w:rsidP="0020669E"/>
        </w:tc>
        <w:tc>
          <w:tcPr>
            <w:tcW w:w="1621" w:type="dxa"/>
          </w:tcPr>
          <w:p w:rsidR="002C49D9" w:rsidRPr="00C85B26" w:rsidRDefault="002C49D9" w:rsidP="0020669E">
            <w:pPr>
              <w:rPr>
                <w:b/>
              </w:rPr>
            </w:pP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C49D9" w:rsidRDefault="002C49D9" w:rsidP="002C49D9">
            <w:r>
              <w:t>HH raised a concern regarding the lack of r</w:t>
            </w:r>
            <w:r w:rsidRPr="0062725B">
              <w:t>ole models</w:t>
            </w:r>
            <w:r>
              <w:t xml:space="preserve"> for those who are LGBT and</w:t>
            </w:r>
            <w:r w:rsidR="0066162D">
              <w:t>/or</w:t>
            </w:r>
            <w:r>
              <w:t xml:space="preserve"> disabled.</w:t>
            </w:r>
            <w:r w:rsidRPr="0062725B">
              <w:t xml:space="preserve">  </w:t>
            </w:r>
            <w:r w:rsidR="0066162D">
              <w:t xml:space="preserve"> </w:t>
            </w:r>
            <w:r w:rsidR="00270865">
              <w:t xml:space="preserve">HH suggested that </w:t>
            </w:r>
            <w:r w:rsidR="0066162D">
              <w:t xml:space="preserve">all underrepresented groups needed a </w:t>
            </w:r>
            <w:r w:rsidR="00246A30">
              <w:t>d</w:t>
            </w:r>
            <w:r>
              <w:t>iversity champion</w:t>
            </w:r>
            <w:r w:rsidR="00270865">
              <w:t xml:space="preserve"> so that </w:t>
            </w:r>
            <w:r w:rsidR="0066162D">
              <w:t xml:space="preserve">they </w:t>
            </w:r>
            <w:r w:rsidR="00270865">
              <w:t>were all</w:t>
            </w:r>
            <w:r w:rsidRPr="0062725B">
              <w:t xml:space="preserve"> </w:t>
            </w:r>
            <w:r w:rsidR="00270865">
              <w:t>“</w:t>
            </w:r>
            <w:r w:rsidRPr="0062725B">
              <w:t>seeing people like me</w:t>
            </w:r>
            <w:r w:rsidR="00270865">
              <w:t>”</w:t>
            </w:r>
            <w:r w:rsidR="0066162D">
              <w:t xml:space="preserve"> within the institution</w:t>
            </w:r>
            <w:r w:rsidRPr="0062725B">
              <w:t>.</w:t>
            </w:r>
          </w:p>
          <w:p w:rsidR="0066162D" w:rsidRPr="0062725B" w:rsidRDefault="0066162D" w:rsidP="002C49D9"/>
          <w:p w:rsidR="002C49D9" w:rsidRPr="00C85B26" w:rsidRDefault="00FF79E6" w:rsidP="00606AB0">
            <w:r>
              <w:t xml:space="preserve">It was </w:t>
            </w:r>
            <w:r w:rsidR="00270865">
              <w:t xml:space="preserve">agreed that this was </w:t>
            </w:r>
            <w:r w:rsidR="007E6A35">
              <w:t xml:space="preserve">certainly </w:t>
            </w:r>
            <w:r w:rsidR="0066162D">
              <w:t>a matter that warranted</w:t>
            </w:r>
            <w:r w:rsidR="007E6A35">
              <w:t xml:space="preserve"> and</w:t>
            </w:r>
            <w:r w:rsidR="00606AB0">
              <w:t xml:space="preserve"> that </w:t>
            </w:r>
            <w:r w:rsidR="00606AB0">
              <w:lastRenderedPageBreak/>
              <w:t xml:space="preserve">role model diversity </w:t>
            </w:r>
            <w:r w:rsidR="007E6A35">
              <w:t xml:space="preserve">deserved </w:t>
            </w:r>
            <w:r w:rsidR="0066162D">
              <w:t>further consideration</w:t>
            </w:r>
            <w:r w:rsidR="00606AB0">
              <w:t xml:space="preserve"> in relation to the action plan to be developed as part of Stage 2</w:t>
            </w:r>
            <w:proofErr w:type="gramStart"/>
            <w:r w:rsidR="00606AB0">
              <w:t>.</w:t>
            </w:r>
            <w:r w:rsidR="00270865">
              <w:t>.</w:t>
            </w:r>
            <w:proofErr w:type="gramEnd"/>
            <w:r w:rsidR="00270865">
              <w:t xml:space="preserve">  </w:t>
            </w:r>
          </w:p>
        </w:tc>
        <w:tc>
          <w:tcPr>
            <w:tcW w:w="1621" w:type="dxa"/>
          </w:tcPr>
          <w:p w:rsidR="00270865" w:rsidRDefault="00270865" w:rsidP="00270865">
            <w:pPr>
              <w:rPr>
                <w:b/>
              </w:rPr>
            </w:pPr>
          </w:p>
          <w:p w:rsidR="00270865" w:rsidRDefault="00270865" w:rsidP="00270865">
            <w:pPr>
              <w:rPr>
                <w:b/>
              </w:rPr>
            </w:pPr>
          </w:p>
          <w:p w:rsidR="00270865" w:rsidRDefault="00270865" w:rsidP="00270865">
            <w:pPr>
              <w:rPr>
                <w:b/>
              </w:rPr>
            </w:pPr>
          </w:p>
          <w:p w:rsidR="00270865" w:rsidRDefault="00270865" w:rsidP="00270865">
            <w:pPr>
              <w:rPr>
                <w:b/>
              </w:rPr>
            </w:pPr>
          </w:p>
          <w:p w:rsidR="00270865" w:rsidRDefault="00270865" w:rsidP="00270865">
            <w:pPr>
              <w:rPr>
                <w:b/>
              </w:rPr>
            </w:pPr>
          </w:p>
          <w:p w:rsidR="00270865" w:rsidRDefault="00606AB0" w:rsidP="00270865">
            <w:pPr>
              <w:rPr>
                <w:b/>
              </w:rPr>
            </w:pPr>
            <w:r>
              <w:rPr>
                <w:b/>
              </w:rPr>
              <w:t>Action: CF/AM</w:t>
            </w:r>
          </w:p>
          <w:p w:rsidR="00270865" w:rsidRDefault="00270865" w:rsidP="00270865">
            <w:pPr>
              <w:rPr>
                <w:b/>
              </w:rPr>
            </w:pPr>
          </w:p>
          <w:p w:rsidR="002C49D9" w:rsidRPr="00270865" w:rsidRDefault="002C49D9" w:rsidP="00270865">
            <w:pPr>
              <w:rPr>
                <w:b/>
              </w:rPr>
            </w:pPr>
          </w:p>
        </w:tc>
      </w:tr>
      <w:tr w:rsidR="002C49D9" w:rsidRPr="00C85B26" w:rsidTr="00DB28C4">
        <w:tc>
          <w:tcPr>
            <w:tcW w:w="534" w:type="dxa"/>
          </w:tcPr>
          <w:p w:rsidR="002C49D9" w:rsidRPr="00C85B26" w:rsidRDefault="002C49D9" w:rsidP="0020669E"/>
        </w:tc>
        <w:tc>
          <w:tcPr>
            <w:tcW w:w="567" w:type="dxa"/>
          </w:tcPr>
          <w:p w:rsidR="002C49D9" w:rsidRPr="00C85B26" w:rsidRDefault="002C49D9" w:rsidP="0020669E"/>
        </w:tc>
        <w:tc>
          <w:tcPr>
            <w:tcW w:w="6520" w:type="dxa"/>
          </w:tcPr>
          <w:p w:rsidR="002C49D9" w:rsidRPr="00C85B26" w:rsidRDefault="002C49D9" w:rsidP="0020669E"/>
        </w:tc>
        <w:tc>
          <w:tcPr>
            <w:tcW w:w="1621" w:type="dxa"/>
          </w:tcPr>
          <w:p w:rsidR="002C49D9" w:rsidRPr="00C85B26" w:rsidRDefault="002C49D9" w:rsidP="0020669E">
            <w:pPr>
              <w:rPr>
                <w:b/>
              </w:rPr>
            </w:pPr>
          </w:p>
        </w:tc>
      </w:tr>
      <w:tr w:rsidR="00DB28C4" w:rsidRPr="00C85B26" w:rsidTr="00DB28C4">
        <w:tc>
          <w:tcPr>
            <w:tcW w:w="534" w:type="dxa"/>
          </w:tcPr>
          <w:p w:rsidR="00DB28C4" w:rsidRPr="00C85B26" w:rsidRDefault="00DB28C4" w:rsidP="0020669E">
            <w:r w:rsidRPr="00C85B26">
              <w:t>5</w:t>
            </w:r>
          </w:p>
        </w:tc>
        <w:tc>
          <w:tcPr>
            <w:tcW w:w="567" w:type="dxa"/>
          </w:tcPr>
          <w:p w:rsidR="00DB28C4" w:rsidRPr="00C85B26" w:rsidRDefault="00DB28C4" w:rsidP="0020669E"/>
        </w:tc>
        <w:tc>
          <w:tcPr>
            <w:tcW w:w="6520" w:type="dxa"/>
          </w:tcPr>
          <w:p w:rsidR="00DB28C4" w:rsidRPr="00C85B26" w:rsidRDefault="0062725B" w:rsidP="0020669E">
            <w:pPr>
              <w:rPr>
                <w:b/>
              </w:rPr>
            </w:pPr>
            <w:r w:rsidRPr="0062725B">
              <w:rPr>
                <w:b/>
              </w:rPr>
              <w:t>Recruitment data</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375891" w:rsidRDefault="0066162D" w:rsidP="0062725B">
            <w:r>
              <w:t>AM noted that recruitment data should be</w:t>
            </w:r>
            <w:r w:rsidR="0062725B" w:rsidRPr="0062725B">
              <w:t xml:space="preserve"> available </w:t>
            </w:r>
            <w:r>
              <w:t xml:space="preserve">for dissemination </w:t>
            </w:r>
            <w:r w:rsidR="0062725B" w:rsidRPr="0062725B">
              <w:t>on Monday</w:t>
            </w:r>
            <w:r>
              <w:t xml:space="preserve"> 19 May</w:t>
            </w:r>
            <w:r w:rsidR="0062725B" w:rsidRPr="0062725B">
              <w:t xml:space="preserve">.  </w:t>
            </w:r>
            <w:r w:rsidR="00820AD3" w:rsidRPr="0062725B">
              <w:t xml:space="preserve">AM and CF </w:t>
            </w:r>
            <w:r w:rsidR="00820AD3">
              <w:t>will examine and "sense-check</w:t>
            </w:r>
            <w:proofErr w:type="gramStart"/>
            <w:r w:rsidR="00820AD3">
              <w:t xml:space="preserve">" </w:t>
            </w:r>
            <w:r w:rsidR="00820AD3" w:rsidRPr="0062725B">
              <w:t xml:space="preserve"> it</w:t>
            </w:r>
            <w:proofErr w:type="gramEnd"/>
            <w:r w:rsidR="00820AD3">
              <w:t xml:space="preserve"> before it is circulated</w:t>
            </w:r>
            <w:r w:rsidR="00820AD3" w:rsidRPr="0062725B">
              <w:t xml:space="preserve">. </w:t>
            </w:r>
            <w:r>
              <w:t xml:space="preserve">The data will show the progression of candidates at application, shortlisting and appointment stage by ethnicity and gender by School/Faculty Admin. </w:t>
            </w:r>
            <w:proofErr w:type="gramStart"/>
            <w:r>
              <w:t>for</w:t>
            </w:r>
            <w:proofErr w:type="gramEnd"/>
            <w:r>
              <w:t xml:space="preserve"> each occupational group (i.e. </w:t>
            </w:r>
            <w:r w:rsidRPr="0066162D">
              <w:t>PSS, Academic and Research</w:t>
            </w:r>
            <w:r w:rsidR="00820AD3">
              <w:t>)</w:t>
            </w:r>
            <w:r w:rsidR="00820AD3" w:rsidRPr="0066162D">
              <w:t xml:space="preserve"> and</w:t>
            </w:r>
            <w:r>
              <w:t xml:space="preserve"> at each level/grade.  The </w:t>
            </w:r>
            <w:r w:rsidR="00375891">
              <w:t xml:space="preserve">data will </w:t>
            </w:r>
            <w:r>
              <w:t xml:space="preserve">include </w:t>
            </w:r>
            <w:r w:rsidR="00375891">
              <w:t>both e</w:t>
            </w:r>
            <w:r w:rsidR="0062725B" w:rsidRPr="0062725B">
              <w:t>xt</w:t>
            </w:r>
            <w:r w:rsidR="00375891">
              <w:t>ernal and internal candidates but n</w:t>
            </w:r>
            <w:r w:rsidR="0062725B" w:rsidRPr="0062725B">
              <w:t xml:space="preserve">ot promotions. </w:t>
            </w:r>
            <w:r>
              <w:t xml:space="preserve">  </w:t>
            </w:r>
            <w:r w:rsidR="00E1315D">
              <w:t>The way in which it is disaggregated will not present any issues of confidentiality.</w:t>
            </w:r>
          </w:p>
          <w:p w:rsidR="00375891" w:rsidRDefault="00375891" w:rsidP="0062725B"/>
          <w:p w:rsidR="0062725B" w:rsidRDefault="00375891" w:rsidP="0062725B">
            <w:r>
              <w:t>The period</w:t>
            </w:r>
            <w:r w:rsidR="00E1315D">
              <w:t xml:space="preserve"> for which data is being prepared is January to December 2013</w:t>
            </w:r>
            <w:r w:rsidR="0062725B" w:rsidRPr="0062725B">
              <w:t>.</w:t>
            </w:r>
            <w:r>
              <w:t xml:space="preserve">  </w:t>
            </w:r>
            <w:r w:rsidR="00E1315D">
              <w:t>I</w:t>
            </w:r>
            <w:r>
              <w:t xml:space="preserve">t was not possible to </w:t>
            </w:r>
            <w:r w:rsidR="00E1315D">
              <w:t xml:space="preserve">provide comprehensive data before 2013 as </w:t>
            </w:r>
            <w:proofErr w:type="spellStart"/>
            <w:r>
              <w:t>Jobtrain</w:t>
            </w:r>
            <w:proofErr w:type="spellEnd"/>
            <w:r>
              <w:t xml:space="preserve"> has not been in place for longer</w:t>
            </w:r>
            <w:r w:rsidR="00E1315D">
              <w:t xml:space="preserve">.  </w:t>
            </w:r>
            <w:r>
              <w:t xml:space="preserve"> </w:t>
            </w:r>
            <w:r w:rsidR="00E1315D">
              <w:t xml:space="preserve">However, </w:t>
            </w:r>
            <w:r>
              <w:t xml:space="preserve">the data </w:t>
            </w:r>
            <w:r w:rsidR="00E1315D">
              <w:t xml:space="preserve">set </w:t>
            </w:r>
            <w:r>
              <w:t>could be used as a benchmark</w:t>
            </w:r>
            <w:r w:rsidR="00E1315D">
              <w:t xml:space="preserve"> for analysis of later periods</w:t>
            </w:r>
            <w:r>
              <w:t>.</w:t>
            </w:r>
          </w:p>
          <w:p w:rsidR="00E1315D" w:rsidRDefault="00E1315D" w:rsidP="0062725B"/>
          <w:p w:rsidR="00DB28C4" w:rsidRPr="00C85B26" w:rsidRDefault="00E1315D" w:rsidP="00246A30">
            <w:r>
              <w:t xml:space="preserve">It was recognised that the recruitment data was critical in providing information about where blockage appoints appeared </w:t>
            </w:r>
            <w:r w:rsidR="00820AD3">
              <w:t>for underrepresented</w:t>
            </w:r>
            <w:r>
              <w:t xml:space="preserve"> groups and in determining where and what type of positive action interventions might be implemented.</w:t>
            </w:r>
          </w:p>
        </w:tc>
        <w:tc>
          <w:tcPr>
            <w:tcW w:w="1621" w:type="dxa"/>
          </w:tcPr>
          <w:p w:rsidR="00DB28C4" w:rsidRDefault="00DB28C4" w:rsidP="0020669E"/>
          <w:p w:rsidR="007E6A35" w:rsidRDefault="007E6A35" w:rsidP="0020669E"/>
          <w:p w:rsidR="007E6A35" w:rsidRDefault="007E6A35" w:rsidP="0020669E"/>
          <w:p w:rsidR="007E6A35" w:rsidRDefault="007E6A35" w:rsidP="0020669E"/>
          <w:p w:rsidR="007E6A35" w:rsidRDefault="007E6A35" w:rsidP="0020669E"/>
          <w:p w:rsidR="007E6A35" w:rsidRDefault="007E6A35" w:rsidP="0020669E"/>
          <w:p w:rsidR="007E6A35" w:rsidRDefault="007E6A35" w:rsidP="0020669E"/>
          <w:p w:rsidR="007E6A35" w:rsidRPr="007E6A35" w:rsidRDefault="007E6A35" w:rsidP="0020669E">
            <w:pPr>
              <w:rPr>
                <w:b/>
              </w:rPr>
            </w:pPr>
            <w:r w:rsidRPr="007E6A35">
              <w:rPr>
                <w:b/>
              </w:rPr>
              <w:t>Action: AM</w:t>
            </w:r>
          </w:p>
        </w:tc>
      </w:tr>
      <w:tr w:rsidR="00246A30" w:rsidRPr="00C85B26" w:rsidTr="00DB28C4">
        <w:tc>
          <w:tcPr>
            <w:tcW w:w="534" w:type="dxa"/>
          </w:tcPr>
          <w:p w:rsidR="00246A30" w:rsidRDefault="00246A30" w:rsidP="0020669E"/>
        </w:tc>
        <w:tc>
          <w:tcPr>
            <w:tcW w:w="567" w:type="dxa"/>
          </w:tcPr>
          <w:p w:rsidR="00246A30" w:rsidRPr="00C85B26" w:rsidRDefault="00246A30" w:rsidP="0020669E"/>
        </w:tc>
        <w:tc>
          <w:tcPr>
            <w:tcW w:w="6520" w:type="dxa"/>
          </w:tcPr>
          <w:p w:rsidR="00246A30" w:rsidRPr="00E1315D" w:rsidRDefault="00246A30" w:rsidP="0099301D">
            <w:pPr>
              <w:rPr>
                <w:b/>
              </w:rPr>
            </w:pPr>
          </w:p>
        </w:tc>
        <w:tc>
          <w:tcPr>
            <w:tcW w:w="1621" w:type="dxa"/>
          </w:tcPr>
          <w:p w:rsidR="00246A30" w:rsidRPr="00C85B26" w:rsidRDefault="00246A30" w:rsidP="0020669E"/>
        </w:tc>
      </w:tr>
      <w:tr w:rsidR="0099301D" w:rsidRPr="00C85B26" w:rsidTr="00DB28C4">
        <w:tc>
          <w:tcPr>
            <w:tcW w:w="534" w:type="dxa"/>
          </w:tcPr>
          <w:p w:rsidR="0099301D" w:rsidRPr="00C85B26" w:rsidRDefault="00E1315D" w:rsidP="0020669E">
            <w:r>
              <w:t>6</w:t>
            </w:r>
          </w:p>
        </w:tc>
        <w:tc>
          <w:tcPr>
            <w:tcW w:w="567" w:type="dxa"/>
          </w:tcPr>
          <w:p w:rsidR="0099301D" w:rsidRPr="00C85B26" w:rsidRDefault="0099301D" w:rsidP="0020669E"/>
        </w:tc>
        <w:tc>
          <w:tcPr>
            <w:tcW w:w="6520" w:type="dxa"/>
          </w:tcPr>
          <w:p w:rsidR="0099301D" w:rsidRPr="00E1315D" w:rsidRDefault="00E1315D" w:rsidP="0099301D">
            <w:pPr>
              <w:rPr>
                <w:b/>
              </w:rPr>
            </w:pPr>
            <w:r w:rsidRPr="00E1315D">
              <w:rPr>
                <w:b/>
              </w:rPr>
              <w:t>Academic promotions</w:t>
            </w:r>
          </w:p>
        </w:tc>
        <w:tc>
          <w:tcPr>
            <w:tcW w:w="1621" w:type="dxa"/>
          </w:tcPr>
          <w:p w:rsidR="0099301D" w:rsidRPr="00C85B26" w:rsidRDefault="0099301D" w:rsidP="0020669E"/>
        </w:tc>
      </w:tr>
      <w:tr w:rsidR="00E1315D" w:rsidRPr="00C85B26" w:rsidTr="00DB28C4">
        <w:tc>
          <w:tcPr>
            <w:tcW w:w="534" w:type="dxa"/>
          </w:tcPr>
          <w:p w:rsidR="00E1315D" w:rsidRDefault="00E1315D" w:rsidP="0020669E"/>
        </w:tc>
        <w:tc>
          <w:tcPr>
            <w:tcW w:w="567" w:type="dxa"/>
          </w:tcPr>
          <w:p w:rsidR="00E1315D" w:rsidRPr="00C85B26" w:rsidRDefault="00E1315D" w:rsidP="0020669E"/>
        </w:tc>
        <w:tc>
          <w:tcPr>
            <w:tcW w:w="6520" w:type="dxa"/>
          </w:tcPr>
          <w:p w:rsidR="00E1315D" w:rsidRPr="00E1315D" w:rsidRDefault="00E1315D" w:rsidP="007E6A35">
            <w:pPr>
              <w:rPr>
                <w:b/>
              </w:rPr>
            </w:pPr>
            <w:r w:rsidRPr="00E1315D">
              <w:t xml:space="preserve">A discussion took place regarding the </w:t>
            </w:r>
            <w:r>
              <w:t>a</w:t>
            </w:r>
            <w:r w:rsidRPr="00E1315D">
              <w:t xml:space="preserve">cademic promotions data and whether it would be possible to </w:t>
            </w:r>
            <w:r>
              <w:t>provide data that showed the profile of candidates at School, Faculty and University stages over a period of</w:t>
            </w:r>
            <w:r w:rsidR="007E6A35">
              <w:t xml:space="preserve"> years</w:t>
            </w:r>
            <w:r>
              <w:t xml:space="preserve">.  AM agreed to consider.  It was recognised the data </w:t>
            </w:r>
            <w:r w:rsidR="007E6A35">
              <w:t xml:space="preserve">that </w:t>
            </w:r>
            <w:r>
              <w:t>may not be readily available is for the profile of cases rejected at SPC stage</w:t>
            </w:r>
          </w:p>
        </w:tc>
        <w:tc>
          <w:tcPr>
            <w:tcW w:w="1621" w:type="dxa"/>
          </w:tcPr>
          <w:p w:rsidR="00E1315D" w:rsidRDefault="00E1315D" w:rsidP="0020669E"/>
          <w:p w:rsidR="00E1315D" w:rsidRDefault="00E1315D" w:rsidP="0020669E"/>
          <w:p w:rsidR="00E1315D" w:rsidRDefault="00E1315D" w:rsidP="0020669E"/>
          <w:p w:rsidR="00E1315D" w:rsidRDefault="00E1315D" w:rsidP="0020669E"/>
          <w:p w:rsidR="00E1315D" w:rsidRPr="00397F92" w:rsidRDefault="00E1315D" w:rsidP="0020669E">
            <w:pPr>
              <w:rPr>
                <w:b/>
              </w:rPr>
            </w:pPr>
            <w:r w:rsidRPr="00397F92">
              <w:rPr>
                <w:b/>
              </w:rPr>
              <w:t>Action: AM</w:t>
            </w:r>
          </w:p>
        </w:tc>
      </w:tr>
      <w:tr w:rsidR="00397F92" w:rsidRPr="00C85B26" w:rsidTr="00DB28C4">
        <w:tc>
          <w:tcPr>
            <w:tcW w:w="534" w:type="dxa"/>
          </w:tcPr>
          <w:p w:rsidR="00397F92" w:rsidRDefault="00397F92" w:rsidP="0020669E"/>
        </w:tc>
        <w:tc>
          <w:tcPr>
            <w:tcW w:w="567" w:type="dxa"/>
          </w:tcPr>
          <w:p w:rsidR="00397F92" w:rsidRPr="00C85B26" w:rsidRDefault="00397F92" w:rsidP="0020669E"/>
        </w:tc>
        <w:tc>
          <w:tcPr>
            <w:tcW w:w="6520" w:type="dxa"/>
          </w:tcPr>
          <w:p w:rsidR="00397F92" w:rsidRDefault="00397F92" w:rsidP="00E1315D"/>
        </w:tc>
        <w:tc>
          <w:tcPr>
            <w:tcW w:w="1621" w:type="dxa"/>
          </w:tcPr>
          <w:p w:rsidR="00397F92" w:rsidRDefault="00397F92" w:rsidP="0020669E"/>
        </w:tc>
      </w:tr>
      <w:tr w:rsidR="00DB28C4" w:rsidRPr="00C85B26" w:rsidTr="00DB28C4">
        <w:tc>
          <w:tcPr>
            <w:tcW w:w="534" w:type="dxa"/>
          </w:tcPr>
          <w:p w:rsidR="00DB28C4" w:rsidRPr="00C85B26" w:rsidRDefault="00397F92" w:rsidP="0020669E">
            <w:r>
              <w:t>7</w:t>
            </w:r>
          </w:p>
        </w:tc>
        <w:tc>
          <w:tcPr>
            <w:tcW w:w="567" w:type="dxa"/>
          </w:tcPr>
          <w:p w:rsidR="00DB28C4" w:rsidRPr="00C85B26" w:rsidRDefault="00DB28C4" w:rsidP="0020669E"/>
        </w:tc>
        <w:tc>
          <w:tcPr>
            <w:tcW w:w="6520" w:type="dxa"/>
          </w:tcPr>
          <w:p w:rsidR="00DB28C4" w:rsidRPr="00C85B26" w:rsidRDefault="0062725B" w:rsidP="00151FAB">
            <w:pPr>
              <w:rPr>
                <w:b/>
              </w:rPr>
            </w:pPr>
            <w:r w:rsidRPr="0062725B">
              <w:rPr>
                <w:b/>
              </w:rPr>
              <w:t>Equal Pay Audit information - further work</w:t>
            </w:r>
          </w:p>
        </w:tc>
        <w:tc>
          <w:tcPr>
            <w:tcW w:w="1621" w:type="dxa"/>
          </w:tcPr>
          <w:p w:rsidR="00606AB0" w:rsidRPr="00C85B26" w:rsidRDefault="00606AB0"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606AB0" w:rsidRDefault="00375891" w:rsidP="00606AB0">
            <w:proofErr w:type="gramStart"/>
            <w:r>
              <w:t>AM</w:t>
            </w:r>
            <w:proofErr w:type="gramEnd"/>
            <w:r>
              <w:t xml:space="preserve"> informed </w:t>
            </w:r>
            <w:r w:rsidR="007E6A35">
              <w:t xml:space="preserve">colleagues </w:t>
            </w:r>
            <w:r>
              <w:t xml:space="preserve">that the data </w:t>
            </w:r>
            <w:r w:rsidR="00397F92">
              <w:t xml:space="preserve">from the 2013 University-wide equal pay audit </w:t>
            </w:r>
            <w:r>
              <w:t>covered</w:t>
            </w:r>
            <w:r w:rsidR="0062725B" w:rsidRPr="0062725B">
              <w:t xml:space="preserve"> </w:t>
            </w:r>
            <w:r w:rsidR="00397F92">
              <w:t>all roles below professorial/Grade 9 level</w:t>
            </w:r>
            <w:r w:rsidR="0062725B" w:rsidRPr="0062725B">
              <w:t>.</w:t>
            </w:r>
            <w:r w:rsidR="00397F92">
              <w:t xml:space="preserve">  Although the outcomes were very positive in showing no need for immediate action, further audits would be conducted every two years with the next one due to commence in Spring 2015.</w:t>
            </w:r>
          </w:p>
          <w:p w:rsidR="00C85B26" w:rsidRPr="00C85B26" w:rsidRDefault="00397F92" w:rsidP="00606AB0">
            <w:r>
              <w:t>An audit of p</w:t>
            </w:r>
            <w:r w:rsidR="00375891">
              <w:t xml:space="preserve">rofessorial </w:t>
            </w:r>
            <w:r>
              <w:t>pay within Humanities was currently being conducted and the results would be made available wh</w:t>
            </w:r>
            <w:r w:rsidR="00246A30">
              <w:t>en</w:t>
            </w:r>
            <w:r>
              <w:t xml:space="preserve"> they became available.  The </w:t>
            </w:r>
            <w:r w:rsidR="00375891">
              <w:t xml:space="preserve">audit </w:t>
            </w:r>
            <w:r>
              <w:t xml:space="preserve">data would examine </w:t>
            </w:r>
            <w:r w:rsidR="0062725B" w:rsidRPr="0062725B">
              <w:t xml:space="preserve">pay gaps </w:t>
            </w:r>
            <w:r>
              <w:t xml:space="preserve">for </w:t>
            </w:r>
            <w:r w:rsidR="0062725B" w:rsidRPr="0062725B">
              <w:t>gender and ethnicity</w:t>
            </w:r>
            <w:r>
              <w:t xml:space="preserve"> at zones E to C</w:t>
            </w:r>
            <w:r w:rsidR="0062725B" w:rsidRPr="0062725B">
              <w:t xml:space="preserve">.  </w:t>
            </w:r>
            <w:r>
              <w:t>Numbers in zones B and A were too small to provide any meaningful data.</w:t>
            </w:r>
          </w:p>
        </w:tc>
        <w:tc>
          <w:tcPr>
            <w:tcW w:w="1621" w:type="dxa"/>
          </w:tcPr>
          <w:p w:rsidR="00606AB0" w:rsidRDefault="00606AB0" w:rsidP="00151FAB">
            <w:pPr>
              <w:rPr>
                <w:b/>
              </w:rPr>
            </w:pPr>
          </w:p>
          <w:p w:rsidR="00606AB0" w:rsidRDefault="00606AB0" w:rsidP="00151FAB">
            <w:pPr>
              <w:rPr>
                <w:b/>
              </w:rPr>
            </w:pPr>
          </w:p>
          <w:p w:rsidR="00606AB0" w:rsidRDefault="00606AB0" w:rsidP="00151FAB">
            <w:pPr>
              <w:rPr>
                <w:b/>
              </w:rPr>
            </w:pPr>
          </w:p>
          <w:p w:rsidR="00606AB0" w:rsidRDefault="00606AB0" w:rsidP="00151FAB">
            <w:pPr>
              <w:rPr>
                <w:b/>
              </w:rPr>
            </w:pPr>
          </w:p>
          <w:p w:rsidR="00606AB0" w:rsidRDefault="00606AB0" w:rsidP="00151FAB">
            <w:pPr>
              <w:rPr>
                <w:b/>
              </w:rPr>
            </w:pPr>
          </w:p>
          <w:p w:rsidR="00606AB0" w:rsidRDefault="00606AB0" w:rsidP="00151FAB">
            <w:pPr>
              <w:rPr>
                <w:b/>
              </w:rPr>
            </w:pPr>
          </w:p>
          <w:p w:rsidR="00C85B26" w:rsidRPr="00C85B26" w:rsidRDefault="00606AB0" w:rsidP="00151FAB">
            <w:pPr>
              <w:rPr>
                <w:b/>
              </w:rPr>
            </w:pPr>
            <w:r>
              <w:rPr>
                <w:b/>
              </w:rPr>
              <w:t>Action: AM</w:t>
            </w:r>
          </w:p>
        </w:tc>
      </w:tr>
      <w:tr w:rsidR="00246A30" w:rsidRPr="00C85B26" w:rsidTr="00DB28C4">
        <w:tc>
          <w:tcPr>
            <w:tcW w:w="534" w:type="dxa"/>
          </w:tcPr>
          <w:p w:rsidR="00246A30" w:rsidRDefault="00246A30" w:rsidP="0020669E"/>
        </w:tc>
        <w:tc>
          <w:tcPr>
            <w:tcW w:w="567" w:type="dxa"/>
          </w:tcPr>
          <w:p w:rsidR="00246A30" w:rsidRPr="00C85B26" w:rsidRDefault="00246A30" w:rsidP="0020669E"/>
        </w:tc>
        <w:tc>
          <w:tcPr>
            <w:tcW w:w="6520" w:type="dxa"/>
          </w:tcPr>
          <w:p w:rsidR="00246A30" w:rsidRPr="00397F92" w:rsidRDefault="00246A30" w:rsidP="0020669E">
            <w:pPr>
              <w:rPr>
                <w:b/>
              </w:rPr>
            </w:pPr>
          </w:p>
        </w:tc>
        <w:tc>
          <w:tcPr>
            <w:tcW w:w="1621" w:type="dxa"/>
          </w:tcPr>
          <w:p w:rsidR="00246A30" w:rsidRPr="00C85B26" w:rsidRDefault="00246A30" w:rsidP="0020669E">
            <w:pPr>
              <w:rPr>
                <w:b/>
              </w:rPr>
            </w:pPr>
          </w:p>
        </w:tc>
      </w:tr>
      <w:tr w:rsidR="00AF7457" w:rsidRPr="00C85B26" w:rsidTr="00DB28C4">
        <w:tc>
          <w:tcPr>
            <w:tcW w:w="534" w:type="dxa"/>
          </w:tcPr>
          <w:p w:rsidR="00AF7457" w:rsidRPr="00C85B26" w:rsidRDefault="00397F92" w:rsidP="0020669E">
            <w:r>
              <w:t>8</w:t>
            </w:r>
          </w:p>
        </w:tc>
        <w:tc>
          <w:tcPr>
            <w:tcW w:w="567" w:type="dxa"/>
          </w:tcPr>
          <w:p w:rsidR="00AF7457" w:rsidRPr="00C85B26" w:rsidRDefault="00AF7457" w:rsidP="0020669E"/>
        </w:tc>
        <w:tc>
          <w:tcPr>
            <w:tcW w:w="6520" w:type="dxa"/>
          </w:tcPr>
          <w:p w:rsidR="00AF7457" w:rsidRPr="00397F92" w:rsidRDefault="00397F92" w:rsidP="0020669E">
            <w:pPr>
              <w:rPr>
                <w:b/>
              </w:rPr>
            </w:pPr>
            <w:r w:rsidRPr="00397F92">
              <w:rPr>
                <w:b/>
              </w:rPr>
              <w:t>Other issues</w:t>
            </w:r>
          </w:p>
        </w:tc>
        <w:tc>
          <w:tcPr>
            <w:tcW w:w="1621" w:type="dxa"/>
          </w:tcPr>
          <w:p w:rsidR="00AF7457" w:rsidRPr="00C85B26" w:rsidRDefault="00AF7457" w:rsidP="0020669E">
            <w:pPr>
              <w:rPr>
                <w:b/>
              </w:rPr>
            </w:pPr>
          </w:p>
        </w:tc>
      </w:tr>
      <w:tr w:rsidR="00397F92" w:rsidRPr="00C85B26" w:rsidTr="00DB28C4">
        <w:tc>
          <w:tcPr>
            <w:tcW w:w="534" w:type="dxa"/>
          </w:tcPr>
          <w:p w:rsidR="00397F92" w:rsidRPr="00C85B26" w:rsidRDefault="00397F92" w:rsidP="0020669E"/>
        </w:tc>
        <w:tc>
          <w:tcPr>
            <w:tcW w:w="567" w:type="dxa"/>
          </w:tcPr>
          <w:p w:rsidR="00397F92" w:rsidRPr="00C85B26" w:rsidRDefault="00397F92" w:rsidP="0020669E"/>
        </w:tc>
        <w:tc>
          <w:tcPr>
            <w:tcW w:w="6520" w:type="dxa"/>
          </w:tcPr>
          <w:p w:rsidR="00397F92" w:rsidRDefault="00397F92" w:rsidP="0020669E">
            <w:r>
              <w:t>Discussions took place about the</w:t>
            </w:r>
            <w:r w:rsidR="004D06DC">
              <w:t xml:space="preserve"> equality</w:t>
            </w:r>
            <w:r>
              <w:t xml:space="preserve"> </w:t>
            </w:r>
            <w:r w:rsidR="004D06DC">
              <w:t xml:space="preserve">impact of the </w:t>
            </w:r>
            <w:r>
              <w:t>following:</w:t>
            </w:r>
          </w:p>
          <w:p w:rsidR="00397F92" w:rsidRDefault="00397F92" w:rsidP="0020669E"/>
          <w:p w:rsidR="00397F92" w:rsidRDefault="00397F92" w:rsidP="00397F92">
            <w:pPr>
              <w:pStyle w:val="ListParagraph"/>
              <w:numPr>
                <w:ilvl w:val="0"/>
                <w:numId w:val="7"/>
              </w:numPr>
            </w:pPr>
            <w:r>
              <w:t xml:space="preserve">the use of teaching focused contracts and the need to examine the equality impact of use of such </w:t>
            </w:r>
            <w:r w:rsidR="004D06DC">
              <w:t>contracts</w:t>
            </w:r>
          </w:p>
          <w:p w:rsidR="00397F92" w:rsidRDefault="00397F92" w:rsidP="00397F92">
            <w:pPr>
              <w:pStyle w:val="ListParagraph"/>
              <w:numPr>
                <w:ilvl w:val="0"/>
                <w:numId w:val="7"/>
              </w:numPr>
            </w:pPr>
            <w:r>
              <w:t>academic promotions criteria</w:t>
            </w:r>
          </w:p>
          <w:p w:rsidR="00397F92" w:rsidRDefault="00397F92" w:rsidP="00397F92">
            <w:pPr>
              <w:pStyle w:val="ListParagraph"/>
              <w:numPr>
                <w:ilvl w:val="0"/>
                <w:numId w:val="7"/>
              </w:numPr>
            </w:pPr>
            <w:r>
              <w:t>targeted recruitment of senior academics</w:t>
            </w:r>
          </w:p>
          <w:p w:rsidR="00397F92" w:rsidRPr="00C85B26" w:rsidRDefault="004D06DC" w:rsidP="00246A30">
            <w:pPr>
              <w:pStyle w:val="ListParagraph"/>
              <w:numPr>
                <w:ilvl w:val="0"/>
                <w:numId w:val="7"/>
              </w:numPr>
            </w:pPr>
            <w:proofErr w:type="gramStart"/>
            <w:r>
              <w:t>internal</w:t>
            </w:r>
            <w:proofErr w:type="gramEnd"/>
            <w:r>
              <w:t xml:space="preserve"> recruitment of PDRAs.</w:t>
            </w:r>
          </w:p>
        </w:tc>
        <w:tc>
          <w:tcPr>
            <w:tcW w:w="1621" w:type="dxa"/>
          </w:tcPr>
          <w:p w:rsidR="00397F92" w:rsidRPr="00C85B26" w:rsidRDefault="00397F92" w:rsidP="0020669E">
            <w:pPr>
              <w:rPr>
                <w:b/>
              </w:rPr>
            </w:pPr>
          </w:p>
        </w:tc>
      </w:tr>
      <w:tr w:rsidR="00246A30" w:rsidRPr="00C85B26" w:rsidTr="00DB28C4">
        <w:tc>
          <w:tcPr>
            <w:tcW w:w="534" w:type="dxa"/>
          </w:tcPr>
          <w:p w:rsidR="00246A30" w:rsidRPr="00C85B26" w:rsidRDefault="00246A30" w:rsidP="0020669E"/>
        </w:tc>
        <w:tc>
          <w:tcPr>
            <w:tcW w:w="567" w:type="dxa"/>
          </w:tcPr>
          <w:p w:rsidR="00246A30" w:rsidRPr="00C85B26" w:rsidRDefault="00246A30" w:rsidP="0020669E"/>
        </w:tc>
        <w:tc>
          <w:tcPr>
            <w:tcW w:w="6520" w:type="dxa"/>
          </w:tcPr>
          <w:p w:rsidR="00246A30" w:rsidRDefault="00246A30" w:rsidP="0020669E"/>
        </w:tc>
        <w:tc>
          <w:tcPr>
            <w:tcW w:w="1621" w:type="dxa"/>
          </w:tcPr>
          <w:p w:rsidR="00246A30" w:rsidRPr="00C85B26" w:rsidRDefault="00246A30" w:rsidP="0020669E">
            <w:pPr>
              <w:rPr>
                <w:b/>
              </w:rPr>
            </w:pPr>
          </w:p>
        </w:tc>
      </w:tr>
      <w:tr w:rsidR="00DB28C4" w:rsidRPr="00C85B26" w:rsidTr="00DB28C4">
        <w:tc>
          <w:tcPr>
            <w:tcW w:w="534" w:type="dxa"/>
          </w:tcPr>
          <w:p w:rsidR="00DB28C4" w:rsidRPr="00C85B26" w:rsidRDefault="004D06DC" w:rsidP="0020669E">
            <w:r>
              <w:t>9</w:t>
            </w:r>
          </w:p>
        </w:tc>
        <w:tc>
          <w:tcPr>
            <w:tcW w:w="567" w:type="dxa"/>
          </w:tcPr>
          <w:p w:rsidR="00DB28C4" w:rsidRPr="00C85B26" w:rsidRDefault="00DB28C4" w:rsidP="0020669E"/>
        </w:tc>
        <w:tc>
          <w:tcPr>
            <w:tcW w:w="6520" w:type="dxa"/>
          </w:tcPr>
          <w:p w:rsidR="00DB28C4" w:rsidRPr="00C85B26" w:rsidRDefault="004D06DC" w:rsidP="0020669E">
            <w:pPr>
              <w:rPr>
                <w:b/>
              </w:rPr>
            </w:pPr>
            <w:r>
              <w:rPr>
                <w:b/>
              </w:rPr>
              <w:t>Policy audit</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62725B" w:rsidRDefault="004D06DC" w:rsidP="0062725B">
            <w:r>
              <w:t xml:space="preserve">It was agreed that members of the Working Group would lead on an examination of groups of employment policies </w:t>
            </w:r>
            <w:r w:rsidR="0045259D">
              <w:t xml:space="preserve">by the end of June </w:t>
            </w:r>
            <w:r>
              <w:t xml:space="preserve">in order to consider their effectiveness, levels of awareness of policies within the Faculty and the need for any additional measures.  </w:t>
            </w:r>
          </w:p>
          <w:p w:rsidR="004D06DC" w:rsidRPr="0062725B" w:rsidRDefault="004D06DC" w:rsidP="0062725B"/>
          <w:p w:rsidR="0062725B" w:rsidRPr="0062725B" w:rsidRDefault="0062725B" w:rsidP="0062725B">
            <w:r w:rsidRPr="0062725B">
              <w:t>a</w:t>
            </w:r>
            <w:r w:rsidR="002D650F">
              <w:t>) Special Leave/Flexible Working</w:t>
            </w:r>
            <w:r w:rsidRPr="0062725B">
              <w:t xml:space="preserve"> </w:t>
            </w:r>
            <w:r w:rsidRPr="000E06A6">
              <w:rPr>
                <w:b/>
              </w:rPr>
              <w:t>(Jane Hallam)</w:t>
            </w:r>
          </w:p>
          <w:p w:rsidR="0062725B" w:rsidRPr="0062725B" w:rsidRDefault="002D650F" w:rsidP="0062725B">
            <w:r>
              <w:t xml:space="preserve">b) Promotions polices, </w:t>
            </w:r>
            <w:r w:rsidR="0062725B" w:rsidRPr="0062725B">
              <w:t>guidelines</w:t>
            </w:r>
            <w:r>
              <w:t xml:space="preserve"> and procedures</w:t>
            </w:r>
            <w:r w:rsidR="0062725B" w:rsidRPr="0062725B">
              <w:t xml:space="preserve"> </w:t>
            </w:r>
            <w:r w:rsidR="0062725B" w:rsidRPr="000E06A6">
              <w:rPr>
                <w:b/>
              </w:rPr>
              <w:t>(Helen Gunter)</w:t>
            </w:r>
          </w:p>
          <w:p w:rsidR="0062725B" w:rsidRPr="0062725B" w:rsidRDefault="0062725B" w:rsidP="0062725B">
            <w:r w:rsidRPr="0062725B">
              <w:t>c) Pay</w:t>
            </w:r>
            <w:r w:rsidR="002D650F">
              <w:t xml:space="preserve"> including equal p</w:t>
            </w:r>
            <w:r w:rsidRPr="0062725B">
              <w:t>ay audit</w:t>
            </w:r>
            <w:r w:rsidR="002D650F">
              <w:t xml:space="preserve"> data and </w:t>
            </w:r>
            <w:r w:rsidRPr="0062725B">
              <w:t xml:space="preserve">market pay </w:t>
            </w:r>
            <w:r w:rsidR="002D650F">
              <w:t xml:space="preserve">policy </w:t>
            </w:r>
            <w:r w:rsidRPr="000E06A6">
              <w:rPr>
                <w:b/>
              </w:rPr>
              <w:t>(Claire Annesley)</w:t>
            </w:r>
          </w:p>
          <w:p w:rsidR="0062725B" w:rsidRPr="0062725B" w:rsidRDefault="0062725B" w:rsidP="0062725B">
            <w:r w:rsidRPr="0062725B">
              <w:t>d) Recruitment and appointments</w:t>
            </w:r>
            <w:r w:rsidR="002D650F">
              <w:t xml:space="preserve"> policy and procedures including honorary appointments and </w:t>
            </w:r>
            <w:r w:rsidRPr="0062725B">
              <w:t>internal appointments</w:t>
            </w:r>
            <w:r w:rsidR="002D650F">
              <w:t xml:space="preserve"> to academic management roles</w:t>
            </w:r>
            <w:r w:rsidRPr="0062725B">
              <w:t xml:space="preserve"> </w:t>
            </w:r>
            <w:r w:rsidRPr="000E06A6">
              <w:rPr>
                <w:b/>
              </w:rPr>
              <w:t xml:space="preserve">(Jayne </w:t>
            </w:r>
            <w:proofErr w:type="spellStart"/>
            <w:r w:rsidRPr="000E06A6">
              <w:rPr>
                <w:b/>
              </w:rPr>
              <w:t>Hindle</w:t>
            </w:r>
            <w:proofErr w:type="spellEnd"/>
            <w:r w:rsidRPr="000E06A6">
              <w:rPr>
                <w:b/>
              </w:rPr>
              <w:t>/Carolyn Abbot)</w:t>
            </w:r>
          </w:p>
          <w:p w:rsidR="0062725B" w:rsidRPr="0062725B" w:rsidRDefault="002D650F" w:rsidP="0062725B">
            <w:r>
              <w:t>e) Probation and t</w:t>
            </w:r>
            <w:r w:rsidR="0062725B" w:rsidRPr="0062725B">
              <w:t xml:space="preserve">raining </w:t>
            </w:r>
            <w:r>
              <w:t xml:space="preserve">including HNAP </w:t>
            </w:r>
            <w:r w:rsidR="0062725B" w:rsidRPr="000E06A6">
              <w:rPr>
                <w:b/>
              </w:rPr>
              <w:t>(Colette Fagan)</w:t>
            </w:r>
          </w:p>
          <w:p w:rsidR="0062725B" w:rsidRPr="0062725B" w:rsidRDefault="0062725B" w:rsidP="0062725B">
            <w:r w:rsidRPr="0062725B">
              <w:t>f) Working co</w:t>
            </w:r>
            <w:r w:rsidR="002D650F">
              <w:t>nditions including D</w:t>
            </w:r>
            <w:r w:rsidRPr="0062725B">
              <w:t>ignity at</w:t>
            </w:r>
            <w:r w:rsidR="002D650F">
              <w:t xml:space="preserve"> work, Consensual relationships and S</w:t>
            </w:r>
            <w:r w:rsidRPr="0062725B">
              <w:t>tress</w:t>
            </w:r>
            <w:r w:rsidR="002D650F">
              <w:t xml:space="preserve"> at Work</w:t>
            </w:r>
            <w:r w:rsidRPr="0062725B">
              <w:t xml:space="preserve"> </w:t>
            </w:r>
            <w:r w:rsidR="002D650F">
              <w:rPr>
                <w:b/>
              </w:rPr>
              <w:t>(Helge Hoel</w:t>
            </w:r>
            <w:r w:rsidRPr="000E06A6">
              <w:rPr>
                <w:b/>
              </w:rPr>
              <w:t>)</w:t>
            </w:r>
          </w:p>
          <w:p w:rsidR="0062725B" w:rsidRPr="0062725B" w:rsidRDefault="0062725B" w:rsidP="0062725B">
            <w:r w:rsidRPr="0062725B">
              <w:t>g) Equal</w:t>
            </w:r>
            <w:r w:rsidR="002D650F">
              <w:t>ity</w:t>
            </w:r>
            <w:r w:rsidRPr="0062725B">
              <w:t xml:space="preserve"> and diversity</w:t>
            </w:r>
            <w:r w:rsidR="002D650F">
              <w:t xml:space="preserve"> policy and</w:t>
            </w:r>
            <w:r w:rsidRPr="0062725B">
              <w:t xml:space="preserve"> practice </w:t>
            </w:r>
            <w:r w:rsidRPr="000E06A6">
              <w:rPr>
                <w:b/>
              </w:rPr>
              <w:t>(Claire</w:t>
            </w:r>
            <w:r w:rsidR="002D650F">
              <w:rPr>
                <w:b/>
              </w:rPr>
              <w:t xml:space="preserve"> Alexander</w:t>
            </w:r>
            <w:r w:rsidRPr="000E06A6">
              <w:rPr>
                <w:b/>
              </w:rPr>
              <w:t>)</w:t>
            </w:r>
          </w:p>
          <w:p w:rsidR="0062725B" w:rsidRPr="0062725B" w:rsidRDefault="0062725B" w:rsidP="0062725B"/>
          <w:p w:rsidR="00DB28C4" w:rsidRPr="00C85B26" w:rsidRDefault="000E06A6" w:rsidP="00B747F9">
            <w:r>
              <w:t xml:space="preserve">CF </w:t>
            </w:r>
            <w:r w:rsidR="002D650F">
              <w:t xml:space="preserve">undertook </w:t>
            </w:r>
            <w:r>
              <w:t>to send a guide as to what work needs to be done when analysing the policies.</w:t>
            </w:r>
          </w:p>
        </w:tc>
        <w:tc>
          <w:tcPr>
            <w:tcW w:w="1621" w:type="dxa"/>
          </w:tcPr>
          <w:p w:rsidR="00DB28C4" w:rsidRDefault="00DB28C4"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0E06A6" w:rsidRDefault="000E06A6" w:rsidP="0020669E"/>
          <w:p w:rsidR="002D650F" w:rsidRDefault="002D650F" w:rsidP="0020669E">
            <w:pPr>
              <w:rPr>
                <w:b/>
              </w:rPr>
            </w:pPr>
          </w:p>
          <w:p w:rsidR="002D650F" w:rsidRDefault="002D650F" w:rsidP="0020669E">
            <w:pPr>
              <w:rPr>
                <w:b/>
              </w:rPr>
            </w:pPr>
          </w:p>
          <w:p w:rsidR="002D650F" w:rsidRDefault="002D650F" w:rsidP="0020669E">
            <w:pPr>
              <w:rPr>
                <w:b/>
              </w:rPr>
            </w:pPr>
          </w:p>
          <w:p w:rsidR="003E0440" w:rsidRDefault="000E06A6" w:rsidP="0020669E">
            <w:pPr>
              <w:rPr>
                <w:b/>
              </w:rPr>
            </w:pPr>
            <w:r w:rsidRPr="000E06A6">
              <w:rPr>
                <w:b/>
              </w:rPr>
              <w:t>Action: CF</w:t>
            </w:r>
          </w:p>
          <w:p w:rsidR="003E0440" w:rsidRPr="000E06A6" w:rsidRDefault="003E0440" w:rsidP="0020669E">
            <w:pPr>
              <w:rPr>
                <w:b/>
              </w:rPr>
            </w:pPr>
          </w:p>
        </w:tc>
      </w:tr>
      <w:tr w:rsidR="00246A30" w:rsidRPr="00C85B26" w:rsidTr="00DB28C4">
        <w:tc>
          <w:tcPr>
            <w:tcW w:w="534" w:type="dxa"/>
          </w:tcPr>
          <w:p w:rsidR="00246A30" w:rsidRPr="00C85B26" w:rsidRDefault="00246A30" w:rsidP="0020669E"/>
        </w:tc>
        <w:tc>
          <w:tcPr>
            <w:tcW w:w="567" w:type="dxa"/>
          </w:tcPr>
          <w:p w:rsidR="00246A30" w:rsidRPr="00C85B26" w:rsidRDefault="00246A30" w:rsidP="0020669E"/>
        </w:tc>
        <w:tc>
          <w:tcPr>
            <w:tcW w:w="6520" w:type="dxa"/>
          </w:tcPr>
          <w:p w:rsidR="00246A30" w:rsidRDefault="00246A30" w:rsidP="0062725B"/>
        </w:tc>
        <w:tc>
          <w:tcPr>
            <w:tcW w:w="1621" w:type="dxa"/>
          </w:tcPr>
          <w:p w:rsidR="00246A30" w:rsidRDefault="00246A30" w:rsidP="0020669E"/>
        </w:tc>
      </w:tr>
      <w:tr w:rsidR="0045259D" w:rsidRPr="00C85B26" w:rsidTr="00DB28C4">
        <w:tc>
          <w:tcPr>
            <w:tcW w:w="534" w:type="dxa"/>
          </w:tcPr>
          <w:p w:rsidR="0045259D" w:rsidRPr="00C85B26" w:rsidRDefault="0045259D" w:rsidP="0020669E">
            <w:r>
              <w:t>10</w:t>
            </w:r>
          </w:p>
        </w:tc>
        <w:tc>
          <w:tcPr>
            <w:tcW w:w="567" w:type="dxa"/>
          </w:tcPr>
          <w:p w:rsidR="0045259D" w:rsidRPr="00C85B26" w:rsidRDefault="0045259D" w:rsidP="0020669E"/>
        </w:tc>
        <w:tc>
          <w:tcPr>
            <w:tcW w:w="6520" w:type="dxa"/>
          </w:tcPr>
          <w:p w:rsidR="0045259D" w:rsidRPr="00B747F9" w:rsidRDefault="00B747F9" w:rsidP="0045259D">
            <w:pPr>
              <w:rPr>
                <w:b/>
              </w:rPr>
            </w:pPr>
            <w:r w:rsidRPr="00B747F9">
              <w:rPr>
                <w:b/>
              </w:rPr>
              <w:t>Development of School/Faculty Admin. Action Plans</w:t>
            </w:r>
          </w:p>
        </w:tc>
        <w:tc>
          <w:tcPr>
            <w:tcW w:w="1621" w:type="dxa"/>
          </w:tcPr>
          <w:p w:rsidR="0045259D" w:rsidRPr="00C85B26" w:rsidRDefault="0045259D" w:rsidP="0020669E"/>
        </w:tc>
      </w:tr>
      <w:tr w:rsidR="00AF7457" w:rsidRPr="00C85B26" w:rsidTr="00DB28C4">
        <w:tc>
          <w:tcPr>
            <w:tcW w:w="534" w:type="dxa"/>
          </w:tcPr>
          <w:p w:rsidR="00AF7457" w:rsidRPr="00C85B26" w:rsidRDefault="00AF7457" w:rsidP="0020669E"/>
        </w:tc>
        <w:tc>
          <w:tcPr>
            <w:tcW w:w="567" w:type="dxa"/>
          </w:tcPr>
          <w:p w:rsidR="00AF7457" w:rsidRPr="00C85B26" w:rsidRDefault="00AF7457" w:rsidP="0020669E"/>
        </w:tc>
        <w:tc>
          <w:tcPr>
            <w:tcW w:w="6520" w:type="dxa"/>
          </w:tcPr>
          <w:p w:rsidR="00B747F9" w:rsidRDefault="00B747F9" w:rsidP="0045259D">
            <w:r>
              <w:t>It was agreed that by mid-</w:t>
            </w:r>
            <w:r w:rsidR="0045259D" w:rsidRPr="0062725B">
              <w:t>July</w:t>
            </w:r>
            <w:r>
              <w:t xml:space="preserve"> members </w:t>
            </w:r>
            <w:r w:rsidR="00542B9D">
              <w:t xml:space="preserve">should </w:t>
            </w:r>
            <w:r w:rsidR="007E6A35">
              <w:t xml:space="preserve">have </w:t>
            </w:r>
            <w:r>
              <w:t xml:space="preserve">developed </w:t>
            </w:r>
            <w:r w:rsidR="00542B9D">
              <w:t xml:space="preserve">and scoped </w:t>
            </w:r>
            <w:r w:rsidR="00606AB0">
              <w:t xml:space="preserve">arrangements for </w:t>
            </w:r>
            <w:r>
              <w:t xml:space="preserve">local action plans </w:t>
            </w:r>
            <w:r w:rsidR="0045259D">
              <w:t xml:space="preserve">and </w:t>
            </w:r>
            <w:r>
              <w:t xml:space="preserve">have agreed priorities </w:t>
            </w:r>
            <w:r w:rsidR="00542B9D">
              <w:t xml:space="preserve">and timescales </w:t>
            </w:r>
            <w:r w:rsidR="0045259D" w:rsidRPr="0062725B">
              <w:t xml:space="preserve">with </w:t>
            </w:r>
            <w:proofErr w:type="spellStart"/>
            <w:r>
              <w:t>HoS</w:t>
            </w:r>
            <w:proofErr w:type="spellEnd"/>
            <w:r>
              <w:t>/</w:t>
            </w:r>
            <w:r w:rsidR="0045259D" w:rsidRPr="0062725B">
              <w:t xml:space="preserve">Senior </w:t>
            </w:r>
            <w:r>
              <w:t>Leadership</w:t>
            </w:r>
            <w:r w:rsidR="00606AB0">
              <w:t xml:space="preserve"> for progression in September</w:t>
            </w:r>
            <w:r>
              <w:t xml:space="preserve">.  It was important that </w:t>
            </w:r>
            <w:proofErr w:type="spellStart"/>
            <w:r>
              <w:t>HoS</w:t>
            </w:r>
            <w:proofErr w:type="spellEnd"/>
            <w:r>
              <w:t xml:space="preserve"> signed up to the plans and that their support was visible.</w:t>
            </w:r>
            <w:r w:rsidR="00AE1D9C">
              <w:t xml:space="preserve">  At that point, colleagues should work with their designated HR Partner and Athena SWAN Coordinator in seeking advice and support in taking plans forward.</w:t>
            </w:r>
          </w:p>
          <w:p w:rsidR="00F03B1E" w:rsidRPr="0062725B" w:rsidRDefault="00F03B1E" w:rsidP="0045259D"/>
          <w:p w:rsidR="0045259D" w:rsidRPr="0062725B" w:rsidRDefault="00B747F9" w:rsidP="0045259D">
            <w:r>
              <w:t xml:space="preserve">It was recognised </w:t>
            </w:r>
            <w:r w:rsidR="0045259D">
              <w:t xml:space="preserve">that </w:t>
            </w:r>
            <w:r w:rsidR="0045259D" w:rsidRPr="0062725B">
              <w:t xml:space="preserve">SALC and Law </w:t>
            </w:r>
            <w:r w:rsidR="00F03B1E">
              <w:t xml:space="preserve">may wish to </w:t>
            </w:r>
            <w:r w:rsidR="0045259D" w:rsidRPr="0062725B">
              <w:t>move forward more quickly</w:t>
            </w:r>
            <w:r w:rsidR="0045259D">
              <w:t xml:space="preserve"> with the</w:t>
            </w:r>
            <w:r w:rsidR="00F03B1E">
              <w:t>ir action plans</w:t>
            </w:r>
            <w:r w:rsidR="0045259D" w:rsidRPr="0062725B">
              <w:t>.</w:t>
            </w:r>
          </w:p>
          <w:p w:rsidR="0045259D" w:rsidRPr="0062725B" w:rsidRDefault="0045259D" w:rsidP="0045259D"/>
          <w:p w:rsidR="0045259D" w:rsidRDefault="0045259D" w:rsidP="0045259D">
            <w:proofErr w:type="spellStart"/>
            <w:r>
              <w:t>CAl</w:t>
            </w:r>
            <w:proofErr w:type="spellEnd"/>
            <w:r>
              <w:t xml:space="preserve"> asked </w:t>
            </w:r>
            <w:r w:rsidR="00542B9D">
              <w:t>about level of support in Schools to engage with the work and commit to plans</w:t>
            </w:r>
            <w:r w:rsidRPr="0062725B">
              <w:t>.</w:t>
            </w:r>
            <w:r>
              <w:t xml:space="preserve"> </w:t>
            </w:r>
            <w:r w:rsidR="00542B9D">
              <w:t xml:space="preserve"> </w:t>
            </w:r>
            <w:r w:rsidRPr="0062725B">
              <w:t xml:space="preserve">CF </w:t>
            </w:r>
            <w:r w:rsidR="00542B9D">
              <w:t>stated that such support</w:t>
            </w:r>
            <w:r w:rsidR="00B37985">
              <w:t>, in addition to that provided by the designated HR partner</w:t>
            </w:r>
            <w:r w:rsidR="00542B9D">
              <w:t xml:space="preserve"> </w:t>
            </w:r>
            <w:r w:rsidRPr="0062725B">
              <w:t>should be</w:t>
            </w:r>
            <w:r w:rsidR="00606AB0">
              <w:t xml:space="preserve"> arranged </w:t>
            </w:r>
            <w:r w:rsidRPr="0062725B">
              <w:t xml:space="preserve">through </w:t>
            </w:r>
            <w:r w:rsidR="00B37985">
              <w:t xml:space="preserve">discussion with </w:t>
            </w:r>
            <w:r w:rsidRPr="0062725B">
              <w:t xml:space="preserve">the </w:t>
            </w:r>
            <w:r w:rsidR="00542B9D">
              <w:t xml:space="preserve">School </w:t>
            </w:r>
            <w:r w:rsidRPr="0062725B">
              <w:t xml:space="preserve">SLT. </w:t>
            </w:r>
            <w:r w:rsidR="00542B9D">
              <w:t xml:space="preserve"> </w:t>
            </w:r>
            <w:r>
              <w:t xml:space="preserve">AM </w:t>
            </w:r>
            <w:r w:rsidR="00542B9D">
              <w:t xml:space="preserve">added that the Group has a mandate from Faculty, including </w:t>
            </w:r>
            <w:proofErr w:type="spellStart"/>
            <w:r w:rsidR="00542B9D">
              <w:t>HoS</w:t>
            </w:r>
            <w:proofErr w:type="spellEnd"/>
            <w:r w:rsidR="00542B9D">
              <w:t xml:space="preserve"> to develop appropriate actions within its wide-ranging remit.</w:t>
            </w:r>
          </w:p>
          <w:p w:rsidR="00542B9D" w:rsidRDefault="00542B9D" w:rsidP="0045259D"/>
          <w:p w:rsidR="00542B9D" w:rsidRDefault="00542B9D" w:rsidP="0045259D">
            <w:r>
              <w:t>It was agreed that the WG should meet again in mid-June with a relatively open agenda to discuss progress to date and to report back on any issues members wished to air within the WG.</w:t>
            </w:r>
            <w:r w:rsidR="00AE1D9C">
              <w:t xml:space="preserve">  It was also recognised a further additional meeting would be helpful as work progressed further.  </w:t>
            </w:r>
          </w:p>
          <w:p w:rsidR="00542B9D" w:rsidRDefault="00542B9D" w:rsidP="0045259D"/>
          <w:p w:rsidR="00AE1D9C" w:rsidRDefault="00AE1D9C" w:rsidP="0045259D">
            <w:r>
              <w:t xml:space="preserve">Other related </w:t>
            </w:r>
            <w:r w:rsidR="00246A30">
              <w:t xml:space="preserve">matters </w:t>
            </w:r>
            <w:r>
              <w:t>were also discussed:</w:t>
            </w:r>
          </w:p>
          <w:p w:rsidR="00AE1D9C" w:rsidRDefault="00AE1D9C" w:rsidP="00AE1D9C">
            <w:pPr>
              <w:pStyle w:val="ListParagraph"/>
              <w:numPr>
                <w:ilvl w:val="0"/>
                <w:numId w:val="8"/>
              </w:numPr>
            </w:pPr>
            <w:r>
              <w:t xml:space="preserve">The nature of change management in organisations.  It was agreed that some expert facilitation could be helpful to assist WG members in fulfilling </w:t>
            </w:r>
            <w:r w:rsidR="007E6A35">
              <w:t xml:space="preserve">a </w:t>
            </w:r>
            <w:r>
              <w:t xml:space="preserve">role </w:t>
            </w:r>
            <w:r w:rsidR="007E6A35">
              <w:t xml:space="preserve">as a change agent </w:t>
            </w:r>
            <w:r>
              <w:t xml:space="preserve">and, in particular, in </w:t>
            </w:r>
            <w:r>
              <w:lastRenderedPageBreak/>
              <w:t>overcoming resistance.  CF/AM undertook to consider options.</w:t>
            </w:r>
          </w:p>
          <w:p w:rsidR="00246A30" w:rsidRDefault="00AE1D9C" w:rsidP="00AE1D9C">
            <w:pPr>
              <w:pStyle w:val="ListParagraph"/>
              <w:numPr>
                <w:ilvl w:val="0"/>
                <w:numId w:val="8"/>
              </w:numPr>
            </w:pPr>
            <w:r>
              <w:t>The possible use of “light touch” focus groups and staff surveys to</w:t>
            </w:r>
            <w:r w:rsidR="00246A30">
              <w:t xml:space="preserve"> inform finalisation of action plans</w:t>
            </w:r>
          </w:p>
          <w:p w:rsidR="00AF7457" w:rsidRPr="00C85B26" w:rsidRDefault="00AE1D9C" w:rsidP="00246A30">
            <w:pPr>
              <w:pStyle w:val="ListParagraph"/>
              <w:numPr>
                <w:ilvl w:val="0"/>
                <w:numId w:val="8"/>
              </w:numPr>
            </w:pPr>
            <w:r>
              <w:t xml:space="preserve"> </w:t>
            </w:r>
            <w:r w:rsidR="00246A30">
              <w:t xml:space="preserve">The need to share thinking at an early stage to avoid duplication of effort in devising plans </w:t>
            </w:r>
            <w:r w:rsidR="007E6A35">
              <w:t xml:space="preserve">for WG members </w:t>
            </w:r>
            <w:r w:rsidR="00246A30">
              <w:t>and to benefit more generally from sharing ideas.</w:t>
            </w:r>
          </w:p>
        </w:tc>
        <w:tc>
          <w:tcPr>
            <w:tcW w:w="1621" w:type="dxa"/>
          </w:tcPr>
          <w:p w:rsidR="00AF7457" w:rsidRDefault="00AF7457"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AE1D9C" w:rsidRPr="00B37985" w:rsidRDefault="00B37985" w:rsidP="0020669E">
            <w:pPr>
              <w:rPr>
                <w:b/>
              </w:rPr>
            </w:pPr>
            <w:r w:rsidRPr="00B37985">
              <w:rPr>
                <w:b/>
              </w:rPr>
              <w:t>Action: N T-V</w:t>
            </w:r>
          </w:p>
          <w:p w:rsidR="00AE1D9C" w:rsidRDefault="00AE1D9C" w:rsidP="0020669E"/>
          <w:p w:rsidR="00AE1D9C" w:rsidRDefault="00AE1D9C" w:rsidP="0020669E"/>
          <w:p w:rsidR="00AE1D9C" w:rsidRDefault="00AE1D9C" w:rsidP="0020669E"/>
          <w:p w:rsidR="00AE1D9C" w:rsidRDefault="00AE1D9C" w:rsidP="0020669E"/>
          <w:p w:rsidR="00AE1D9C" w:rsidRDefault="00AE1D9C" w:rsidP="0020669E"/>
          <w:p w:rsidR="00246A30" w:rsidRDefault="00246A30" w:rsidP="0020669E">
            <w:pPr>
              <w:rPr>
                <w:b/>
              </w:rPr>
            </w:pPr>
          </w:p>
          <w:p w:rsidR="00AE1D9C" w:rsidRPr="00AE1D9C" w:rsidRDefault="00AE1D9C" w:rsidP="0020669E">
            <w:pPr>
              <w:rPr>
                <w:b/>
              </w:rPr>
            </w:pPr>
            <w:r w:rsidRPr="00AE1D9C">
              <w:rPr>
                <w:b/>
              </w:rPr>
              <w:t>Action: CF/AM</w:t>
            </w:r>
          </w:p>
        </w:tc>
      </w:tr>
      <w:tr w:rsidR="0045259D" w:rsidRPr="00C85B26" w:rsidTr="00DB28C4">
        <w:tc>
          <w:tcPr>
            <w:tcW w:w="534" w:type="dxa"/>
          </w:tcPr>
          <w:p w:rsidR="0045259D" w:rsidRPr="00C85B26" w:rsidRDefault="0045259D" w:rsidP="0020669E"/>
        </w:tc>
        <w:tc>
          <w:tcPr>
            <w:tcW w:w="567" w:type="dxa"/>
          </w:tcPr>
          <w:p w:rsidR="0045259D" w:rsidRPr="00C85B26" w:rsidRDefault="0045259D" w:rsidP="0020669E"/>
        </w:tc>
        <w:tc>
          <w:tcPr>
            <w:tcW w:w="6520" w:type="dxa"/>
          </w:tcPr>
          <w:p w:rsidR="0045259D" w:rsidRPr="00C85B26" w:rsidRDefault="0045259D" w:rsidP="0020669E"/>
        </w:tc>
        <w:tc>
          <w:tcPr>
            <w:tcW w:w="1621" w:type="dxa"/>
          </w:tcPr>
          <w:p w:rsidR="0045259D" w:rsidRPr="00C85B26" w:rsidRDefault="0045259D" w:rsidP="0020669E"/>
        </w:tc>
      </w:tr>
      <w:tr w:rsidR="00DB28C4" w:rsidRPr="00C85B26" w:rsidTr="00DB28C4">
        <w:tc>
          <w:tcPr>
            <w:tcW w:w="534" w:type="dxa"/>
          </w:tcPr>
          <w:p w:rsidR="00DB28C4" w:rsidRPr="00C85B26" w:rsidRDefault="00B747F9" w:rsidP="0020669E">
            <w:r>
              <w:t>11</w:t>
            </w:r>
          </w:p>
        </w:tc>
        <w:tc>
          <w:tcPr>
            <w:tcW w:w="567" w:type="dxa"/>
          </w:tcPr>
          <w:p w:rsidR="00DB28C4" w:rsidRPr="00C85B26" w:rsidRDefault="00DB28C4" w:rsidP="0020669E"/>
        </w:tc>
        <w:tc>
          <w:tcPr>
            <w:tcW w:w="6520" w:type="dxa"/>
          </w:tcPr>
          <w:p w:rsidR="00DB28C4" w:rsidRPr="00C85B26" w:rsidRDefault="00DB28C4" w:rsidP="00274733">
            <w:pPr>
              <w:rPr>
                <w:b/>
              </w:rPr>
            </w:pPr>
            <w:r w:rsidRPr="00C85B26">
              <w:rPr>
                <w:b/>
              </w:rPr>
              <w:t xml:space="preserve">Dates </w:t>
            </w:r>
            <w:r w:rsidR="00274733">
              <w:rPr>
                <w:b/>
              </w:rPr>
              <w:t>of the next meeting</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AD11E8"/>
        </w:tc>
        <w:tc>
          <w:tcPr>
            <w:tcW w:w="6520" w:type="dxa"/>
          </w:tcPr>
          <w:p w:rsidR="00DB28C4" w:rsidRPr="00C85B26" w:rsidRDefault="003E0440" w:rsidP="00C85B26">
            <w:r>
              <w:t>TBC</w:t>
            </w:r>
          </w:p>
        </w:tc>
        <w:tc>
          <w:tcPr>
            <w:tcW w:w="1621" w:type="dxa"/>
          </w:tcPr>
          <w:p w:rsidR="00DB28C4" w:rsidRPr="00C85B26" w:rsidRDefault="00DB28C4" w:rsidP="0020669E">
            <w:pPr>
              <w:rPr>
                <w:b/>
              </w:rPr>
            </w:pPr>
          </w:p>
        </w:tc>
      </w:tr>
    </w:tbl>
    <w:p w:rsidR="00DB28C4" w:rsidRDefault="00DB28C4" w:rsidP="0020669E"/>
    <w:sectPr w:rsidR="00DB28C4" w:rsidSect="002066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A7" w:rsidRDefault="006A5BA7" w:rsidP="008F59AD">
      <w:pPr>
        <w:spacing w:after="0" w:line="240" w:lineRule="auto"/>
      </w:pPr>
      <w:r>
        <w:separator/>
      </w:r>
    </w:p>
  </w:endnote>
  <w:endnote w:type="continuationSeparator" w:id="0">
    <w:p w:rsidR="006A5BA7" w:rsidRDefault="006A5BA7" w:rsidP="008F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86873"/>
      <w:docPartObj>
        <w:docPartGallery w:val="Page Numbers (Bottom of Page)"/>
        <w:docPartUnique/>
      </w:docPartObj>
    </w:sdtPr>
    <w:sdtEndPr/>
    <w:sdtContent>
      <w:sdt>
        <w:sdtPr>
          <w:id w:val="-1669238322"/>
          <w:docPartObj>
            <w:docPartGallery w:val="Page Numbers (Top of Page)"/>
            <w:docPartUnique/>
          </w:docPartObj>
        </w:sdtPr>
        <w:sdtEndPr/>
        <w:sdtContent>
          <w:p w:rsidR="00AD11E8" w:rsidRDefault="00AD11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1B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1BC2">
              <w:rPr>
                <w:b/>
                <w:bCs/>
                <w:noProof/>
              </w:rPr>
              <w:t>5</w:t>
            </w:r>
            <w:r>
              <w:rPr>
                <w:b/>
                <w:bCs/>
                <w:sz w:val="24"/>
                <w:szCs w:val="24"/>
              </w:rPr>
              <w:fldChar w:fldCharType="end"/>
            </w:r>
          </w:p>
        </w:sdtContent>
      </w:sdt>
    </w:sdtContent>
  </w:sdt>
  <w:p w:rsidR="00AD11E8" w:rsidRDefault="00AD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A7" w:rsidRDefault="006A5BA7" w:rsidP="008F59AD">
      <w:pPr>
        <w:spacing w:after="0" w:line="240" w:lineRule="auto"/>
      </w:pPr>
      <w:r>
        <w:separator/>
      </w:r>
    </w:p>
  </w:footnote>
  <w:footnote w:type="continuationSeparator" w:id="0">
    <w:p w:rsidR="006A5BA7" w:rsidRDefault="006A5BA7" w:rsidP="008F5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7BA"/>
    <w:multiLevelType w:val="hybridMultilevel"/>
    <w:tmpl w:val="DA604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A13CC5"/>
    <w:multiLevelType w:val="hybridMultilevel"/>
    <w:tmpl w:val="390E25E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351E1B"/>
    <w:multiLevelType w:val="hybridMultilevel"/>
    <w:tmpl w:val="4AC6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8E3537"/>
    <w:multiLevelType w:val="hybridMultilevel"/>
    <w:tmpl w:val="7F0C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0280D"/>
    <w:multiLevelType w:val="hybridMultilevel"/>
    <w:tmpl w:val="8668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C32FA6"/>
    <w:multiLevelType w:val="hybridMultilevel"/>
    <w:tmpl w:val="6DE2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0626CA"/>
    <w:multiLevelType w:val="hybridMultilevel"/>
    <w:tmpl w:val="7AE4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6F3614"/>
    <w:multiLevelType w:val="hybridMultilevel"/>
    <w:tmpl w:val="930E2D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9E"/>
    <w:rsid w:val="0002591C"/>
    <w:rsid w:val="0006186B"/>
    <w:rsid w:val="00092458"/>
    <w:rsid w:val="000B1F22"/>
    <w:rsid w:val="000C3553"/>
    <w:rsid w:val="000E06A6"/>
    <w:rsid w:val="001108B7"/>
    <w:rsid w:val="00151FAB"/>
    <w:rsid w:val="0020669E"/>
    <w:rsid w:val="00246A30"/>
    <w:rsid w:val="00270865"/>
    <w:rsid w:val="00274733"/>
    <w:rsid w:val="002758A8"/>
    <w:rsid w:val="002778F9"/>
    <w:rsid w:val="00277E1A"/>
    <w:rsid w:val="002C49D9"/>
    <w:rsid w:val="002D4B51"/>
    <w:rsid w:val="002D64C8"/>
    <w:rsid w:val="002D650F"/>
    <w:rsid w:val="0031364C"/>
    <w:rsid w:val="0033476D"/>
    <w:rsid w:val="00341BC2"/>
    <w:rsid w:val="0034671B"/>
    <w:rsid w:val="00375891"/>
    <w:rsid w:val="00386083"/>
    <w:rsid w:val="00397F92"/>
    <w:rsid w:val="003E0440"/>
    <w:rsid w:val="003F6826"/>
    <w:rsid w:val="00410182"/>
    <w:rsid w:val="00410B1E"/>
    <w:rsid w:val="00427AC9"/>
    <w:rsid w:val="0045259D"/>
    <w:rsid w:val="004773A1"/>
    <w:rsid w:val="004C09E5"/>
    <w:rsid w:val="004D06DC"/>
    <w:rsid w:val="004D73CA"/>
    <w:rsid w:val="004E240E"/>
    <w:rsid w:val="00542B9D"/>
    <w:rsid w:val="005A5EFA"/>
    <w:rsid w:val="00606AB0"/>
    <w:rsid w:val="00620899"/>
    <w:rsid w:val="0062725B"/>
    <w:rsid w:val="0065739D"/>
    <w:rsid w:val="0066162D"/>
    <w:rsid w:val="006A5BA7"/>
    <w:rsid w:val="006D7015"/>
    <w:rsid w:val="006F2D93"/>
    <w:rsid w:val="006F56AD"/>
    <w:rsid w:val="006F7DFA"/>
    <w:rsid w:val="00723E65"/>
    <w:rsid w:val="00767A7C"/>
    <w:rsid w:val="00792782"/>
    <w:rsid w:val="007B5479"/>
    <w:rsid w:val="007C0742"/>
    <w:rsid w:val="007E6A35"/>
    <w:rsid w:val="00820AD3"/>
    <w:rsid w:val="00832353"/>
    <w:rsid w:val="00875DF8"/>
    <w:rsid w:val="008F59AD"/>
    <w:rsid w:val="009819D2"/>
    <w:rsid w:val="0099301D"/>
    <w:rsid w:val="009E493B"/>
    <w:rsid w:val="00A372FE"/>
    <w:rsid w:val="00A403A7"/>
    <w:rsid w:val="00A75125"/>
    <w:rsid w:val="00A835F8"/>
    <w:rsid w:val="00AA748C"/>
    <w:rsid w:val="00AD11E8"/>
    <w:rsid w:val="00AE1D9C"/>
    <w:rsid w:val="00AF3275"/>
    <w:rsid w:val="00AF7457"/>
    <w:rsid w:val="00B37985"/>
    <w:rsid w:val="00B44BE5"/>
    <w:rsid w:val="00B54DD8"/>
    <w:rsid w:val="00B747F9"/>
    <w:rsid w:val="00B905B2"/>
    <w:rsid w:val="00BB3F8B"/>
    <w:rsid w:val="00C55F8B"/>
    <w:rsid w:val="00C85B26"/>
    <w:rsid w:val="00C97DCD"/>
    <w:rsid w:val="00D30EC1"/>
    <w:rsid w:val="00D3683B"/>
    <w:rsid w:val="00DB28C4"/>
    <w:rsid w:val="00DB5ADA"/>
    <w:rsid w:val="00DE1D26"/>
    <w:rsid w:val="00E11B37"/>
    <w:rsid w:val="00E1315D"/>
    <w:rsid w:val="00E17390"/>
    <w:rsid w:val="00E25672"/>
    <w:rsid w:val="00E5497C"/>
    <w:rsid w:val="00F03B1E"/>
    <w:rsid w:val="00F7370E"/>
    <w:rsid w:val="00FB02A8"/>
    <w:rsid w:val="00FF0955"/>
    <w:rsid w:val="00FF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A8"/>
    <w:pPr>
      <w:ind w:left="720"/>
      <w:contextualSpacing/>
    </w:pPr>
  </w:style>
  <w:style w:type="paragraph" w:styleId="BalloonText">
    <w:name w:val="Balloon Text"/>
    <w:basedOn w:val="Normal"/>
    <w:link w:val="BalloonTextChar"/>
    <w:uiPriority w:val="99"/>
    <w:semiHidden/>
    <w:unhideWhenUsed/>
    <w:rsid w:val="0033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6D"/>
    <w:rPr>
      <w:rFonts w:ascii="Tahoma" w:hAnsi="Tahoma" w:cs="Tahoma"/>
      <w:sz w:val="16"/>
      <w:szCs w:val="16"/>
    </w:rPr>
  </w:style>
  <w:style w:type="paragraph" w:styleId="Header">
    <w:name w:val="header"/>
    <w:basedOn w:val="Normal"/>
    <w:link w:val="HeaderChar"/>
    <w:uiPriority w:val="99"/>
    <w:unhideWhenUsed/>
    <w:rsid w:val="008F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AD"/>
  </w:style>
  <w:style w:type="paragraph" w:styleId="Footer">
    <w:name w:val="footer"/>
    <w:basedOn w:val="Normal"/>
    <w:link w:val="FooterChar"/>
    <w:uiPriority w:val="99"/>
    <w:unhideWhenUsed/>
    <w:rsid w:val="008F5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AD"/>
  </w:style>
  <w:style w:type="character" w:styleId="CommentReference">
    <w:name w:val="annotation reference"/>
    <w:basedOn w:val="DefaultParagraphFont"/>
    <w:uiPriority w:val="99"/>
    <w:semiHidden/>
    <w:unhideWhenUsed/>
    <w:rsid w:val="002D4B51"/>
    <w:rPr>
      <w:sz w:val="16"/>
      <w:szCs w:val="16"/>
    </w:rPr>
  </w:style>
  <w:style w:type="paragraph" w:styleId="CommentText">
    <w:name w:val="annotation text"/>
    <w:basedOn w:val="Normal"/>
    <w:link w:val="CommentTextChar"/>
    <w:uiPriority w:val="99"/>
    <w:semiHidden/>
    <w:unhideWhenUsed/>
    <w:rsid w:val="002D4B51"/>
    <w:pPr>
      <w:spacing w:line="240" w:lineRule="auto"/>
    </w:pPr>
    <w:rPr>
      <w:sz w:val="20"/>
      <w:szCs w:val="20"/>
    </w:rPr>
  </w:style>
  <w:style w:type="character" w:customStyle="1" w:styleId="CommentTextChar">
    <w:name w:val="Comment Text Char"/>
    <w:basedOn w:val="DefaultParagraphFont"/>
    <w:link w:val="CommentText"/>
    <w:uiPriority w:val="99"/>
    <w:semiHidden/>
    <w:rsid w:val="002D4B51"/>
    <w:rPr>
      <w:sz w:val="20"/>
      <w:szCs w:val="20"/>
    </w:rPr>
  </w:style>
  <w:style w:type="paragraph" w:styleId="CommentSubject">
    <w:name w:val="annotation subject"/>
    <w:basedOn w:val="CommentText"/>
    <w:next w:val="CommentText"/>
    <w:link w:val="CommentSubjectChar"/>
    <w:uiPriority w:val="99"/>
    <w:semiHidden/>
    <w:unhideWhenUsed/>
    <w:rsid w:val="002D4B51"/>
    <w:rPr>
      <w:b/>
      <w:bCs/>
    </w:rPr>
  </w:style>
  <w:style w:type="character" w:customStyle="1" w:styleId="CommentSubjectChar">
    <w:name w:val="Comment Subject Char"/>
    <w:basedOn w:val="CommentTextChar"/>
    <w:link w:val="CommentSubject"/>
    <w:uiPriority w:val="99"/>
    <w:semiHidden/>
    <w:rsid w:val="002D4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A8"/>
    <w:pPr>
      <w:ind w:left="720"/>
      <w:contextualSpacing/>
    </w:pPr>
  </w:style>
  <w:style w:type="paragraph" w:styleId="BalloonText">
    <w:name w:val="Balloon Text"/>
    <w:basedOn w:val="Normal"/>
    <w:link w:val="BalloonTextChar"/>
    <w:uiPriority w:val="99"/>
    <w:semiHidden/>
    <w:unhideWhenUsed/>
    <w:rsid w:val="0033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6D"/>
    <w:rPr>
      <w:rFonts w:ascii="Tahoma" w:hAnsi="Tahoma" w:cs="Tahoma"/>
      <w:sz w:val="16"/>
      <w:szCs w:val="16"/>
    </w:rPr>
  </w:style>
  <w:style w:type="paragraph" w:styleId="Header">
    <w:name w:val="header"/>
    <w:basedOn w:val="Normal"/>
    <w:link w:val="HeaderChar"/>
    <w:uiPriority w:val="99"/>
    <w:unhideWhenUsed/>
    <w:rsid w:val="008F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AD"/>
  </w:style>
  <w:style w:type="paragraph" w:styleId="Footer">
    <w:name w:val="footer"/>
    <w:basedOn w:val="Normal"/>
    <w:link w:val="FooterChar"/>
    <w:uiPriority w:val="99"/>
    <w:unhideWhenUsed/>
    <w:rsid w:val="008F5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AD"/>
  </w:style>
  <w:style w:type="character" w:styleId="CommentReference">
    <w:name w:val="annotation reference"/>
    <w:basedOn w:val="DefaultParagraphFont"/>
    <w:uiPriority w:val="99"/>
    <w:semiHidden/>
    <w:unhideWhenUsed/>
    <w:rsid w:val="002D4B51"/>
    <w:rPr>
      <w:sz w:val="16"/>
      <w:szCs w:val="16"/>
    </w:rPr>
  </w:style>
  <w:style w:type="paragraph" w:styleId="CommentText">
    <w:name w:val="annotation text"/>
    <w:basedOn w:val="Normal"/>
    <w:link w:val="CommentTextChar"/>
    <w:uiPriority w:val="99"/>
    <w:semiHidden/>
    <w:unhideWhenUsed/>
    <w:rsid w:val="002D4B51"/>
    <w:pPr>
      <w:spacing w:line="240" w:lineRule="auto"/>
    </w:pPr>
    <w:rPr>
      <w:sz w:val="20"/>
      <w:szCs w:val="20"/>
    </w:rPr>
  </w:style>
  <w:style w:type="character" w:customStyle="1" w:styleId="CommentTextChar">
    <w:name w:val="Comment Text Char"/>
    <w:basedOn w:val="DefaultParagraphFont"/>
    <w:link w:val="CommentText"/>
    <w:uiPriority w:val="99"/>
    <w:semiHidden/>
    <w:rsid w:val="002D4B51"/>
    <w:rPr>
      <w:sz w:val="20"/>
      <w:szCs w:val="20"/>
    </w:rPr>
  </w:style>
  <w:style w:type="paragraph" w:styleId="CommentSubject">
    <w:name w:val="annotation subject"/>
    <w:basedOn w:val="CommentText"/>
    <w:next w:val="CommentText"/>
    <w:link w:val="CommentSubjectChar"/>
    <w:uiPriority w:val="99"/>
    <w:semiHidden/>
    <w:unhideWhenUsed/>
    <w:rsid w:val="002D4B51"/>
    <w:rPr>
      <w:b/>
      <w:bCs/>
    </w:rPr>
  </w:style>
  <w:style w:type="character" w:customStyle="1" w:styleId="CommentSubjectChar">
    <w:name w:val="Comment Subject Char"/>
    <w:basedOn w:val="CommentTextChar"/>
    <w:link w:val="CommentSubject"/>
    <w:uiPriority w:val="99"/>
    <w:semiHidden/>
    <w:rsid w:val="002D4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209">
      <w:bodyDiv w:val="1"/>
      <w:marLeft w:val="0"/>
      <w:marRight w:val="0"/>
      <w:marTop w:val="0"/>
      <w:marBottom w:val="0"/>
      <w:divBdr>
        <w:top w:val="none" w:sz="0" w:space="0" w:color="auto"/>
        <w:left w:val="none" w:sz="0" w:space="0" w:color="auto"/>
        <w:bottom w:val="none" w:sz="0" w:space="0" w:color="auto"/>
        <w:right w:val="none" w:sz="0" w:space="0" w:color="auto"/>
      </w:divBdr>
    </w:div>
    <w:div w:id="479730297">
      <w:bodyDiv w:val="1"/>
      <w:marLeft w:val="0"/>
      <w:marRight w:val="0"/>
      <w:marTop w:val="0"/>
      <w:marBottom w:val="0"/>
      <w:divBdr>
        <w:top w:val="none" w:sz="0" w:space="0" w:color="auto"/>
        <w:left w:val="none" w:sz="0" w:space="0" w:color="auto"/>
        <w:bottom w:val="none" w:sz="0" w:space="0" w:color="auto"/>
        <w:right w:val="none" w:sz="0" w:space="0" w:color="auto"/>
      </w:divBdr>
    </w:div>
    <w:div w:id="1247689279">
      <w:bodyDiv w:val="1"/>
      <w:marLeft w:val="0"/>
      <w:marRight w:val="0"/>
      <w:marTop w:val="0"/>
      <w:marBottom w:val="0"/>
      <w:divBdr>
        <w:top w:val="none" w:sz="0" w:space="0" w:color="auto"/>
        <w:left w:val="none" w:sz="0" w:space="0" w:color="auto"/>
        <w:bottom w:val="none" w:sz="0" w:space="0" w:color="auto"/>
        <w:right w:val="none" w:sz="0" w:space="0" w:color="auto"/>
      </w:divBdr>
    </w:div>
    <w:div w:id="1352609178">
      <w:bodyDiv w:val="1"/>
      <w:marLeft w:val="0"/>
      <w:marRight w:val="0"/>
      <w:marTop w:val="0"/>
      <w:marBottom w:val="0"/>
      <w:divBdr>
        <w:top w:val="none" w:sz="0" w:space="0" w:color="auto"/>
        <w:left w:val="none" w:sz="0" w:space="0" w:color="auto"/>
        <w:bottom w:val="none" w:sz="0" w:space="0" w:color="auto"/>
        <w:right w:val="none" w:sz="0" w:space="0" w:color="auto"/>
      </w:divBdr>
    </w:div>
    <w:div w:id="1382749418">
      <w:bodyDiv w:val="1"/>
      <w:marLeft w:val="0"/>
      <w:marRight w:val="0"/>
      <w:marTop w:val="0"/>
      <w:marBottom w:val="0"/>
      <w:divBdr>
        <w:top w:val="none" w:sz="0" w:space="0" w:color="auto"/>
        <w:left w:val="none" w:sz="0" w:space="0" w:color="auto"/>
        <w:bottom w:val="none" w:sz="0" w:space="0" w:color="auto"/>
        <w:right w:val="none" w:sz="0" w:space="0" w:color="auto"/>
      </w:divBdr>
    </w:div>
    <w:div w:id="17506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5415-5304-49E0-8544-BDEE0C6D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Thompson-Vassel</dc:creator>
  <cp:lastModifiedBy>Andrew Mullen</cp:lastModifiedBy>
  <cp:revision>2</cp:revision>
  <cp:lastPrinted>2014-05-29T10:18:00Z</cp:lastPrinted>
  <dcterms:created xsi:type="dcterms:W3CDTF">2016-03-18T13:39:00Z</dcterms:created>
  <dcterms:modified xsi:type="dcterms:W3CDTF">2016-03-18T13:39:00Z</dcterms:modified>
</cp:coreProperties>
</file>