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BD2921" w:rsidRDefault="00BD2921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Economics</w:t>
      </w:r>
      <w:r w:rsidRPr="00BD2921">
        <w:rPr>
          <w:rFonts w:ascii="Arial" w:hAnsi="Arial" w:cs="Arial"/>
          <w:b/>
          <w:sz w:val="30"/>
          <w:szCs w:val="30"/>
        </w:rPr>
        <w:t xml:space="preserve"> </w:t>
      </w:r>
      <w:r w:rsidR="00AB69A4">
        <w:rPr>
          <w:rFonts w:ascii="Arial" w:hAnsi="Arial" w:cs="Arial"/>
          <w:b/>
          <w:sz w:val="30"/>
          <w:szCs w:val="30"/>
        </w:rPr>
        <w:t>(BSc</w:t>
      </w:r>
      <w:r w:rsidRPr="00BD2921">
        <w:rPr>
          <w:rFonts w:ascii="Arial" w:hAnsi="Arial" w:cs="Arial"/>
          <w:b/>
          <w:sz w:val="30"/>
          <w:szCs w:val="30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564238">
        <w:trPr>
          <w:trHeight w:val="144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4F57F3" w:rsidRPr="004F57F3" w:rsidRDefault="004F57F3" w:rsidP="004F57F3">
            <w:pPr>
              <w:pStyle w:val="ListParagraph"/>
              <w:numPr>
                <w:ilvl w:val="0"/>
                <w:numId w:val="9"/>
              </w:numPr>
            </w:pPr>
            <w:r w:rsidRPr="004F57F3">
              <w:t xml:space="preserve">Economics </w:t>
            </w:r>
          </w:p>
          <w:p w:rsidR="00560FF0" w:rsidRPr="004F57F3" w:rsidRDefault="004F57F3" w:rsidP="004F57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4F57F3">
              <w:t>Economics and Social Statistics</w:t>
            </w:r>
            <w:r w:rsidRPr="004F57F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BD2907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A-level offer</w:t>
            </w:r>
          </w:p>
          <w:p w:rsidR="00DE099B" w:rsidRPr="00D958A3" w:rsidRDefault="00DE099B" w:rsidP="00DE099B">
            <w:pPr>
              <w:pStyle w:val="ListParagraph"/>
              <w:numPr>
                <w:ilvl w:val="0"/>
                <w:numId w:val="9"/>
              </w:numPr>
            </w:pPr>
            <w:r w:rsidRPr="00DE099B">
              <w:t xml:space="preserve">A Level: AAB </w:t>
            </w:r>
            <w:r w:rsidR="00D958A3" w:rsidRPr="00D958A3">
              <w:t>including A in Maths</w:t>
            </w:r>
          </w:p>
          <w:p w:rsidR="00DE099B" w:rsidRPr="00DE099B" w:rsidRDefault="00DE099B" w:rsidP="00DE099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DE099B">
              <w:t xml:space="preserve">GCSE: 6 in Maths, 4 in English </w:t>
            </w:r>
          </w:p>
          <w:p w:rsidR="00292BC0" w:rsidRPr="00D20406" w:rsidRDefault="00DE099B" w:rsidP="00DE099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DE099B">
              <w:t>IB: 35 points including 6 in Higher Level Maths</w:t>
            </w:r>
          </w:p>
        </w:tc>
      </w:tr>
      <w:tr w:rsidR="00FC669A" w:rsidTr="00564238">
        <w:trPr>
          <w:trHeight w:val="116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308" w:type="dxa"/>
            <w:vAlign w:val="center"/>
          </w:tcPr>
          <w:p w:rsidR="00545C69" w:rsidRPr="00F26768" w:rsidRDefault="00F26768" w:rsidP="004F57F3">
            <w:pPr>
              <w:pStyle w:val="ListParagraph"/>
              <w:numPr>
                <w:ilvl w:val="0"/>
                <w:numId w:val="9"/>
              </w:numPr>
            </w:pPr>
            <w:r w:rsidRPr="00F26768">
              <w:t>Excellent student satisfaction (96% of students are satisfied with their experience, NSS 2019)</w:t>
            </w:r>
          </w:p>
          <w:p w:rsidR="00545C69" w:rsidRPr="008F003E" w:rsidRDefault="00DE099B" w:rsidP="00545C6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F26768">
              <w:t>Ranked 6th in the UK and 37th in</w:t>
            </w:r>
            <w:r w:rsidRPr="00DE099B">
              <w:rPr>
                <w:rFonts w:cstheme="minorHAnsi"/>
                <w:szCs w:val="20"/>
              </w:rPr>
              <w:t xml:space="preserve"> </w:t>
            </w:r>
            <w:r w:rsidRPr="00F26768">
              <w:t>the world (THE World Rankings 2019)</w:t>
            </w:r>
          </w:p>
        </w:tc>
      </w:tr>
      <w:tr w:rsidR="008C7F38" w:rsidTr="00564238">
        <w:trPr>
          <w:trHeight w:val="581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D20406" w:rsidRDefault="00D20406" w:rsidP="00D20406">
            <w:r>
              <w:t>Key features</w:t>
            </w:r>
          </w:p>
          <w:p w:rsidR="00D958A3" w:rsidRDefault="00D958A3" w:rsidP="00D958A3">
            <w:pPr>
              <w:rPr>
                <w:lang w:val="en-US"/>
              </w:rPr>
            </w:pPr>
          </w:p>
          <w:p w:rsidR="00D958A3" w:rsidRPr="00D958A3" w:rsidRDefault="00D958A3" w:rsidP="00D958A3">
            <w:pPr>
              <w:pStyle w:val="ListParagraph"/>
              <w:numPr>
                <w:ilvl w:val="0"/>
                <w:numId w:val="16"/>
              </w:numPr>
            </w:pPr>
            <w:r w:rsidRPr="00D958A3">
              <w:t>A small, specialist</w:t>
            </w:r>
            <w:r>
              <w:t xml:space="preserve"> degree in a large university with a </w:t>
            </w:r>
            <w:r w:rsidRPr="00D958A3">
              <w:t xml:space="preserve">world </w:t>
            </w:r>
            <w:r>
              <w:t>of o</w:t>
            </w:r>
            <w:r w:rsidRPr="00D958A3">
              <w:t>pportunities</w:t>
            </w:r>
          </w:p>
          <w:p w:rsidR="00D958A3" w:rsidRDefault="00342041" w:rsidP="00D958A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342041">
              <w:rPr>
                <w:lang w:val="en-US"/>
              </w:rPr>
              <w:t>Largest student society with more  than 2,000 members, sponsored by Ernst  &amp; Young</w:t>
            </w:r>
          </w:p>
          <w:p w:rsidR="007B3499" w:rsidRPr="007B3499" w:rsidRDefault="00D958A3" w:rsidP="007B3499">
            <w:pPr>
              <w:pStyle w:val="ListParagraph"/>
              <w:numPr>
                <w:ilvl w:val="0"/>
                <w:numId w:val="16"/>
              </w:numPr>
            </w:pPr>
            <w:r>
              <w:t xml:space="preserve">A distinguished history: a </w:t>
            </w:r>
            <w:r w:rsidRPr="00D958A3">
              <w:t>Chair in</w:t>
            </w:r>
            <w:r>
              <w:t xml:space="preserve"> Political Economy was founded at </w:t>
            </w:r>
            <w:r w:rsidRPr="00D958A3">
              <w:t>Manchester in 1854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6"/>
              </w:numPr>
            </w:pPr>
            <w:r>
              <w:t xml:space="preserve">Tailor your studies to </w:t>
            </w:r>
            <w:r w:rsidRPr="007B3499">
              <w:t>fit the career you wish to pursue after graduation.</w:t>
            </w:r>
          </w:p>
          <w:p w:rsidR="00D20406" w:rsidRPr="00D958A3" w:rsidRDefault="00D20406" w:rsidP="00D958A3"/>
          <w:p w:rsidR="00D20406" w:rsidRDefault="002D5B10" w:rsidP="00D20406">
            <w:r>
              <w:t>USPs</w:t>
            </w:r>
          </w:p>
          <w:p w:rsidR="00D958A3" w:rsidRPr="002C64B3" w:rsidRDefault="00D958A3" w:rsidP="00D958A3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en-US"/>
              </w:rPr>
              <w:t>O</w:t>
            </w:r>
            <w:r w:rsidRPr="002C64B3">
              <w:rPr>
                <w:lang w:val="en-US"/>
              </w:rPr>
              <w:t>ne of the largest UK departments, with around 60 acad</w:t>
            </w:r>
            <w:r>
              <w:rPr>
                <w:lang w:val="en-US"/>
              </w:rPr>
              <w:t>emics (including 14 Professors)</w:t>
            </w:r>
          </w:p>
          <w:p w:rsidR="00D958A3" w:rsidRDefault="00D958A3" w:rsidP="00D958A3">
            <w:pPr>
              <w:pStyle w:val="ListParagraph"/>
              <w:numPr>
                <w:ilvl w:val="0"/>
                <w:numId w:val="16"/>
              </w:numPr>
            </w:pPr>
            <w:r w:rsidRPr="000A7C7A">
              <w:t xml:space="preserve">World-leading centre for economic research and teaching </w:t>
            </w:r>
          </w:p>
          <w:p w:rsidR="00D958A3" w:rsidRPr="002C64B3" w:rsidRDefault="00D958A3" w:rsidP="00D958A3">
            <w:pPr>
              <w:pStyle w:val="ListParagraph"/>
              <w:numPr>
                <w:ilvl w:val="0"/>
                <w:numId w:val="16"/>
              </w:numPr>
            </w:pPr>
            <w:r w:rsidRPr="00E56792">
              <w:rPr>
                <w:lang w:val="en-US"/>
              </w:rPr>
              <w:t>A proud heritage:  William Stanley Jevons: pioneered the use of mathematics in economics, making Manchester the birthplace of modern economics</w:t>
            </w:r>
          </w:p>
          <w:p w:rsidR="00D958A3" w:rsidRPr="002C64B3" w:rsidRDefault="00D958A3" w:rsidP="00D958A3">
            <w:pPr>
              <w:pStyle w:val="ListParagraph"/>
              <w:numPr>
                <w:ilvl w:val="0"/>
                <w:numId w:val="16"/>
              </w:numPr>
            </w:pPr>
            <w:r w:rsidRPr="00C67396">
              <w:rPr>
                <w:lang w:val="en-US"/>
              </w:rPr>
              <w:t xml:space="preserve">Three Nobel </w:t>
            </w:r>
            <w:r>
              <w:rPr>
                <w:lang w:val="en-US"/>
              </w:rPr>
              <w:t>Prize Winners</w:t>
            </w:r>
            <w:r w:rsidRPr="00C67396">
              <w:rPr>
                <w:lang w:val="en-US"/>
              </w:rPr>
              <w:t xml:space="preserve"> </w:t>
            </w:r>
            <w:r w:rsidRPr="002C64B3">
              <w:rPr>
                <w:lang w:val="en-US"/>
              </w:rPr>
              <w:t>have worked in Manchester (Sir Arthur Lewis, S</w:t>
            </w:r>
            <w:r>
              <w:rPr>
                <w:lang w:val="en-US"/>
              </w:rPr>
              <w:t>ir John Hicks, Joseph Stiglitz)</w:t>
            </w:r>
          </w:p>
          <w:p w:rsidR="00D958A3" w:rsidRPr="00C67396" w:rsidRDefault="00D958A3" w:rsidP="00D958A3">
            <w:pPr>
              <w:pStyle w:val="ListParagraph"/>
              <w:numPr>
                <w:ilvl w:val="0"/>
                <w:numId w:val="16"/>
              </w:numPr>
            </w:pPr>
            <w:r w:rsidRPr="00C67396">
              <w:rPr>
                <w:lang w:val="en-US"/>
              </w:rPr>
              <w:t>Units covering economic principles, mathematical modell</w:t>
            </w:r>
            <w:r>
              <w:rPr>
                <w:lang w:val="en-US"/>
              </w:rPr>
              <w:t>ing, and econometric techniques with a</w:t>
            </w:r>
            <w:r w:rsidRPr="00C67396">
              <w:rPr>
                <w:lang w:val="en-US"/>
              </w:rPr>
              <w:t xml:space="preserve"> focus on analytical and quantitative skills</w:t>
            </w:r>
          </w:p>
          <w:p w:rsidR="00D958A3" w:rsidRDefault="00D958A3" w:rsidP="00D958A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A32935">
              <w:t xml:space="preserve">Modules </w:t>
            </w:r>
            <w:r w:rsidRPr="00A32935">
              <w:rPr>
                <w:lang w:val="en-US"/>
              </w:rPr>
              <w:t>delivered by internationally renowned academics and award-winning teaching</w:t>
            </w:r>
          </w:p>
          <w:p w:rsidR="00D958A3" w:rsidRDefault="00D958A3" w:rsidP="00D958A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A32935">
              <w:rPr>
                <w:lang w:val="en-US"/>
              </w:rPr>
              <w:t>A personal academic advisor to guide your studies</w:t>
            </w:r>
          </w:p>
          <w:p w:rsidR="008F4593" w:rsidRPr="007F719D" w:rsidRDefault="008F4593" w:rsidP="00BD2921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2D5B10" w:rsidP="00F37B13">
            <w:r>
              <w:t>20</w:t>
            </w:r>
            <w:r w:rsidR="003D5CE0">
              <w:t>19</w:t>
            </w:r>
            <w:bookmarkStart w:id="0" w:name="_GoBack"/>
            <w:bookmarkEnd w:id="0"/>
            <w:r>
              <w:t xml:space="preserve"> intake</w:t>
            </w:r>
          </w:p>
          <w:p w:rsidR="00DE099B" w:rsidRPr="00DE099B" w:rsidRDefault="00B570CE" w:rsidP="00DE099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1159</w:t>
            </w:r>
            <w:r w:rsidR="00DE099B" w:rsidRPr="00DE099B">
              <w:rPr>
                <w:rFonts w:cstheme="minorHAnsi"/>
                <w:szCs w:val="20"/>
              </w:rPr>
              <w:t xml:space="preserve"> Applications</w:t>
            </w:r>
          </w:p>
          <w:p w:rsidR="00DE099B" w:rsidRPr="00DE099B" w:rsidRDefault="00B570CE" w:rsidP="00DE099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138 </w:t>
            </w:r>
            <w:r w:rsidR="00DE099B" w:rsidRPr="00DE099B">
              <w:rPr>
                <w:rFonts w:cstheme="minorHAnsi"/>
                <w:szCs w:val="20"/>
              </w:rPr>
              <w:t xml:space="preserve">Accepted </w:t>
            </w:r>
          </w:p>
          <w:p w:rsidR="00564238" w:rsidRPr="00B570CE" w:rsidRDefault="00B570CE" w:rsidP="00DE099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  <w:r w:rsidR="00DE099B" w:rsidRPr="00DE099B">
              <w:rPr>
                <w:rFonts w:cstheme="minorHAnsi"/>
                <w:szCs w:val="20"/>
              </w:rPr>
              <w:t xml:space="preserve"> Nationalities</w:t>
            </w:r>
          </w:p>
          <w:p w:rsidR="00B570CE" w:rsidRPr="00B570CE" w:rsidRDefault="00B570CE" w:rsidP="00DE099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 xml:space="preserve">62% Male </w:t>
            </w:r>
          </w:p>
          <w:p w:rsidR="00B570CE" w:rsidRPr="00564238" w:rsidRDefault="00B570CE" w:rsidP="00DE099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38% Female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564238" w:rsidRDefault="008C7F38" w:rsidP="00631971">
            <w:pPr>
              <w:rPr>
                <w:rFonts w:ascii="Arial" w:hAnsi="Arial" w:cs="Arial"/>
                <w:b/>
                <w:i/>
              </w:rPr>
            </w:pPr>
            <w:r w:rsidRPr="00564238">
              <w:rPr>
                <w:rFonts w:ascii="Arial" w:hAnsi="Arial" w:cs="Arial"/>
                <w:b/>
                <w:i/>
              </w:rPr>
              <w:lastRenderedPageBreak/>
              <w:t>Graduate prospects</w:t>
            </w:r>
          </w:p>
        </w:tc>
        <w:tc>
          <w:tcPr>
            <w:tcW w:w="8308" w:type="dxa"/>
            <w:vAlign w:val="center"/>
          </w:tcPr>
          <w:p w:rsidR="0003438E" w:rsidRDefault="0003438E" w:rsidP="00BD2907">
            <w:r>
              <w:t xml:space="preserve">Employability: </w:t>
            </w:r>
          </w:p>
          <w:p w:rsidR="005F7D9A" w:rsidRDefault="00564238" w:rsidP="00BD2907">
            <w:r>
              <w:t xml:space="preserve">Our </w:t>
            </w:r>
            <w:r w:rsidR="004F57F3">
              <w:t>Economics</w:t>
            </w:r>
            <w:r w:rsidR="008E7434">
              <w:t xml:space="preserve"> graduates</w:t>
            </w:r>
            <w:r w:rsidR="005F7D9A">
              <w:t xml:space="preserve"> </w:t>
            </w:r>
            <w:r>
              <w:t>have gone</w:t>
            </w:r>
            <w:r w:rsidR="00473864">
              <w:t xml:space="preserve"> </w:t>
            </w:r>
            <w:r w:rsidR="008E7434" w:rsidRPr="00473864">
              <w:t>on to successful careers in:</w:t>
            </w:r>
          </w:p>
          <w:p w:rsidR="00EC36F6" w:rsidRPr="00BD2907" w:rsidRDefault="005F7D9A" w:rsidP="00BD2907">
            <w:r>
              <w:t xml:space="preserve"> </w:t>
            </w:r>
            <w:r w:rsidR="00033AB5" w:rsidRPr="00BD2907">
              <w:t xml:space="preserve"> </w:t>
            </w:r>
          </w:p>
          <w:p w:rsidR="005F7D9A" w:rsidRPr="008E7434" w:rsidRDefault="008E7434" w:rsidP="008E7434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8E7434">
              <w:t>accountancy</w:t>
            </w:r>
            <w:proofErr w:type="gramEnd"/>
            <w:r w:rsidRPr="008E7434">
              <w:t xml:space="preserve"> and professional services, finance and banking, and government; journalism and the media, charities, consultancy, the civil service, finance, marketing and PR, social work, teaching, and the law.</w:t>
            </w:r>
          </w:p>
          <w:p w:rsidR="00564238" w:rsidRPr="00BD2907" w:rsidRDefault="00564238" w:rsidP="00564238">
            <w:pPr>
              <w:ind w:left="360"/>
            </w:pPr>
          </w:p>
          <w:p w:rsidR="001C7BA9" w:rsidRPr="00BD2907" w:rsidRDefault="001C7BA9" w:rsidP="00BD2907">
            <w:r w:rsidRPr="00BD2907">
              <w:t>They have been employed by:</w:t>
            </w:r>
          </w:p>
          <w:p w:rsidR="007B3499" w:rsidRPr="007B3499" w:rsidRDefault="007B3499" w:rsidP="008E7434">
            <w:pPr>
              <w:pStyle w:val="ListParagraph"/>
              <w:numPr>
                <w:ilvl w:val="0"/>
                <w:numId w:val="17"/>
              </w:numPr>
            </w:pPr>
            <w:r w:rsidRPr="007B3499">
              <w:t>BDO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Deloitte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Ernst &amp; Young,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PwC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Grant Thornton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Credit Suisse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 xml:space="preserve">Deutsche Bank, 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 xml:space="preserve">HM Revenue and Customs, 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KPMG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NHS</w:t>
            </w:r>
          </w:p>
          <w:p w:rsidR="007B3499" w:rsidRPr="007B3499" w:rsidRDefault="007B3499" w:rsidP="007B3499">
            <w:pPr>
              <w:pStyle w:val="ListParagraph"/>
              <w:numPr>
                <w:ilvl w:val="0"/>
                <w:numId w:val="17"/>
              </w:numPr>
            </w:pPr>
            <w:r w:rsidRPr="007B3499">
              <w:t>National Audit Office</w:t>
            </w:r>
          </w:p>
          <w:p w:rsidR="005F7D9A" w:rsidRPr="008E7434" w:rsidRDefault="005F7D9A" w:rsidP="007B3499">
            <w:pPr>
              <w:pStyle w:val="ListParagraph"/>
            </w:pPr>
          </w:p>
        </w:tc>
      </w:tr>
    </w:tbl>
    <w:p w:rsidR="00365452" w:rsidRDefault="00365452" w:rsidP="001F4405">
      <w:pPr>
        <w:rPr>
          <w:rFonts w:ascii="Arial" w:hAnsi="Arial" w:cs="Arial"/>
        </w:rPr>
      </w:pPr>
    </w:p>
    <w:p w:rsidR="001A714F" w:rsidRDefault="001A714F" w:rsidP="001F4405">
      <w:pPr>
        <w:rPr>
          <w:rFonts w:ascii="Arial" w:hAnsi="Arial" w:cs="Arial"/>
        </w:rPr>
      </w:pPr>
    </w:p>
    <w:p w:rsidR="00D958A3" w:rsidRDefault="001A714F" w:rsidP="00D958A3">
      <w:pPr>
        <w:autoSpaceDE w:val="0"/>
        <w:autoSpaceDN w:val="0"/>
        <w:adjustRightInd w:val="0"/>
        <w:spacing w:after="0" w:line="240" w:lineRule="auto"/>
        <w:rPr>
          <w:rFonts w:ascii="Effra-Regular" w:hAnsi="Effra-Regular" w:cs="Effra-Regular"/>
          <w:color w:val="FFFFFF"/>
          <w:sz w:val="20"/>
          <w:szCs w:val="20"/>
        </w:rPr>
      </w:pPr>
      <w:r>
        <w:rPr>
          <w:i/>
        </w:rPr>
        <w:t xml:space="preserve">STUDENT QUOTE: </w:t>
      </w:r>
      <w:r w:rsidR="00D958A3">
        <w:rPr>
          <w:rFonts w:ascii="Effra-Regular" w:hAnsi="Effra-Regular" w:cs="Effra-Regular"/>
          <w:color w:val="FFFFFF"/>
          <w:sz w:val="20"/>
          <w:szCs w:val="20"/>
        </w:rPr>
        <w:t>“What I love most about my</w:t>
      </w:r>
    </w:p>
    <w:p w:rsidR="004F57F3" w:rsidRDefault="00D958A3" w:rsidP="00D958A3">
      <w:r>
        <w:t xml:space="preserve">“What I love most about my </w:t>
      </w:r>
      <w:r w:rsidRPr="00D958A3">
        <w:t>course are the comprehensive</w:t>
      </w:r>
      <w:r>
        <w:t xml:space="preserve"> and diverse course units that are available for me to choose from. The lectures really inspire me to do further research on specific topics, and the fascinating part is that I can always find a corresponding course unit in an area which makes my academic life in the university enjoyable and allows me to be always passionate about </w:t>
      </w:r>
      <w:r w:rsidRPr="00D958A3">
        <w:t>learning and development.”</w:t>
      </w:r>
    </w:p>
    <w:p w:rsidR="00D958A3" w:rsidRPr="00D958A3" w:rsidRDefault="00D958A3" w:rsidP="00D958A3">
      <w:proofErr w:type="spellStart"/>
      <w:r>
        <w:t>Yanbin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>, BSc E</w:t>
      </w:r>
      <w:r w:rsidRPr="00D958A3">
        <w:t>conomics</w:t>
      </w:r>
    </w:p>
    <w:p w:rsidR="00564238" w:rsidRPr="00D958A3" w:rsidRDefault="00564238" w:rsidP="00D958A3"/>
    <w:p w:rsidR="00D20406" w:rsidRDefault="00D20406" w:rsidP="00D20406"/>
    <w:p w:rsidR="001A714F" w:rsidRDefault="001A714F" w:rsidP="001A714F"/>
    <w:p w:rsidR="001A714F" w:rsidRPr="00365452" w:rsidRDefault="001A714F" w:rsidP="001F4405">
      <w:pPr>
        <w:rPr>
          <w:rFonts w:ascii="Arial" w:hAnsi="Arial" w:cs="Arial"/>
        </w:rPr>
      </w:pPr>
    </w:p>
    <w:sectPr w:rsidR="001A714F" w:rsidRPr="003654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ffr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56"/>
    <w:multiLevelType w:val="hybridMultilevel"/>
    <w:tmpl w:val="728A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69B"/>
    <w:multiLevelType w:val="hybridMultilevel"/>
    <w:tmpl w:val="C004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4E12"/>
    <w:multiLevelType w:val="hybridMultilevel"/>
    <w:tmpl w:val="735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63025"/>
    <w:multiLevelType w:val="hybridMultilevel"/>
    <w:tmpl w:val="9118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D7235"/>
    <w:multiLevelType w:val="hybridMultilevel"/>
    <w:tmpl w:val="4F0E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3438E"/>
    <w:rsid w:val="000753D0"/>
    <w:rsid w:val="00132A6B"/>
    <w:rsid w:val="001A714F"/>
    <w:rsid w:val="001B79E9"/>
    <w:rsid w:val="001C7BA9"/>
    <w:rsid w:val="001F4405"/>
    <w:rsid w:val="00236E4F"/>
    <w:rsid w:val="00241084"/>
    <w:rsid w:val="00254D1D"/>
    <w:rsid w:val="0025667F"/>
    <w:rsid w:val="00292BC0"/>
    <w:rsid w:val="002D5B10"/>
    <w:rsid w:val="003060C7"/>
    <w:rsid w:val="00342041"/>
    <w:rsid w:val="003611AC"/>
    <w:rsid w:val="00365452"/>
    <w:rsid w:val="00391B55"/>
    <w:rsid w:val="003D5CE0"/>
    <w:rsid w:val="00422D45"/>
    <w:rsid w:val="00473864"/>
    <w:rsid w:val="00487CA9"/>
    <w:rsid w:val="004F57F3"/>
    <w:rsid w:val="00515A2F"/>
    <w:rsid w:val="00545C69"/>
    <w:rsid w:val="005600D8"/>
    <w:rsid w:val="00560FF0"/>
    <w:rsid w:val="00564238"/>
    <w:rsid w:val="005A374F"/>
    <w:rsid w:val="005C48A6"/>
    <w:rsid w:val="005F7D9A"/>
    <w:rsid w:val="00631971"/>
    <w:rsid w:val="00657A53"/>
    <w:rsid w:val="00720058"/>
    <w:rsid w:val="00763153"/>
    <w:rsid w:val="007B2FCC"/>
    <w:rsid w:val="007B3499"/>
    <w:rsid w:val="007F5699"/>
    <w:rsid w:val="007F719D"/>
    <w:rsid w:val="00827739"/>
    <w:rsid w:val="008841B6"/>
    <w:rsid w:val="008C7F38"/>
    <w:rsid w:val="008E51D5"/>
    <w:rsid w:val="008E7434"/>
    <w:rsid w:val="008F003E"/>
    <w:rsid w:val="008F4593"/>
    <w:rsid w:val="00952368"/>
    <w:rsid w:val="00A1498D"/>
    <w:rsid w:val="00A53DDB"/>
    <w:rsid w:val="00A858E0"/>
    <w:rsid w:val="00AB69A4"/>
    <w:rsid w:val="00B570CE"/>
    <w:rsid w:val="00BD2907"/>
    <w:rsid w:val="00BD2921"/>
    <w:rsid w:val="00C4528B"/>
    <w:rsid w:val="00C77F66"/>
    <w:rsid w:val="00C84855"/>
    <w:rsid w:val="00D20406"/>
    <w:rsid w:val="00D958A3"/>
    <w:rsid w:val="00DD5FC8"/>
    <w:rsid w:val="00DE099B"/>
    <w:rsid w:val="00E24EE4"/>
    <w:rsid w:val="00E37DEB"/>
    <w:rsid w:val="00EC36F6"/>
    <w:rsid w:val="00F26768"/>
    <w:rsid w:val="00F37B13"/>
    <w:rsid w:val="00F702EE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4F57F3"/>
    <w:rPr>
      <w:rFonts w:cs="Effra Light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4F57F3"/>
    <w:rPr>
      <w:rFonts w:cs="Effra Ligh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Julia Riley</cp:lastModifiedBy>
  <cp:revision>6</cp:revision>
  <dcterms:created xsi:type="dcterms:W3CDTF">2019-10-16T14:01:00Z</dcterms:created>
  <dcterms:modified xsi:type="dcterms:W3CDTF">2019-11-07T14:04:00Z</dcterms:modified>
</cp:coreProperties>
</file>