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A3421" w14:textId="77777777" w:rsidR="008A263E" w:rsidRDefault="008A263E" w:rsidP="00411A77">
      <w:pPr>
        <w:jc w:val="center"/>
        <w:rPr>
          <w:rFonts w:ascii="Times New Roman" w:hAnsi="Times New Roman" w:cs="Times New Roman"/>
          <w:b/>
        </w:rPr>
      </w:pPr>
      <w:bookmarkStart w:id="0" w:name="_GoBack"/>
      <w:bookmarkEnd w:id="0"/>
    </w:p>
    <w:p w14:paraId="14CEDA64" w14:textId="77777777" w:rsidR="008A263E" w:rsidRDefault="008A263E" w:rsidP="00411A77">
      <w:pPr>
        <w:jc w:val="center"/>
        <w:rPr>
          <w:rFonts w:ascii="Times New Roman" w:hAnsi="Times New Roman" w:cs="Times New Roman"/>
          <w:b/>
        </w:rPr>
      </w:pPr>
    </w:p>
    <w:p w14:paraId="5E9CE04E" w14:textId="77777777" w:rsidR="008A263E" w:rsidRDefault="008A263E" w:rsidP="00411A77">
      <w:pPr>
        <w:jc w:val="center"/>
        <w:rPr>
          <w:rFonts w:ascii="Times New Roman" w:hAnsi="Times New Roman" w:cs="Times New Roman"/>
          <w:b/>
        </w:rPr>
      </w:pPr>
    </w:p>
    <w:p w14:paraId="4355F018" w14:textId="77777777" w:rsidR="008A263E" w:rsidRDefault="008A263E" w:rsidP="00411A77">
      <w:pPr>
        <w:jc w:val="center"/>
        <w:rPr>
          <w:rFonts w:ascii="Times New Roman" w:hAnsi="Times New Roman" w:cs="Times New Roman"/>
          <w:b/>
        </w:rPr>
      </w:pPr>
    </w:p>
    <w:p w14:paraId="52E8A7CD" w14:textId="77777777" w:rsidR="008A263E" w:rsidRDefault="008A263E" w:rsidP="00411A77">
      <w:pPr>
        <w:jc w:val="center"/>
        <w:rPr>
          <w:rFonts w:ascii="Times New Roman" w:hAnsi="Times New Roman" w:cs="Times New Roman"/>
          <w:b/>
        </w:rPr>
      </w:pPr>
    </w:p>
    <w:p w14:paraId="427A5092" w14:textId="77777777" w:rsidR="008A263E" w:rsidRDefault="008A263E" w:rsidP="00411A77">
      <w:pPr>
        <w:jc w:val="center"/>
        <w:rPr>
          <w:rFonts w:ascii="Times New Roman" w:hAnsi="Times New Roman" w:cs="Times New Roman"/>
          <w:b/>
        </w:rPr>
      </w:pPr>
    </w:p>
    <w:p w14:paraId="6971B67F" w14:textId="77777777" w:rsidR="008A263E" w:rsidRDefault="008A263E" w:rsidP="00411A77">
      <w:pPr>
        <w:jc w:val="center"/>
        <w:rPr>
          <w:rFonts w:ascii="Times New Roman" w:hAnsi="Times New Roman" w:cs="Times New Roman"/>
          <w:b/>
        </w:rPr>
      </w:pPr>
    </w:p>
    <w:p w14:paraId="4A730E96" w14:textId="77777777" w:rsidR="008A263E" w:rsidRDefault="008A263E" w:rsidP="00411A77">
      <w:pPr>
        <w:jc w:val="center"/>
        <w:rPr>
          <w:rFonts w:ascii="Times New Roman" w:hAnsi="Times New Roman" w:cs="Times New Roman"/>
          <w:b/>
        </w:rPr>
      </w:pPr>
    </w:p>
    <w:p w14:paraId="3B037246" w14:textId="77777777" w:rsidR="008A263E" w:rsidRDefault="008A263E" w:rsidP="00411A77">
      <w:pPr>
        <w:jc w:val="center"/>
        <w:rPr>
          <w:rFonts w:ascii="Times New Roman" w:hAnsi="Times New Roman" w:cs="Times New Roman"/>
          <w:b/>
        </w:rPr>
      </w:pPr>
    </w:p>
    <w:p w14:paraId="0E43C2D8" w14:textId="77777777" w:rsidR="008A263E" w:rsidRDefault="008A263E" w:rsidP="00411A77">
      <w:pPr>
        <w:jc w:val="center"/>
        <w:rPr>
          <w:rFonts w:ascii="Times New Roman" w:hAnsi="Times New Roman" w:cs="Times New Roman"/>
          <w:b/>
        </w:rPr>
      </w:pPr>
    </w:p>
    <w:p w14:paraId="52442358" w14:textId="77777777" w:rsidR="001E6F19" w:rsidRDefault="001E6F19" w:rsidP="00411A77">
      <w:pPr>
        <w:jc w:val="center"/>
        <w:rPr>
          <w:rFonts w:ascii="Times New Roman" w:hAnsi="Times New Roman" w:cs="Times New Roman"/>
          <w:b/>
        </w:rPr>
      </w:pPr>
    </w:p>
    <w:p w14:paraId="1B0CD0B2" w14:textId="77777777" w:rsidR="001E6F19" w:rsidRDefault="001E6F19" w:rsidP="00411A77">
      <w:pPr>
        <w:jc w:val="center"/>
        <w:rPr>
          <w:rFonts w:ascii="Times New Roman" w:hAnsi="Times New Roman" w:cs="Times New Roman"/>
          <w:b/>
        </w:rPr>
      </w:pPr>
    </w:p>
    <w:p w14:paraId="55AEFB74" w14:textId="77777777" w:rsidR="001E6F19" w:rsidRDefault="001E6F19" w:rsidP="00411A77">
      <w:pPr>
        <w:jc w:val="center"/>
        <w:rPr>
          <w:rFonts w:ascii="Times New Roman" w:hAnsi="Times New Roman" w:cs="Times New Roman"/>
          <w:b/>
        </w:rPr>
      </w:pPr>
    </w:p>
    <w:p w14:paraId="34F17339" w14:textId="090C8635" w:rsidR="001E6F19" w:rsidRPr="00AB556E" w:rsidRDefault="0046269C" w:rsidP="00411A77">
      <w:pPr>
        <w:jc w:val="center"/>
        <w:rPr>
          <w:rFonts w:ascii="Times New Roman" w:hAnsi="Times New Roman" w:cs="Times New Roman"/>
          <w:b/>
          <w:sz w:val="32"/>
        </w:rPr>
      </w:pPr>
      <w:r w:rsidRPr="00AB556E">
        <w:rPr>
          <w:rFonts w:ascii="Times New Roman" w:hAnsi="Times New Roman" w:cs="Times New Roman"/>
          <w:b/>
          <w:sz w:val="32"/>
        </w:rPr>
        <w:t xml:space="preserve">Case study at the University of Manchester: the evaluation of the student-as-customer concept following the rise of tuition fees in 2012. </w:t>
      </w:r>
    </w:p>
    <w:p w14:paraId="4AD16BA2" w14:textId="77777777" w:rsidR="0046269C" w:rsidRDefault="0046269C" w:rsidP="00411A77">
      <w:pPr>
        <w:jc w:val="center"/>
        <w:rPr>
          <w:rFonts w:ascii="Times New Roman" w:hAnsi="Times New Roman" w:cs="Times New Roman"/>
          <w:b/>
        </w:rPr>
      </w:pPr>
    </w:p>
    <w:p w14:paraId="25F8ECC1" w14:textId="77777777" w:rsidR="004E5F8E" w:rsidRDefault="004E5F8E" w:rsidP="00411A77">
      <w:pPr>
        <w:jc w:val="center"/>
        <w:rPr>
          <w:rFonts w:ascii="Times New Roman" w:hAnsi="Times New Roman" w:cs="Times New Roman"/>
          <w:b/>
        </w:rPr>
      </w:pPr>
    </w:p>
    <w:p w14:paraId="599F7E34" w14:textId="77777777" w:rsidR="004E5F8E" w:rsidRDefault="004E5F8E" w:rsidP="00411A77">
      <w:pPr>
        <w:jc w:val="center"/>
        <w:rPr>
          <w:rFonts w:ascii="Times New Roman" w:hAnsi="Times New Roman" w:cs="Times New Roman"/>
          <w:b/>
        </w:rPr>
      </w:pPr>
    </w:p>
    <w:p w14:paraId="6FB37159" w14:textId="77777777" w:rsidR="004E5F8E" w:rsidRDefault="004E5F8E" w:rsidP="00411A77">
      <w:pPr>
        <w:jc w:val="center"/>
        <w:rPr>
          <w:rFonts w:ascii="Times New Roman" w:hAnsi="Times New Roman" w:cs="Times New Roman"/>
          <w:b/>
        </w:rPr>
      </w:pPr>
    </w:p>
    <w:p w14:paraId="1755D11E" w14:textId="77777777" w:rsidR="001E6F19" w:rsidRDefault="001E6F19" w:rsidP="00411A77">
      <w:pPr>
        <w:jc w:val="center"/>
        <w:rPr>
          <w:rFonts w:ascii="Times New Roman" w:hAnsi="Times New Roman" w:cs="Times New Roman"/>
          <w:b/>
        </w:rPr>
      </w:pPr>
    </w:p>
    <w:p w14:paraId="52105C44" w14:textId="77777777" w:rsidR="004E5F8E" w:rsidRDefault="004E5F8E" w:rsidP="00411A77">
      <w:pPr>
        <w:jc w:val="center"/>
        <w:rPr>
          <w:rFonts w:ascii="Times New Roman" w:hAnsi="Times New Roman" w:cs="Times New Roman"/>
          <w:b/>
        </w:rPr>
      </w:pPr>
    </w:p>
    <w:p w14:paraId="58B07D22" w14:textId="77777777" w:rsidR="004E5F8E" w:rsidRDefault="004E5F8E" w:rsidP="00411A77">
      <w:pPr>
        <w:jc w:val="center"/>
        <w:rPr>
          <w:rFonts w:ascii="Times New Roman" w:hAnsi="Times New Roman" w:cs="Times New Roman"/>
          <w:b/>
        </w:rPr>
      </w:pPr>
    </w:p>
    <w:p w14:paraId="05BD78CB" w14:textId="77777777" w:rsidR="004E5F8E" w:rsidRDefault="004E5F8E" w:rsidP="00411A77">
      <w:pPr>
        <w:jc w:val="center"/>
        <w:rPr>
          <w:rFonts w:ascii="Times New Roman" w:hAnsi="Times New Roman" w:cs="Times New Roman"/>
          <w:b/>
        </w:rPr>
      </w:pPr>
    </w:p>
    <w:p w14:paraId="50CFA563" w14:textId="77777777" w:rsidR="004E5F8E" w:rsidRDefault="004E5F8E" w:rsidP="00411A77">
      <w:pPr>
        <w:jc w:val="center"/>
        <w:rPr>
          <w:rFonts w:ascii="Times New Roman" w:hAnsi="Times New Roman" w:cs="Times New Roman"/>
          <w:b/>
        </w:rPr>
      </w:pPr>
    </w:p>
    <w:p w14:paraId="4908B628" w14:textId="77777777" w:rsidR="004E5F8E" w:rsidRDefault="004E5F8E" w:rsidP="00411A77">
      <w:pPr>
        <w:jc w:val="center"/>
        <w:rPr>
          <w:rFonts w:ascii="Times New Roman" w:hAnsi="Times New Roman" w:cs="Times New Roman"/>
          <w:b/>
        </w:rPr>
      </w:pPr>
    </w:p>
    <w:p w14:paraId="6E410BA6" w14:textId="77777777" w:rsidR="004E5F8E" w:rsidRDefault="004E5F8E" w:rsidP="00411A77">
      <w:pPr>
        <w:jc w:val="center"/>
        <w:rPr>
          <w:rFonts w:ascii="Times New Roman" w:hAnsi="Times New Roman" w:cs="Times New Roman"/>
          <w:b/>
        </w:rPr>
      </w:pPr>
    </w:p>
    <w:p w14:paraId="5068C774" w14:textId="77777777" w:rsidR="004E5F8E" w:rsidRDefault="004E5F8E" w:rsidP="00411A77">
      <w:pPr>
        <w:jc w:val="center"/>
        <w:rPr>
          <w:rFonts w:ascii="Times New Roman" w:hAnsi="Times New Roman" w:cs="Times New Roman"/>
          <w:b/>
        </w:rPr>
      </w:pPr>
    </w:p>
    <w:p w14:paraId="5EB8998F" w14:textId="77777777" w:rsidR="004E5F8E" w:rsidRDefault="004E5F8E" w:rsidP="00411A77">
      <w:pPr>
        <w:jc w:val="center"/>
        <w:rPr>
          <w:rFonts w:ascii="Times New Roman" w:hAnsi="Times New Roman" w:cs="Times New Roman"/>
          <w:b/>
        </w:rPr>
      </w:pPr>
    </w:p>
    <w:p w14:paraId="6AE7FCC8" w14:textId="77777777" w:rsidR="004E5F8E" w:rsidRDefault="004E5F8E" w:rsidP="00411A77">
      <w:pPr>
        <w:jc w:val="center"/>
        <w:rPr>
          <w:rFonts w:ascii="Times New Roman" w:hAnsi="Times New Roman" w:cs="Times New Roman"/>
          <w:b/>
        </w:rPr>
      </w:pPr>
    </w:p>
    <w:p w14:paraId="60D96BD5" w14:textId="77777777" w:rsidR="004E5F8E" w:rsidRDefault="004E5F8E" w:rsidP="004E5F8E">
      <w:pPr>
        <w:rPr>
          <w:rFonts w:ascii="Times New Roman" w:hAnsi="Times New Roman" w:cs="Times New Roman"/>
          <w:b/>
        </w:rPr>
      </w:pPr>
    </w:p>
    <w:p w14:paraId="100AA8DE" w14:textId="77777777" w:rsidR="004E5F8E" w:rsidRDefault="004E5F8E" w:rsidP="00411A77">
      <w:pPr>
        <w:jc w:val="center"/>
        <w:rPr>
          <w:rFonts w:ascii="Times New Roman" w:hAnsi="Times New Roman" w:cs="Times New Roman"/>
          <w:b/>
        </w:rPr>
      </w:pPr>
    </w:p>
    <w:p w14:paraId="03FD0200" w14:textId="77777777" w:rsidR="004E5F8E" w:rsidRDefault="004E5F8E" w:rsidP="00411A77">
      <w:pPr>
        <w:jc w:val="center"/>
        <w:rPr>
          <w:rFonts w:ascii="Times New Roman" w:hAnsi="Times New Roman" w:cs="Times New Roman"/>
          <w:b/>
        </w:rPr>
      </w:pPr>
    </w:p>
    <w:p w14:paraId="1C427A11" w14:textId="77777777" w:rsidR="004E5F8E" w:rsidRDefault="004E5F8E" w:rsidP="004E5F8E">
      <w:pPr>
        <w:jc w:val="right"/>
        <w:rPr>
          <w:rFonts w:ascii="Times New Roman" w:hAnsi="Times New Roman" w:cs="Times New Roman"/>
        </w:rPr>
      </w:pPr>
    </w:p>
    <w:p w14:paraId="3D519D44" w14:textId="77777777" w:rsidR="004E5F8E" w:rsidRDefault="004E5F8E" w:rsidP="004E5F8E">
      <w:pPr>
        <w:jc w:val="right"/>
        <w:rPr>
          <w:rFonts w:ascii="Times New Roman" w:hAnsi="Times New Roman" w:cs="Times New Roman"/>
        </w:rPr>
      </w:pPr>
    </w:p>
    <w:p w14:paraId="7F0B114A" w14:textId="77777777" w:rsidR="004E5F8E" w:rsidRDefault="004E5F8E" w:rsidP="004E5F8E">
      <w:pPr>
        <w:jc w:val="right"/>
        <w:rPr>
          <w:rFonts w:ascii="Times New Roman" w:hAnsi="Times New Roman" w:cs="Times New Roman"/>
        </w:rPr>
      </w:pPr>
    </w:p>
    <w:p w14:paraId="66A3510C" w14:textId="77777777" w:rsidR="004E5F8E" w:rsidRDefault="004E5F8E" w:rsidP="004E5F8E">
      <w:pPr>
        <w:jc w:val="right"/>
        <w:rPr>
          <w:rFonts w:ascii="Times New Roman" w:hAnsi="Times New Roman" w:cs="Times New Roman"/>
        </w:rPr>
      </w:pPr>
    </w:p>
    <w:p w14:paraId="3548CF3C" w14:textId="77777777" w:rsidR="004E5F8E" w:rsidRDefault="004E5F8E" w:rsidP="004E5F8E">
      <w:pPr>
        <w:jc w:val="right"/>
        <w:rPr>
          <w:rFonts w:ascii="Times New Roman" w:hAnsi="Times New Roman" w:cs="Times New Roman"/>
        </w:rPr>
      </w:pPr>
    </w:p>
    <w:p w14:paraId="4542F31C" w14:textId="77777777" w:rsidR="004E5F8E" w:rsidRDefault="004E5F8E" w:rsidP="004E5F8E">
      <w:pPr>
        <w:jc w:val="right"/>
        <w:rPr>
          <w:rFonts w:ascii="Times New Roman" w:hAnsi="Times New Roman" w:cs="Times New Roman"/>
        </w:rPr>
      </w:pPr>
    </w:p>
    <w:p w14:paraId="3475497F" w14:textId="77777777" w:rsidR="004E5F8E" w:rsidRDefault="004E5F8E" w:rsidP="004E5F8E">
      <w:pPr>
        <w:jc w:val="right"/>
        <w:rPr>
          <w:rFonts w:ascii="Times New Roman" w:hAnsi="Times New Roman" w:cs="Times New Roman"/>
        </w:rPr>
      </w:pPr>
    </w:p>
    <w:p w14:paraId="12915C30" w14:textId="77777777" w:rsidR="004E5F8E" w:rsidRDefault="004E5F8E" w:rsidP="004E5F8E">
      <w:pPr>
        <w:rPr>
          <w:rFonts w:ascii="Times New Roman" w:hAnsi="Times New Roman" w:cs="Times New Roman"/>
        </w:rPr>
      </w:pPr>
      <w:r>
        <w:rPr>
          <w:rFonts w:ascii="Times New Roman" w:hAnsi="Times New Roman" w:cs="Times New Roman"/>
        </w:rPr>
        <w:t>Supervisor: Nick Turnbull</w:t>
      </w:r>
    </w:p>
    <w:p w14:paraId="6D8A691D" w14:textId="6515BE6B" w:rsidR="004E5F8E" w:rsidRDefault="004E5F8E" w:rsidP="004E5F8E">
      <w:pPr>
        <w:rPr>
          <w:rFonts w:ascii="Times New Roman" w:hAnsi="Times New Roman" w:cs="Times New Roman"/>
        </w:rPr>
      </w:pPr>
      <w:r>
        <w:rPr>
          <w:rFonts w:ascii="Times New Roman" w:hAnsi="Times New Roman" w:cs="Times New Roman"/>
        </w:rPr>
        <w:t>Word Count:</w:t>
      </w:r>
      <w:r w:rsidR="00AB556E">
        <w:rPr>
          <w:rFonts w:ascii="Times New Roman" w:hAnsi="Times New Roman" w:cs="Times New Roman"/>
        </w:rPr>
        <w:t xml:space="preserve"> 5217</w:t>
      </w:r>
    </w:p>
    <w:p w14:paraId="71EF68E8" w14:textId="77777777" w:rsidR="004E5F8E" w:rsidRDefault="004E5F8E" w:rsidP="004E5F8E">
      <w:pPr>
        <w:jc w:val="right"/>
        <w:rPr>
          <w:rFonts w:ascii="Times New Roman" w:hAnsi="Times New Roman" w:cs="Times New Roman"/>
        </w:rPr>
      </w:pPr>
    </w:p>
    <w:p w14:paraId="0898715D" w14:textId="77777777" w:rsidR="004E5F8E" w:rsidRDefault="004E5F8E" w:rsidP="004E5F8E">
      <w:pPr>
        <w:jc w:val="right"/>
        <w:rPr>
          <w:rFonts w:ascii="Times New Roman" w:hAnsi="Times New Roman" w:cs="Times New Roman"/>
        </w:rPr>
      </w:pPr>
    </w:p>
    <w:p w14:paraId="5B41B19C" w14:textId="77777777" w:rsidR="004E5F8E" w:rsidRDefault="004E5F8E" w:rsidP="004E5F8E">
      <w:pPr>
        <w:jc w:val="right"/>
        <w:rPr>
          <w:rFonts w:ascii="Times New Roman" w:hAnsi="Times New Roman" w:cs="Times New Roman"/>
        </w:rPr>
      </w:pPr>
    </w:p>
    <w:p w14:paraId="024789B0" w14:textId="77777777" w:rsidR="004E5F8E" w:rsidRDefault="004E5F8E" w:rsidP="004E5F8E">
      <w:pPr>
        <w:jc w:val="right"/>
        <w:rPr>
          <w:rFonts w:ascii="Times New Roman" w:hAnsi="Times New Roman" w:cs="Times New Roman"/>
        </w:rPr>
      </w:pPr>
    </w:p>
    <w:p w14:paraId="0D79DA84" w14:textId="77777777" w:rsidR="004E5F8E" w:rsidRDefault="004E5F8E" w:rsidP="004E5F8E">
      <w:pPr>
        <w:jc w:val="right"/>
        <w:rPr>
          <w:rFonts w:ascii="Times New Roman" w:hAnsi="Times New Roman" w:cs="Times New Roman"/>
        </w:rPr>
      </w:pPr>
    </w:p>
    <w:p w14:paraId="16C0A890" w14:textId="77777777" w:rsidR="008C117C" w:rsidRDefault="008C117C" w:rsidP="004E5F8E">
      <w:pPr>
        <w:jc w:val="right"/>
        <w:rPr>
          <w:rFonts w:ascii="Times New Roman" w:hAnsi="Times New Roman" w:cs="Times New Roman"/>
        </w:rPr>
      </w:pPr>
    </w:p>
    <w:p w14:paraId="780F660A" w14:textId="7AA3C488" w:rsidR="008C117C" w:rsidRDefault="006C2EF9" w:rsidP="004E5F8E">
      <w:pPr>
        <w:jc w:val="right"/>
        <w:rPr>
          <w:rFonts w:ascii="Times New Roman" w:hAnsi="Times New Roman" w:cs="Times New Roman"/>
        </w:rPr>
      </w:pPr>
      <w:r>
        <w:rPr>
          <w:rFonts w:ascii="Times New Roman" w:hAnsi="Times New Roman" w:cs="Times New Roman"/>
        </w:rPr>
        <w:t xml:space="preserve">Academic </w:t>
      </w:r>
      <w:r w:rsidR="004E5F8E" w:rsidRPr="004E5F8E">
        <w:rPr>
          <w:rFonts w:ascii="Times New Roman" w:hAnsi="Times New Roman" w:cs="Times New Roman"/>
        </w:rPr>
        <w:t xml:space="preserve">Year </w:t>
      </w:r>
      <w:r>
        <w:rPr>
          <w:rFonts w:ascii="Times New Roman" w:hAnsi="Times New Roman" w:cs="Times New Roman"/>
        </w:rPr>
        <w:t>2015/</w:t>
      </w:r>
      <w:r w:rsidR="004E5F8E" w:rsidRPr="004E5F8E">
        <w:rPr>
          <w:rFonts w:ascii="Times New Roman" w:hAnsi="Times New Roman" w:cs="Times New Roman"/>
        </w:rPr>
        <w:t>2016</w:t>
      </w:r>
    </w:p>
    <w:p w14:paraId="51292E14" w14:textId="5F1B1412" w:rsidR="00AB6176" w:rsidRPr="0046269C" w:rsidRDefault="008C117C" w:rsidP="008E3352">
      <w:pPr>
        <w:spacing w:line="480" w:lineRule="auto"/>
        <w:rPr>
          <w:rFonts w:ascii="Times New Roman" w:hAnsi="Times New Roman" w:cs="Times New Roman"/>
          <w:b/>
        </w:rPr>
      </w:pPr>
      <w:r>
        <w:rPr>
          <w:rFonts w:ascii="Times New Roman" w:hAnsi="Times New Roman" w:cs="Times New Roman"/>
        </w:rPr>
        <w:br w:type="page"/>
      </w:r>
      <w:r w:rsidR="00AB6176" w:rsidRPr="00AB6176">
        <w:rPr>
          <w:rFonts w:ascii="Times New Roman" w:hAnsi="Times New Roman" w:cs="Times New Roman"/>
          <w:b/>
        </w:rPr>
        <w:lastRenderedPageBreak/>
        <w:t>Abstract</w:t>
      </w:r>
    </w:p>
    <w:p w14:paraId="42CEDEA2" w14:textId="362D840D" w:rsidR="008D395F" w:rsidRDefault="00470280" w:rsidP="008E3352">
      <w:pPr>
        <w:spacing w:line="480" w:lineRule="auto"/>
        <w:jc w:val="both"/>
        <w:rPr>
          <w:rFonts w:ascii="Times New Roman" w:hAnsi="Times New Roman" w:cs="Times New Roman"/>
        </w:rPr>
      </w:pPr>
      <w:r w:rsidRPr="002D225D">
        <w:rPr>
          <w:rFonts w:ascii="Times New Roman" w:hAnsi="Times New Roman" w:cs="Times New Roman"/>
        </w:rPr>
        <w:t xml:space="preserve">In 2012, </w:t>
      </w:r>
      <w:r w:rsidR="00DA752A">
        <w:rPr>
          <w:rFonts w:ascii="Times New Roman" w:hAnsi="Times New Roman" w:cs="Times New Roman"/>
        </w:rPr>
        <w:t xml:space="preserve">as </w:t>
      </w:r>
      <w:r w:rsidR="001E6F19">
        <w:rPr>
          <w:rFonts w:ascii="Times New Roman" w:hAnsi="Times New Roman" w:cs="Times New Roman"/>
        </w:rPr>
        <w:t>tuition fees of</w:t>
      </w:r>
      <w:r w:rsidR="00402D7B" w:rsidRPr="002D225D">
        <w:rPr>
          <w:rFonts w:ascii="Times New Roman" w:hAnsi="Times New Roman" w:cs="Times New Roman"/>
        </w:rPr>
        <w:t xml:space="preserve"> £9000</w:t>
      </w:r>
      <w:r w:rsidR="001E6F19">
        <w:rPr>
          <w:rFonts w:ascii="Times New Roman" w:hAnsi="Times New Roman" w:cs="Times New Roman"/>
        </w:rPr>
        <w:t>/ year were introduced a</w:t>
      </w:r>
      <w:r w:rsidR="00402D7B" w:rsidRPr="002D225D">
        <w:rPr>
          <w:rFonts w:ascii="Times New Roman" w:hAnsi="Times New Roman" w:cs="Times New Roman"/>
        </w:rPr>
        <w:t xml:space="preserve">long with many universities becoming private, higher education started to be studied as a market where students are considered </w:t>
      </w:r>
      <w:r w:rsidR="0009185E" w:rsidRPr="002D225D">
        <w:rPr>
          <w:rFonts w:ascii="Times New Roman" w:hAnsi="Times New Roman" w:cs="Times New Roman"/>
        </w:rPr>
        <w:t xml:space="preserve">customers purchasing </w:t>
      </w:r>
      <w:r w:rsidR="00D874D9" w:rsidRPr="002D225D">
        <w:rPr>
          <w:rFonts w:ascii="Times New Roman" w:hAnsi="Times New Roman" w:cs="Times New Roman"/>
        </w:rPr>
        <w:t>a product in the for</w:t>
      </w:r>
      <w:r w:rsidR="00906DD3" w:rsidRPr="002D225D">
        <w:rPr>
          <w:rFonts w:ascii="Times New Roman" w:hAnsi="Times New Roman" w:cs="Times New Roman"/>
        </w:rPr>
        <w:t xml:space="preserve">m </w:t>
      </w:r>
      <w:r w:rsidR="003879AF">
        <w:rPr>
          <w:rFonts w:ascii="Times New Roman" w:hAnsi="Times New Roman" w:cs="Times New Roman"/>
        </w:rPr>
        <w:t>of their education</w:t>
      </w:r>
      <w:r w:rsidR="00611A40" w:rsidRPr="002D225D">
        <w:rPr>
          <w:rFonts w:ascii="Times New Roman" w:hAnsi="Times New Roman" w:cs="Times New Roman"/>
        </w:rPr>
        <w:t>. This case study based at</w:t>
      </w:r>
      <w:r w:rsidR="0059518D" w:rsidRPr="002D225D">
        <w:rPr>
          <w:rFonts w:ascii="Times New Roman" w:hAnsi="Times New Roman" w:cs="Times New Roman"/>
        </w:rPr>
        <w:t xml:space="preserve"> the University of Manchester </w:t>
      </w:r>
      <w:r w:rsidR="00611A40" w:rsidRPr="002D225D">
        <w:rPr>
          <w:rFonts w:ascii="Times New Roman" w:hAnsi="Times New Roman" w:cs="Times New Roman"/>
        </w:rPr>
        <w:t xml:space="preserve">aims to </w:t>
      </w:r>
      <w:r w:rsidR="00BA2D2F" w:rsidRPr="002D225D">
        <w:rPr>
          <w:rFonts w:ascii="Times New Roman" w:hAnsi="Times New Roman" w:cs="Times New Roman"/>
        </w:rPr>
        <w:t xml:space="preserve">briefly </w:t>
      </w:r>
      <w:r w:rsidR="004731EE" w:rsidRPr="002D225D">
        <w:rPr>
          <w:rFonts w:ascii="Times New Roman" w:hAnsi="Times New Roman" w:cs="Times New Roman"/>
        </w:rPr>
        <w:t xml:space="preserve">establish whether higher tuition fees </w:t>
      </w:r>
      <w:r w:rsidR="009D2E7D" w:rsidRPr="002D225D">
        <w:rPr>
          <w:rFonts w:ascii="Times New Roman" w:hAnsi="Times New Roman" w:cs="Times New Roman"/>
        </w:rPr>
        <w:t>have</w:t>
      </w:r>
      <w:r w:rsidR="002F7345" w:rsidRPr="002D225D">
        <w:rPr>
          <w:rFonts w:ascii="Times New Roman" w:hAnsi="Times New Roman" w:cs="Times New Roman"/>
        </w:rPr>
        <w:t xml:space="preserve"> lead</w:t>
      </w:r>
      <w:r w:rsidR="004731EE" w:rsidRPr="002D225D">
        <w:rPr>
          <w:rFonts w:ascii="Times New Roman" w:hAnsi="Times New Roman" w:cs="Times New Roman"/>
        </w:rPr>
        <w:t xml:space="preserve"> students </w:t>
      </w:r>
      <w:r w:rsidR="002F7345" w:rsidRPr="002D225D">
        <w:rPr>
          <w:rFonts w:ascii="Times New Roman" w:hAnsi="Times New Roman" w:cs="Times New Roman"/>
        </w:rPr>
        <w:t>to act</w:t>
      </w:r>
      <w:r w:rsidR="004731EE" w:rsidRPr="002D225D">
        <w:rPr>
          <w:rFonts w:ascii="Times New Roman" w:hAnsi="Times New Roman" w:cs="Times New Roman"/>
        </w:rPr>
        <w:t xml:space="preserve"> as customers </w:t>
      </w:r>
      <w:r w:rsidR="009D2E7D" w:rsidRPr="002D225D">
        <w:rPr>
          <w:rFonts w:ascii="Times New Roman" w:hAnsi="Times New Roman" w:cs="Times New Roman"/>
        </w:rPr>
        <w:t>by</w:t>
      </w:r>
      <w:r w:rsidR="00A82E0D">
        <w:rPr>
          <w:rFonts w:ascii="Times New Roman" w:hAnsi="Times New Roman" w:cs="Times New Roman"/>
        </w:rPr>
        <w:t>: choosing their university and degree in order to get a return of their original investment, taking advantages of additional services</w:t>
      </w:r>
      <w:r w:rsidR="002F164B">
        <w:rPr>
          <w:rFonts w:ascii="Times New Roman" w:hAnsi="Times New Roman" w:cs="Times New Roman"/>
        </w:rPr>
        <w:t xml:space="preserve"> in order to maximise their time at university as well as enhancing their profile and finally by providing effective feedback</w:t>
      </w:r>
      <w:r w:rsidR="004F3DBB" w:rsidRPr="002D225D">
        <w:rPr>
          <w:rFonts w:ascii="Times New Roman" w:hAnsi="Times New Roman" w:cs="Times New Roman"/>
        </w:rPr>
        <w:t xml:space="preserve">. </w:t>
      </w:r>
      <w:r w:rsidR="00B44FE3">
        <w:rPr>
          <w:rFonts w:ascii="Times New Roman" w:hAnsi="Times New Roman" w:cs="Times New Roman"/>
        </w:rPr>
        <w:t xml:space="preserve">This article suggests that </w:t>
      </w:r>
      <w:r w:rsidR="0030435F">
        <w:rPr>
          <w:rFonts w:ascii="Times New Roman" w:hAnsi="Times New Roman" w:cs="Times New Roman"/>
        </w:rPr>
        <w:t>students</w:t>
      </w:r>
      <w:r w:rsidR="009D25BD">
        <w:rPr>
          <w:rFonts w:ascii="Times New Roman" w:hAnsi="Times New Roman" w:cs="Times New Roman"/>
        </w:rPr>
        <w:t xml:space="preserve"> surveyed</w:t>
      </w:r>
      <w:r w:rsidR="00EB76DE">
        <w:rPr>
          <w:rFonts w:ascii="Times New Roman" w:hAnsi="Times New Roman" w:cs="Times New Roman"/>
        </w:rPr>
        <w:t xml:space="preserve"> </w:t>
      </w:r>
      <w:r w:rsidR="00521841">
        <w:rPr>
          <w:rFonts w:ascii="Times New Roman" w:hAnsi="Times New Roman" w:cs="Times New Roman"/>
        </w:rPr>
        <w:t>do behave as customers on certain aspects</w:t>
      </w:r>
      <w:r w:rsidR="003879AF">
        <w:rPr>
          <w:rFonts w:ascii="Times New Roman" w:hAnsi="Times New Roman" w:cs="Times New Roman"/>
        </w:rPr>
        <w:t xml:space="preserve"> such as the choice of their university but would require to be more aware of what university entails and </w:t>
      </w:r>
      <w:r w:rsidR="00BC4F10">
        <w:rPr>
          <w:rFonts w:ascii="Times New Roman" w:hAnsi="Times New Roman" w:cs="Times New Roman"/>
        </w:rPr>
        <w:t xml:space="preserve">the </w:t>
      </w:r>
      <w:r w:rsidR="003879AF">
        <w:rPr>
          <w:rFonts w:ascii="Times New Roman" w:hAnsi="Times New Roman" w:cs="Times New Roman"/>
        </w:rPr>
        <w:t>requirements of the job market in orde</w:t>
      </w:r>
      <w:r w:rsidR="004F02B0">
        <w:rPr>
          <w:rFonts w:ascii="Times New Roman" w:hAnsi="Times New Roman" w:cs="Times New Roman"/>
        </w:rPr>
        <w:t xml:space="preserve">r to fit the </w:t>
      </w:r>
      <w:r w:rsidR="00CF5581">
        <w:rPr>
          <w:rFonts w:ascii="Times New Roman" w:hAnsi="Times New Roman" w:cs="Times New Roman"/>
        </w:rPr>
        <w:t xml:space="preserve">customer </w:t>
      </w:r>
      <w:r w:rsidR="004F02B0">
        <w:rPr>
          <w:rFonts w:ascii="Times New Roman" w:hAnsi="Times New Roman" w:cs="Times New Roman"/>
        </w:rPr>
        <w:t>analogy</w:t>
      </w:r>
      <w:r w:rsidR="00744735">
        <w:rPr>
          <w:rFonts w:ascii="Times New Roman" w:hAnsi="Times New Roman" w:cs="Times New Roman"/>
        </w:rPr>
        <w:t>. The fact that most student are not aware of the cost of their education due to the use of loans is also discussed as a</w:t>
      </w:r>
      <w:r w:rsidR="00BE2548">
        <w:rPr>
          <w:rFonts w:ascii="Times New Roman" w:hAnsi="Times New Roman" w:cs="Times New Roman"/>
        </w:rPr>
        <w:t>n</w:t>
      </w:r>
      <w:r w:rsidR="00744735">
        <w:rPr>
          <w:rFonts w:ascii="Times New Roman" w:hAnsi="Times New Roman" w:cs="Times New Roman"/>
        </w:rPr>
        <w:t xml:space="preserve"> </w:t>
      </w:r>
      <w:r w:rsidR="00BE2548">
        <w:rPr>
          <w:rFonts w:ascii="Times New Roman" w:hAnsi="Times New Roman" w:cs="Times New Roman"/>
        </w:rPr>
        <w:t xml:space="preserve">unfavourable </w:t>
      </w:r>
      <w:r w:rsidR="00744735">
        <w:rPr>
          <w:rFonts w:ascii="Times New Roman" w:hAnsi="Times New Roman" w:cs="Times New Roman"/>
        </w:rPr>
        <w:t xml:space="preserve">reason </w:t>
      </w:r>
      <w:r w:rsidR="00EE3A10">
        <w:rPr>
          <w:rFonts w:ascii="Times New Roman" w:hAnsi="Times New Roman" w:cs="Times New Roman"/>
        </w:rPr>
        <w:t>to th</w:t>
      </w:r>
      <w:r w:rsidR="00CF5581">
        <w:rPr>
          <w:rFonts w:ascii="Times New Roman" w:hAnsi="Times New Roman" w:cs="Times New Roman"/>
        </w:rPr>
        <w:t>e use of the customer notion on the student population</w:t>
      </w:r>
      <w:r w:rsidR="00EE3A10">
        <w:rPr>
          <w:rFonts w:ascii="Times New Roman" w:hAnsi="Times New Roman" w:cs="Times New Roman"/>
        </w:rPr>
        <w:t xml:space="preserve">. </w:t>
      </w:r>
    </w:p>
    <w:p w14:paraId="17A52949" w14:textId="77777777" w:rsidR="009D25BD" w:rsidRPr="002D225D" w:rsidRDefault="009D25BD" w:rsidP="008E3352">
      <w:pPr>
        <w:spacing w:line="480" w:lineRule="auto"/>
        <w:jc w:val="both"/>
        <w:rPr>
          <w:rFonts w:ascii="Times New Roman" w:hAnsi="Times New Roman" w:cs="Times New Roman"/>
        </w:rPr>
      </w:pPr>
    </w:p>
    <w:p w14:paraId="153FD0E2" w14:textId="1B761952" w:rsidR="008D395F" w:rsidRDefault="008D395F" w:rsidP="008E3352">
      <w:pPr>
        <w:spacing w:line="480" w:lineRule="auto"/>
        <w:jc w:val="both"/>
        <w:rPr>
          <w:rFonts w:ascii="Times New Roman" w:hAnsi="Times New Roman" w:cs="Times New Roman"/>
        </w:rPr>
      </w:pPr>
      <w:r w:rsidRPr="002D225D">
        <w:rPr>
          <w:rFonts w:ascii="Times New Roman" w:hAnsi="Times New Roman" w:cs="Times New Roman"/>
        </w:rPr>
        <w:t>Key word</w:t>
      </w:r>
      <w:r w:rsidR="00973E4A">
        <w:rPr>
          <w:rFonts w:ascii="Times New Roman" w:hAnsi="Times New Roman" w:cs="Times New Roman"/>
        </w:rPr>
        <w:t>s</w:t>
      </w:r>
      <w:r w:rsidRPr="002D225D">
        <w:rPr>
          <w:rFonts w:ascii="Times New Roman" w:hAnsi="Times New Roman" w:cs="Times New Roman"/>
        </w:rPr>
        <w:t xml:space="preserve">: </w:t>
      </w:r>
      <w:r w:rsidR="00A11299">
        <w:rPr>
          <w:rFonts w:ascii="Times New Roman" w:hAnsi="Times New Roman" w:cs="Times New Roman"/>
        </w:rPr>
        <w:t xml:space="preserve">student's </w:t>
      </w:r>
      <w:r w:rsidR="00CF5581">
        <w:rPr>
          <w:rFonts w:ascii="Times New Roman" w:hAnsi="Times New Roman" w:cs="Times New Roman"/>
        </w:rPr>
        <w:t>behaviour</w:t>
      </w:r>
      <w:r w:rsidR="00BE2548">
        <w:rPr>
          <w:rFonts w:ascii="Times New Roman" w:hAnsi="Times New Roman" w:cs="Times New Roman"/>
        </w:rPr>
        <w:t>, student-as-custome</w:t>
      </w:r>
      <w:r w:rsidRPr="002D225D">
        <w:rPr>
          <w:rFonts w:ascii="Times New Roman" w:hAnsi="Times New Roman" w:cs="Times New Roman"/>
        </w:rPr>
        <w:t>r concept, tuition fees</w:t>
      </w:r>
      <w:r w:rsidR="00973E4A">
        <w:rPr>
          <w:rFonts w:ascii="Times New Roman" w:hAnsi="Times New Roman" w:cs="Times New Roman"/>
        </w:rPr>
        <w:t xml:space="preserve">, </w:t>
      </w:r>
      <w:r w:rsidR="00C56152">
        <w:rPr>
          <w:rFonts w:ascii="Times New Roman" w:hAnsi="Times New Roman" w:cs="Times New Roman"/>
        </w:rPr>
        <w:t>higher education</w:t>
      </w:r>
    </w:p>
    <w:p w14:paraId="7CB82F94" w14:textId="77777777" w:rsidR="0057314F" w:rsidRDefault="0057314F" w:rsidP="008E3352">
      <w:pPr>
        <w:spacing w:line="480" w:lineRule="auto"/>
        <w:rPr>
          <w:rFonts w:ascii="Times New Roman" w:hAnsi="Times New Roman" w:cs="Times New Roman"/>
        </w:rPr>
      </w:pPr>
    </w:p>
    <w:p w14:paraId="7DE81E9A" w14:textId="2CDDD7CC" w:rsidR="0064001F" w:rsidRDefault="0064001F" w:rsidP="0046269C">
      <w:pPr>
        <w:spacing w:line="480" w:lineRule="auto"/>
        <w:rPr>
          <w:rFonts w:ascii="Times New Roman" w:hAnsi="Times New Roman" w:cs="Times New Roman"/>
        </w:rPr>
      </w:pPr>
      <w:r w:rsidRPr="0064001F">
        <w:rPr>
          <w:rFonts w:ascii="Times New Roman" w:hAnsi="Times New Roman" w:cs="Times New Roman"/>
          <w:b/>
        </w:rPr>
        <w:t>Introduction</w:t>
      </w:r>
    </w:p>
    <w:p w14:paraId="5B8A2C92" w14:textId="553BDE26" w:rsidR="00147BD1" w:rsidRPr="009F7926" w:rsidRDefault="00A12630" w:rsidP="008E3352">
      <w:pPr>
        <w:pStyle w:val="ListParagraph"/>
        <w:spacing w:line="480" w:lineRule="auto"/>
        <w:ind w:left="0"/>
        <w:jc w:val="both"/>
        <w:rPr>
          <w:rFonts w:ascii="Times New Roman" w:hAnsi="Times New Roman" w:cs="Times New Roman"/>
        </w:rPr>
      </w:pPr>
      <w:r w:rsidRPr="009F7926">
        <w:rPr>
          <w:rFonts w:ascii="Times New Roman" w:hAnsi="Times New Roman" w:cs="Times New Roman"/>
        </w:rPr>
        <w:t>Student</w:t>
      </w:r>
      <w:r w:rsidR="00F60EA0" w:rsidRPr="009F7926">
        <w:rPr>
          <w:rFonts w:ascii="Times New Roman" w:hAnsi="Times New Roman" w:cs="Times New Roman"/>
        </w:rPr>
        <w:t>s</w:t>
      </w:r>
      <w:r w:rsidRPr="009F7926">
        <w:rPr>
          <w:rFonts w:ascii="Times New Roman" w:hAnsi="Times New Roman" w:cs="Times New Roman"/>
        </w:rPr>
        <w:t>'</w:t>
      </w:r>
      <w:r w:rsidR="00F60EA0" w:rsidRPr="009F7926">
        <w:rPr>
          <w:rFonts w:ascii="Times New Roman" w:hAnsi="Times New Roman" w:cs="Times New Roman"/>
        </w:rPr>
        <w:t xml:space="preserve"> behaviour and the application of the customer concept </w:t>
      </w:r>
      <w:r w:rsidR="00AF3E29" w:rsidRPr="009F7926">
        <w:rPr>
          <w:rFonts w:ascii="Times New Roman" w:hAnsi="Times New Roman" w:cs="Times New Roman"/>
        </w:rPr>
        <w:t>have</w:t>
      </w:r>
      <w:r w:rsidR="004D1490" w:rsidRPr="009F7926">
        <w:rPr>
          <w:rFonts w:ascii="Times New Roman" w:hAnsi="Times New Roman" w:cs="Times New Roman"/>
        </w:rPr>
        <w:t xml:space="preserve"> been widely studied related to the rise of tuition fees</w:t>
      </w:r>
      <w:r w:rsidR="00220931" w:rsidRPr="009F7926">
        <w:rPr>
          <w:rFonts w:ascii="Times New Roman" w:hAnsi="Times New Roman" w:cs="Times New Roman"/>
        </w:rPr>
        <w:t xml:space="preserve"> in 2012</w:t>
      </w:r>
      <w:r w:rsidR="003D323D" w:rsidRPr="009F7926">
        <w:rPr>
          <w:rFonts w:ascii="Times New Roman" w:hAnsi="Times New Roman" w:cs="Times New Roman"/>
        </w:rPr>
        <w:t xml:space="preserve"> (</w:t>
      </w:r>
      <w:r w:rsidR="00073FFB">
        <w:rPr>
          <w:rFonts w:ascii="Times New Roman" w:hAnsi="Times New Roman" w:cs="Times New Roman"/>
          <w:lang w:val="fr-FR"/>
        </w:rPr>
        <w:t xml:space="preserve">Wilkins </w:t>
      </w:r>
      <w:r w:rsidR="00073FFB" w:rsidRPr="00073FFB">
        <w:rPr>
          <w:rFonts w:ascii="Times New Roman" w:hAnsi="Times New Roman" w:cs="Times New Roman"/>
          <w:i/>
          <w:lang w:val="fr-FR"/>
        </w:rPr>
        <w:t>et al</w:t>
      </w:r>
      <w:r w:rsidR="003D323D" w:rsidRPr="009F7926">
        <w:rPr>
          <w:rFonts w:ascii="Times New Roman" w:hAnsi="Times New Roman" w:cs="Times New Roman"/>
          <w:lang w:val="fr-FR"/>
        </w:rPr>
        <w:t>, 2013</w:t>
      </w:r>
      <w:r w:rsidR="003D323D" w:rsidRPr="009F7926">
        <w:rPr>
          <w:rFonts w:ascii="Times New Roman" w:hAnsi="Times New Roman" w:cs="Times New Roman"/>
        </w:rPr>
        <w:t>).</w:t>
      </w:r>
      <w:r w:rsidR="00AD2F86">
        <w:rPr>
          <w:rFonts w:ascii="Times New Roman" w:hAnsi="Times New Roman" w:cs="Times New Roman"/>
        </w:rPr>
        <w:t xml:space="preserve"> </w:t>
      </w:r>
      <w:r w:rsidR="00352258" w:rsidRPr="009F7926">
        <w:rPr>
          <w:rFonts w:ascii="Times New Roman" w:hAnsi="Times New Roman" w:cs="Times New Roman"/>
        </w:rPr>
        <w:t xml:space="preserve">The analogy supposes that education or a degree can be bought. </w:t>
      </w:r>
      <w:r w:rsidR="002D5BEE" w:rsidRPr="009F7926">
        <w:rPr>
          <w:rFonts w:ascii="Times New Roman" w:hAnsi="Times New Roman" w:cs="Times New Roman"/>
        </w:rPr>
        <w:t xml:space="preserve">Students become customers by exchanging a substantial amount of money </w:t>
      </w:r>
      <w:r w:rsidR="00567C1C" w:rsidRPr="009F7926">
        <w:rPr>
          <w:rFonts w:ascii="Times New Roman" w:hAnsi="Times New Roman" w:cs="Times New Roman"/>
        </w:rPr>
        <w:t xml:space="preserve">for </w:t>
      </w:r>
      <w:r w:rsidR="009572CB" w:rsidRPr="009F7926">
        <w:rPr>
          <w:rFonts w:ascii="Times New Roman" w:hAnsi="Times New Roman" w:cs="Times New Roman"/>
        </w:rPr>
        <w:t xml:space="preserve">knowledge through </w:t>
      </w:r>
      <w:r w:rsidR="00847D11" w:rsidRPr="009F7926">
        <w:rPr>
          <w:rFonts w:ascii="Times New Roman" w:hAnsi="Times New Roman" w:cs="Times New Roman"/>
        </w:rPr>
        <w:t>taking</w:t>
      </w:r>
      <w:r w:rsidR="009572CB" w:rsidRPr="009F7926">
        <w:rPr>
          <w:rFonts w:ascii="Times New Roman" w:hAnsi="Times New Roman" w:cs="Times New Roman"/>
        </w:rPr>
        <w:t xml:space="preserve"> a course</w:t>
      </w:r>
      <w:r w:rsidR="00F11189" w:rsidRPr="009F7926">
        <w:rPr>
          <w:rFonts w:ascii="Times New Roman" w:hAnsi="Times New Roman" w:cs="Times New Roman"/>
        </w:rPr>
        <w:t xml:space="preserve"> whilst universities become </w:t>
      </w:r>
      <w:r w:rsidR="00EE27E4" w:rsidRPr="009F7926">
        <w:rPr>
          <w:rFonts w:ascii="Times New Roman" w:hAnsi="Times New Roman" w:cs="Times New Roman"/>
        </w:rPr>
        <w:t>extremely flexible</w:t>
      </w:r>
      <w:r w:rsidR="00847D11" w:rsidRPr="009F7926">
        <w:rPr>
          <w:rFonts w:ascii="Times New Roman" w:hAnsi="Times New Roman" w:cs="Times New Roman"/>
        </w:rPr>
        <w:t xml:space="preserve"> and</w:t>
      </w:r>
      <w:r w:rsidR="00CE1F89" w:rsidRPr="009F7926">
        <w:rPr>
          <w:rFonts w:ascii="Times New Roman" w:hAnsi="Times New Roman" w:cs="Times New Roman"/>
        </w:rPr>
        <w:t xml:space="preserve"> responsive</w:t>
      </w:r>
      <w:r w:rsidR="00EE27E4" w:rsidRPr="009F7926">
        <w:rPr>
          <w:rFonts w:ascii="Times New Roman" w:hAnsi="Times New Roman" w:cs="Times New Roman"/>
        </w:rPr>
        <w:t xml:space="preserve"> entities focused on providing the best customer service</w:t>
      </w:r>
      <w:r w:rsidR="0085671C" w:rsidRPr="009F7926">
        <w:rPr>
          <w:rFonts w:ascii="Times New Roman" w:hAnsi="Times New Roman" w:cs="Times New Roman"/>
        </w:rPr>
        <w:t xml:space="preserve"> (</w:t>
      </w:r>
      <w:r w:rsidR="0085671C" w:rsidRPr="009F7926">
        <w:rPr>
          <w:rFonts w:ascii="Times New Roman" w:hAnsi="Times New Roman" w:cs="Times New Roman"/>
          <w:lang w:val="fr-FR"/>
        </w:rPr>
        <w:t>Snare, 1997).</w:t>
      </w:r>
      <w:r w:rsidR="0085671C" w:rsidRPr="009F7926">
        <w:rPr>
          <w:rFonts w:ascii="Times New Roman" w:hAnsi="Times New Roman" w:cs="Times New Roman"/>
        </w:rPr>
        <w:t xml:space="preserve"> </w:t>
      </w:r>
      <w:r w:rsidR="00310CFE" w:rsidRPr="009F7926">
        <w:rPr>
          <w:rFonts w:ascii="Times New Roman" w:hAnsi="Times New Roman" w:cs="Times New Roman"/>
        </w:rPr>
        <w:t xml:space="preserve">It is extremely debated whether or not students </w:t>
      </w:r>
      <w:r w:rsidR="00D01DB0" w:rsidRPr="009F7926">
        <w:rPr>
          <w:rFonts w:ascii="Times New Roman" w:hAnsi="Times New Roman" w:cs="Times New Roman"/>
        </w:rPr>
        <w:t xml:space="preserve">can be assimilated as </w:t>
      </w:r>
      <w:r w:rsidR="00310CFE" w:rsidRPr="009F7926">
        <w:rPr>
          <w:rFonts w:ascii="Times New Roman" w:hAnsi="Times New Roman" w:cs="Times New Roman"/>
        </w:rPr>
        <w:t>customers</w:t>
      </w:r>
      <w:r w:rsidR="00847D11" w:rsidRPr="009F7926">
        <w:rPr>
          <w:rFonts w:ascii="Times New Roman" w:hAnsi="Times New Roman" w:cs="Times New Roman"/>
        </w:rPr>
        <w:t xml:space="preserve"> </w:t>
      </w:r>
      <w:r w:rsidR="00847D11" w:rsidRPr="009F7926">
        <w:rPr>
          <w:rFonts w:ascii="Times New Roman" w:hAnsi="Times New Roman" w:cs="Times New Roman"/>
        </w:rPr>
        <w:lastRenderedPageBreak/>
        <w:t>however the literature</w:t>
      </w:r>
      <w:r w:rsidR="00570E8E" w:rsidRPr="009F7926">
        <w:rPr>
          <w:rFonts w:ascii="Times New Roman" w:hAnsi="Times New Roman" w:cs="Times New Roman"/>
        </w:rPr>
        <w:t xml:space="preserve"> does settle on</w:t>
      </w:r>
      <w:r w:rsidR="006C2EF9">
        <w:rPr>
          <w:rFonts w:ascii="Times New Roman" w:hAnsi="Times New Roman" w:cs="Times New Roman"/>
        </w:rPr>
        <w:t xml:space="preserve"> </w:t>
      </w:r>
      <w:r w:rsidR="00932B2F" w:rsidRPr="009F7926">
        <w:rPr>
          <w:rFonts w:ascii="Times New Roman" w:hAnsi="Times New Roman" w:cs="Times New Roman"/>
        </w:rPr>
        <w:t>certain characteristic</w:t>
      </w:r>
      <w:r w:rsidR="009C6F42" w:rsidRPr="009F7926">
        <w:rPr>
          <w:rFonts w:ascii="Times New Roman" w:hAnsi="Times New Roman" w:cs="Times New Roman"/>
        </w:rPr>
        <w:t xml:space="preserve"> that the customer metaphor enta</w:t>
      </w:r>
      <w:r w:rsidR="006E5C5C" w:rsidRPr="009F7926">
        <w:rPr>
          <w:rFonts w:ascii="Times New Roman" w:hAnsi="Times New Roman" w:cs="Times New Roman"/>
        </w:rPr>
        <w:t>ils</w:t>
      </w:r>
      <w:r w:rsidR="00973323">
        <w:rPr>
          <w:rFonts w:ascii="Times New Roman" w:hAnsi="Times New Roman" w:cs="Times New Roman"/>
        </w:rPr>
        <w:t xml:space="preserve"> when</w:t>
      </w:r>
      <w:r w:rsidR="00CB72EC" w:rsidRPr="009F7926">
        <w:rPr>
          <w:rFonts w:ascii="Times New Roman" w:hAnsi="Times New Roman" w:cs="Times New Roman"/>
        </w:rPr>
        <w:t xml:space="preserve"> applied to the market of higher education</w:t>
      </w:r>
      <w:r w:rsidR="006E5C5C" w:rsidRPr="009F7926">
        <w:rPr>
          <w:rFonts w:ascii="Times New Roman" w:hAnsi="Times New Roman" w:cs="Times New Roman"/>
        </w:rPr>
        <w:t>.</w:t>
      </w:r>
    </w:p>
    <w:p w14:paraId="4B3E3D77" w14:textId="160637AB" w:rsidR="006E5C5C" w:rsidRPr="009F7926" w:rsidRDefault="00932B2F" w:rsidP="008E3352">
      <w:pPr>
        <w:pStyle w:val="ListParagraph"/>
        <w:spacing w:line="480" w:lineRule="auto"/>
        <w:ind w:left="0"/>
        <w:jc w:val="both"/>
        <w:rPr>
          <w:rFonts w:ascii="Times New Roman" w:hAnsi="Times New Roman" w:cs="Times New Roman"/>
        </w:rPr>
      </w:pPr>
      <w:r w:rsidRPr="009F7926">
        <w:rPr>
          <w:rFonts w:ascii="Times New Roman" w:hAnsi="Times New Roman" w:cs="Times New Roman"/>
        </w:rPr>
        <w:t>O</w:t>
      </w:r>
      <w:r w:rsidR="00F64114" w:rsidRPr="009F7926">
        <w:rPr>
          <w:rFonts w:ascii="Times New Roman" w:hAnsi="Times New Roman" w:cs="Times New Roman"/>
        </w:rPr>
        <w:t>ne considered as a customer should be able to complain</w:t>
      </w:r>
      <w:r w:rsidR="006615B5" w:rsidRPr="009F7926">
        <w:rPr>
          <w:rFonts w:ascii="Times New Roman" w:hAnsi="Times New Roman" w:cs="Times New Roman"/>
        </w:rPr>
        <w:t xml:space="preserve"> about the product bought</w:t>
      </w:r>
      <w:r w:rsidR="00705F72" w:rsidRPr="009F7926">
        <w:rPr>
          <w:rFonts w:ascii="Times New Roman" w:hAnsi="Times New Roman" w:cs="Times New Roman"/>
        </w:rPr>
        <w:t xml:space="preserve"> and expect </w:t>
      </w:r>
      <w:r w:rsidR="00362D6A" w:rsidRPr="009F7926">
        <w:rPr>
          <w:rFonts w:ascii="Times New Roman" w:hAnsi="Times New Roman" w:cs="Times New Roman"/>
        </w:rPr>
        <w:t>appropriate feedback</w:t>
      </w:r>
      <w:r w:rsidR="003A2E77" w:rsidRPr="009F7926">
        <w:rPr>
          <w:rFonts w:ascii="Times New Roman" w:hAnsi="Times New Roman" w:cs="Times New Roman"/>
        </w:rPr>
        <w:t>: i</w:t>
      </w:r>
      <w:r w:rsidR="001B6610" w:rsidRPr="009F7926">
        <w:rPr>
          <w:rFonts w:ascii="Times New Roman" w:hAnsi="Times New Roman" w:cs="Times New Roman"/>
        </w:rPr>
        <w:t>t is one of its primary</w:t>
      </w:r>
      <w:r w:rsidR="00EC26A5" w:rsidRPr="009F7926">
        <w:rPr>
          <w:rFonts w:ascii="Times New Roman" w:hAnsi="Times New Roman" w:cs="Times New Roman"/>
        </w:rPr>
        <w:t xml:space="preserve"> </w:t>
      </w:r>
      <w:r w:rsidR="001B6610" w:rsidRPr="009F7926">
        <w:rPr>
          <w:rFonts w:ascii="Times New Roman" w:hAnsi="Times New Roman" w:cs="Times New Roman"/>
        </w:rPr>
        <w:t xml:space="preserve">feature. </w:t>
      </w:r>
      <w:r w:rsidR="003361B1" w:rsidRPr="009F7926">
        <w:rPr>
          <w:rFonts w:ascii="Times New Roman" w:hAnsi="Times New Roman" w:cs="Times New Roman"/>
        </w:rPr>
        <w:t xml:space="preserve">In this case, it most </w:t>
      </w:r>
      <w:r w:rsidR="003C40D4" w:rsidRPr="009F7926">
        <w:rPr>
          <w:rFonts w:ascii="Times New Roman" w:hAnsi="Times New Roman" w:cs="Times New Roman"/>
        </w:rPr>
        <w:t>usually</w:t>
      </w:r>
      <w:r w:rsidR="003361B1" w:rsidRPr="009F7926">
        <w:rPr>
          <w:rFonts w:ascii="Times New Roman" w:hAnsi="Times New Roman" w:cs="Times New Roman"/>
        </w:rPr>
        <w:t xml:space="preserve"> regards grades </w:t>
      </w:r>
      <w:r w:rsidR="003C40D4" w:rsidRPr="009F7926">
        <w:rPr>
          <w:rFonts w:ascii="Times New Roman" w:hAnsi="Times New Roman" w:cs="Times New Roman"/>
        </w:rPr>
        <w:t>received from</w:t>
      </w:r>
      <w:r w:rsidR="00711BF6" w:rsidRPr="009F7926">
        <w:rPr>
          <w:rFonts w:ascii="Times New Roman" w:hAnsi="Times New Roman" w:cs="Times New Roman"/>
        </w:rPr>
        <w:t xml:space="preserve"> a</w:t>
      </w:r>
      <w:r w:rsidR="003C40D4" w:rsidRPr="009F7926">
        <w:rPr>
          <w:rFonts w:ascii="Times New Roman" w:hAnsi="Times New Roman" w:cs="Times New Roman"/>
        </w:rPr>
        <w:t xml:space="preserve">ssignments and examinations. </w:t>
      </w:r>
      <w:r w:rsidR="006615B5" w:rsidRPr="009F7926">
        <w:rPr>
          <w:rFonts w:ascii="Times New Roman" w:hAnsi="Times New Roman" w:cs="Times New Roman"/>
        </w:rPr>
        <w:t>I</w:t>
      </w:r>
      <w:r w:rsidR="003C40D4" w:rsidRPr="009F7926">
        <w:rPr>
          <w:rFonts w:ascii="Times New Roman" w:hAnsi="Times New Roman" w:cs="Times New Roman"/>
        </w:rPr>
        <w:t>t could also concern services provided by university such as the Students' Union or the structure and modules of the course taken.</w:t>
      </w:r>
      <w:r w:rsidR="007634EB" w:rsidRPr="009F7926">
        <w:rPr>
          <w:rFonts w:ascii="Times New Roman" w:hAnsi="Times New Roman" w:cs="Times New Roman"/>
        </w:rPr>
        <w:t xml:space="preserve"> </w:t>
      </w:r>
      <w:r w:rsidRPr="009F7926">
        <w:rPr>
          <w:rFonts w:ascii="Times New Roman" w:hAnsi="Times New Roman" w:cs="Times New Roman"/>
        </w:rPr>
        <w:t xml:space="preserve">This point </w:t>
      </w:r>
      <w:r w:rsidR="00D24CA4" w:rsidRPr="009F7926">
        <w:rPr>
          <w:rFonts w:ascii="Times New Roman" w:hAnsi="Times New Roman" w:cs="Times New Roman"/>
        </w:rPr>
        <w:t>translates through</w:t>
      </w:r>
      <w:r w:rsidRPr="009F7926">
        <w:rPr>
          <w:rFonts w:ascii="Times New Roman" w:hAnsi="Times New Roman" w:cs="Times New Roman"/>
        </w:rPr>
        <w:t xml:space="preserve"> the impact of the National Student</w:t>
      </w:r>
      <w:r w:rsidR="00D24CA4" w:rsidRPr="009F7926">
        <w:rPr>
          <w:rFonts w:ascii="Times New Roman" w:hAnsi="Times New Roman" w:cs="Times New Roman"/>
        </w:rPr>
        <w:t xml:space="preserve"> Survey on aspiring graduate</w:t>
      </w:r>
      <w:r w:rsidR="00FD3FCB" w:rsidRPr="009F7926">
        <w:rPr>
          <w:rFonts w:ascii="Times New Roman" w:hAnsi="Times New Roman" w:cs="Times New Roman"/>
        </w:rPr>
        <w:t>s</w:t>
      </w:r>
      <w:r w:rsidR="007F245C" w:rsidRPr="009F7926">
        <w:rPr>
          <w:rFonts w:ascii="Times New Roman" w:hAnsi="Times New Roman" w:cs="Times New Roman"/>
        </w:rPr>
        <w:t xml:space="preserve"> and the influence of peers. In fact, if the university does not respond effectively to the critics made by those who have purchased its product</w:t>
      </w:r>
      <w:r w:rsidR="00362D6A" w:rsidRPr="009F7926">
        <w:rPr>
          <w:rFonts w:ascii="Times New Roman" w:hAnsi="Times New Roman" w:cs="Times New Roman"/>
        </w:rPr>
        <w:t>s, its reputation and thus its worth to potential employers will go down among the students community</w:t>
      </w:r>
      <w:r w:rsidR="00461278" w:rsidRPr="009F7926">
        <w:rPr>
          <w:rFonts w:ascii="Times New Roman" w:hAnsi="Times New Roman" w:cs="Times New Roman"/>
        </w:rPr>
        <w:t xml:space="preserve"> (</w:t>
      </w:r>
      <w:r w:rsidR="00461278" w:rsidRPr="009F7926">
        <w:rPr>
          <w:rFonts w:ascii="Times New Roman" w:hAnsi="Times New Roman" w:cs="Times New Roman"/>
          <w:lang w:val="fr-FR"/>
        </w:rPr>
        <w:t xml:space="preserve">Eagle and Brennan, 2007; </w:t>
      </w:r>
      <w:r w:rsidR="004D3C23" w:rsidRPr="00B73DA9">
        <w:rPr>
          <w:rFonts w:ascii="Times New Roman" w:hAnsi="Times New Roman" w:cs="Times New Roman"/>
          <w:lang w:val="fr-FR"/>
        </w:rPr>
        <w:t xml:space="preserve">Svensson and Wood, 2007; </w:t>
      </w:r>
      <w:r w:rsidR="005F2063" w:rsidRPr="00B73DA9">
        <w:rPr>
          <w:rFonts w:ascii="Times New Roman" w:hAnsi="Times New Roman" w:cs="Times New Roman"/>
          <w:lang w:val="fr-FR"/>
        </w:rPr>
        <w:t>Watjatrakul, 2014</w:t>
      </w:r>
      <w:r w:rsidR="00B629DB" w:rsidRPr="00B73DA9">
        <w:rPr>
          <w:rFonts w:ascii="Times New Roman" w:hAnsi="Times New Roman" w:cs="Times New Roman"/>
          <w:lang w:val="fr-FR"/>
        </w:rPr>
        <w:t>; Posner, 2002</w:t>
      </w:r>
      <w:r w:rsidR="001C7486" w:rsidRPr="00B73DA9">
        <w:rPr>
          <w:rFonts w:ascii="Times New Roman" w:hAnsi="Times New Roman" w:cs="Times New Roman"/>
          <w:lang w:val="fr-FR"/>
        </w:rPr>
        <w:t>; Woodall et al, 2012</w:t>
      </w:r>
      <w:r w:rsidR="00B73DA9" w:rsidRPr="00B73DA9">
        <w:rPr>
          <w:rFonts w:ascii="Times New Roman" w:hAnsi="Times New Roman" w:cs="Times New Roman"/>
          <w:lang w:val="fr-FR"/>
        </w:rPr>
        <w:t>; Collini, 2010</w:t>
      </w:r>
      <w:r w:rsidR="005F2063" w:rsidRPr="009F7926">
        <w:rPr>
          <w:rFonts w:ascii="Times New Roman" w:hAnsi="Times New Roman" w:cs="Times New Roman"/>
          <w:lang w:val="fr-FR"/>
        </w:rPr>
        <w:t>)</w:t>
      </w:r>
      <w:r w:rsidR="006460EB" w:rsidRPr="009F7926">
        <w:rPr>
          <w:rFonts w:ascii="Times New Roman" w:hAnsi="Times New Roman" w:cs="Times New Roman"/>
        </w:rPr>
        <w:t>.</w:t>
      </w:r>
      <w:r w:rsidR="00362D6A" w:rsidRPr="009F7926">
        <w:rPr>
          <w:rFonts w:ascii="Times New Roman" w:hAnsi="Times New Roman" w:cs="Times New Roman"/>
        </w:rPr>
        <w:t xml:space="preserve"> </w:t>
      </w:r>
    </w:p>
    <w:p w14:paraId="36452B33" w14:textId="3F73011D" w:rsidR="00551E8D" w:rsidRPr="00973323" w:rsidRDefault="0057000C" w:rsidP="008E3352">
      <w:pPr>
        <w:pStyle w:val="ListParagraph"/>
        <w:spacing w:line="480" w:lineRule="auto"/>
        <w:ind w:left="0"/>
        <w:jc w:val="both"/>
        <w:rPr>
          <w:rFonts w:ascii="Times New Roman" w:hAnsi="Times New Roman" w:cs="Times New Roman"/>
          <w:lang w:val="fr-FR"/>
        </w:rPr>
      </w:pPr>
      <w:r w:rsidRPr="009F7926">
        <w:rPr>
          <w:rFonts w:ascii="Times New Roman" w:hAnsi="Times New Roman" w:cs="Times New Roman"/>
        </w:rPr>
        <w:t>However,</w:t>
      </w:r>
      <w:r w:rsidR="001D3F86" w:rsidRPr="009F7926">
        <w:rPr>
          <w:rFonts w:ascii="Times New Roman" w:hAnsi="Times New Roman" w:cs="Times New Roman"/>
        </w:rPr>
        <w:t xml:space="preserve"> there are multiple</w:t>
      </w:r>
      <w:r w:rsidRPr="009F7926">
        <w:rPr>
          <w:rFonts w:ascii="Times New Roman" w:hAnsi="Times New Roman" w:cs="Times New Roman"/>
        </w:rPr>
        <w:t xml:space="preserve"> point</w:t>
      </w:r>
      <w:r w:rsidR="001D3F86" w:rsidRPr="009F7926">
        <w:rPr>
          <w:rFonts w:ascii="Times New Roman" w:hAnsi="Times New Roman" w:cs="Times New Roman"/>
        </w:rPr>
        <w:t>s</w:t>
      </w:r>
      <w:r w:rsidRPr="009F7926">
        <w:rPr>
          <w:rFonts w:ascii="Times New Roman" w:hAnsi="Times New Roman" w:cs="Times New Roman"/>
        </w:rPr>
        <w:t xml:space="preserve"> of controversy</w:t>
      </w:r>
      <w:r w:rsidR="001D3F86" w:rsidRPr="009F7926">
        <w:rPr>
          <w:rFonts w:ascii="Times New Roman" w:hAnsi="Times New Roman" w:cs="Times New Roman"/>
        </w:rPr>
        <w:t xml:space="preserve"> on whether students can be considered as customers</w:t>
      </w:r>
      <w:r w:rsidR="00646DB2">
        <w:rPr>
          <w:rFonts w:ascii="Times New Roman" w:hAnsi="Times New Roman" w:cs="Times New Roman"/>
        </w:rPr>
        <w:t xml:space="preserve"> regarding their behaviour</w:t>
      </w:r>
      <w:r w:rsidR="001D3F86" w:rsidRPr="009F7926">
        <w:rPr>
          <w:rFonts w:ascii="Times New Roman" w:hAnsi="Times New Roman" w:cs="Times New Roman"/>
        </w:rPr>
        <w:t>. One</w:t>
      </w:r>
      <w:r w:rsidRPr="009F7926">
        <w:rPr>
          <w:rFonts w:ascii="Times New Roman" w:hAnsi="Times New Roman" w:cs="Times New Roman"/>
        </w:rPr>
        <w:t xml:space="preserve"> concerns the value that students attribute to </w:t>
      </w:r>
      <w:r w:rsidR="00600042" w:rsidRPr="009F7926">
        <w:rPr>
          <w:rFonts w:ascii="Times New Roman" w:hAnsi="Times New Roman" w:cs="Times New Roman"/>
        </w:rPr>
        <w:t xml:space="preserve">higher education. </w:t>
      </w:r>
      <w:r w:rsidR="00C5758F">
        <w:rPr>
          <w:rFonts w:ascii="Times New Roman" w:hAnsi="Times New Roman" w:cs="Times New Roman"/>
        </w:rPr>
        <w:t>Some studies assume</w:t>
      </w:r>
      <w:r w:rsidR="001132AE" w:rsidRPr="009F7926">
        <w:rPr>
          <w:rFonts w:ascii="Times New Roman" w:hAnsi="Times New Roman" w:cs="Times New Roman"/>
        </w:rPr>
        <w:t xml:space="preserve"> that </w:t>
      </w:r>
      <w:r w:rsidR="00814EDA" w:rsidRPr="009F7926">
        <w:rPr>
          <w:rFonts w:ascii="Times New Roman" w:hAnsi="Times New Roman" w:cs="Times New Roman"/>
        </w:rPr>
        <w:t>students</w:t>
      </w:r>
      <w:r w:rsidR="00C5758F">
        <w:rPr>
          <w:rFonts w:ascii="Times New Roman" w:hAnsi="Times New Roman" w:cs="Times New Roman"/>
        </w:rPr>
        <w:t xml:space="preserve"> as customers</w:t>
      </w:r>
      <w:r w:rsidR="00814EDA" w:rsidRPr="009F7926">
        <w:rPr>
          <w:rFonts w:ascii="Times New Roman" w:hAnsi="Times New Roman" w:cs="Times New Roman"/>
        </w:rPr>
        <w:t xml:space="preserve"> will choose courses that they </w:t>
      </w:r>
      <w:r w:rsidR="00ED4B2D" w:rsidRPr="009F7926">
        <w:rPr>
          <w:rFonts w:ascii="Times New Roman" w:hAnsi="Times New Roman" w:cs="Times New Roman"/>
        </w:rPr>
        <w:t>consider</w:t>
      </w:r>
      <w:r w:rsidR="00814EDA" w:rsidRPr="009F7926">
        <w:rPr>
          <w:rFonts w:ascii="Times New Roman" w:hAnsi="Times New Roman" w:cs="Times New Roman"/>
        </w:rPr>
        <w:t xml:space="preserve"> the </w:t>
      </w:r>
      <w:r w:rsidR="00ED4B2D" w:rsidRPr="009F7926">
        <w:rPr>
          <w:rFonts w:ascii="Times New Roman" w:hAnsi="Times New Roman" w:cs="Times New Roman"/>
        </w:rPr>
        <w:t>easiest to pass and excel in</w:t>
      </w:r>
      <w:r w:rsidR="005B5E17" w:rsidRPr="009F7926">
        <w:rPr>
          <w:rFonts w:ascii="Times New Roman" w:hAnsi="Times New Roman" w:cs="Times New Roman"/>
        </w:rPr>
        <w:t>,</w:t>
      </w:r>
      <w:r w:rsidR="00ED4B2D" w:rsidRPr="009F7926">
        <w:rPr>
          <w:rFonts w:ascii="Times New Roman" w:hAnsi="Times New Roman" w:cs="Times New Roman"/>
        </w:rPr>
        <w:t xml:space="preserve"> regardless of the amount of work</w:t>
      </w:r>
      <w:r w:rsidR="00B13505" w:rsidRPr="009F7926">
        <w:rPr>
          <w:rFonts w:ascii="Times New Roman" w:hAnsi="Times New Roman" w:cs="Times New Roman"/>
        </w:rPr>
        <w:t xml:space="preserve"> that they put in.</w:t>
      </w:r>
      <w:r w:rsidRPr="009F7926">
        <w:rPr>
          <w:rFonts w:ascii="Times New Roman" w:hAnsi="Times New Roman" w:cs="Times New Roman"/>
        </w:rPr>
        <w:t xml:space="preserve"> </w:t>
      </w:r>
      <w:r w:rsidR="00C31F2B" w:rsidRPr="009F7926">
        <w:rPr>
          <w:rFonts w:ascii="Times New Roman" w:hAnsi="Times New Roman" w:cs="Times New Roman"/>
        </w:rPr>
        <w:t>Because of the capacity of students to complain on grades</w:t>
      </w:r>
      <w:r w:rsidR="00B63F4D" w:rsidRPr="009F7926">
        <w:rPr>
          <w:rFonts w:ascii="Times New Roman" w:hAnsi="Times New Roman" w:cs="Times New Roman"/>
        </w:rPr>
        <w:t xml:space="preserve"> received, it puts pressure on institutions to lower their academic standards and penalize the e</w:t>
      </w:r>
      <w:r w:rsidR="00134F4D" w:rsidRPr="009F7926">
        <w:rPr>
          <w:rFonts w:ascii="Times New Roman" w:hAnsi="Times New Roman" w:cs="Times New Roman"/>
        </w:rPr>
        <w:t>ducation system (Clayson and Haley, 2005</w:t>
      </w:r>
      <w:r w:rsidR="00070EF9" w:rsidRPr="009F7926">
        <w:rPr>
          <w:rFonts w:ascii="Times New Roman" w:hAnsi="Times New Roman" w:cs="Times New Roman"/>
        </w:rPr>
        <w:t>;</w:t>
      </w:r>
      <w:r w:rsidR="000C4A9A" w:rsidRPr="009F7926">
        <w:rPr>
          <w:rFonts w:ascii="Times New Roman" w:hAnsi="Times New Roman" w:cs="Times New Roman"/>
        </w:rPr>
        <w:t xml:space="preserve"> </w:t>
      </w:r>
      <w:r w:rsidR="000C4A9A" w:rsidRPr="009F7926">
        <w:rPr>
          <w:rFonts w:ascii="Times New Roman" w:hAnsi="Times New Roman" w:cs="Times New Roman"/>
          <w:lang w:val="fr-FR"/>
        </w:rPr>
        <w:t xml:space="preserve">Chonko </w:t>
      </w:r>
      <w:r w:rsidR="000C4A9A" w:rsidRPr="009F7926">
        <w:rPr>
          <w:rFonts w:ascii="Times New Roman" w:hAnsi="Times New Roman" w:cs="Times New Roman"/>
          <w:i/>
          <w:lang w:val="fr-FR"/>
        </w:rPr>
        <w:t>et al</w:t>
      </w:r>
      <w:r w:rsidR="000C4A9A" w:rsidRPr="009F7926">
        <w:rPr>
          <w:rFonts w:ascii="Times New Roman" w:hAnsi="Times New Roman" w:cs="Times New Roman"/>
          <w:lang w:val="fr-FR"/>
        </w:rPr>
        <w:t>, 2002)</w:t>
      </w:r>
      <w:r w:rsidR="00973323">
        <w:rPr>
          <w:rFonts w:ascii="Times New Roman" w:hAnsi="Times New Roman" w:cs="Times New Roman"/>
          <w:lang w:val="fr-FR"/>
        </w:rPr>
        <w:t xml:space="preserve">. </w:t>
      </w:r>
      <w:r w:rsidR="00805E75" w:rsidRPr="009F7926">
        <w:rPr>
          <w:rFonts w:ascii="Times New Roman" w:hAnsi="Times New Roman" w:cs="Times New Roman"/>
        </w:rPr>
        <w:t xml:space="preserve">However, </w:t>
      </w:r>
      <w:r w:rsidR="00C5758F">
        <w:rPr>
          <w:rFonts w:ascii="Times New Roman" w:hAnsi="Times New Roman" w:cs="Times New Roman"/>
        </w:rPr>
        <w:t>other academics emphasize</w:t>
      </w:r>
      <w:r w:rsidR="00805E75" w:rsidRPr="009F7926">
        <w:rPr>
          <w:rFonts w:ascii="Times New Roman" w:hAnsi="Times New Roman" w:cs="Times New Roman"/>
        </w:rPr>
        <w:t xml:space="preserve"> how students do not wish for a less challenging environment. On the contrary, </w:t>
      </w:r>
      <w:r w:rsidR="00FD4328" w:rsidRPr="009F7926">
        <w:rPr>
          <w:rFonts w:ascii="Times New Roman" w:hAnsi="Times New Roman" w:cs="Times New Roman"/>
        </w:rPr>
        <w:t>they wish for a better support in their studies in terms of infrastructures and contact hours</w:t>
      </w:r>
      <w:r w:rsidR="00733B92" w:rsidRPr="009F7926">
        <w:rPr>
          <w:rFonts w:ascii="Times New Roman" w:hAnsi="Times New Roman" w:cs="Times New Roman"/>
        </w:rPr>
        <w:t xml:space="preserve"> by the university rather than depreciate the </w:t>
      </w:r>
      <w:r w:rsidR="003F0E32" w:rsidRPr="009F7926">
        <w:rPr>
          <w:rFonts w:ascii="Times New Roman" w:hAnsi="Times New Roman" w:cs="Times New Roman"/>
        </w:rPr>
        <w:t>quality of their education</w:t>
      </w:r>
      <w:r w:rsidR="00771A09" w:rsidRPr="009F7926">
        <w:rPr>
          <w:rFonts w:ascii="Times New Roman" w:hAnsi="Times New Roman" w:cs="Times New Roman"/>
        </w:rPr>
        <w:t>,</w:t>
      </w:r>
      <w:r w:rsidR="00501D16" w:rsidRPr="009F7926">
        <w:rPr>
          <w:rFonts w:ascii="Times New Roman" w:hAnsi="Times New Roman" w:cs="Times New Roman"/>
        </w:rPr>
        <w:t xml:space="preserve"> which they consider their primordial investment</w:t>
      </w:r>
      <w:r w:rsidR="00134F4D" w:rsidRPr="009F7926">
        <w:rPr>
          <w:rFonts w:ascii="Times New Roman" w:hAnsi="Times New Roman" w:cs="Times New Roman"/>
        </w:rPr>
        <w:t xml:space="preserve"> (</w:t>
      </w:r>
      <w:r w:rsidR="00134F4D" w:rsidRPr="009F7926">
        <w:rPr>
          <w:rFonts w:ascii="Times New Roman" w:hAnsi="Times New Roman" w:cs="Times New Roman"/>
          <w:lang w:val="fr-FR"/>
        </w:rPr>
        <w:t>Watjatrakul, 2014)</w:t>
      </w:r>
      <w:r w:rsidR="00501D16" w:rsidRPr="009F7926">
        <w:rPr>
          <w:rFonts w:ascii="Times New Roman" w:hAnsi="Times New Roman" w:cs="Times New Roman"/>
        </w:rPr>
        <w:t xml:space="preserve">. </w:t>
      </w:r>
    </w:p>
    <w:p w14:paraId="08550770" w14:textId="2E64575C" w:rsidR="001E5C3B" w:rsidRPr="009F7926" w:rsidRDefault="001E5C3B" w:rsidP="008E3352">
      <w:pPr>
        <w:spacing w:line="480" w:lineRule="auto"/>
        <w:jc w:val="both"/>
        <w:rPr>
          <w:rFonts w:ascii="Times New Roman" w:hAnsi="Times New Roman" w:cs="Times New Roman"/>
        </w:rPr>
      </w:pPr>
      <w:r w:rsidRPr="009F7926">
        <w:rPr>
          <w:rFonts w:ascii="Times New Roman" w:hAnsi="Times New Roman" w:cs="Times New Roman"/>
        </w:rPr>
        <w:t>Another point concerns</w:t>
      </w:r>
      <w:r w:rsidR="00420FE4" w:rsidRPr="009F7926">
        <w:rPr>
          <w:rFonts w:ascii="Times New Roman" w:hAnsi="Times New Roman" w:cs="Times New Roman"/>
        </w:rPr>
        <w:t xml:space="preserve"> whether students can be considered </w:t>
      </w:r>
      <w:r w:rsidR="004A17D2" w:rsidRPr="009F7926">
        <w:rPr>
          <w:rFonts w:ascii="Times New Roman" w:hAnsi="Times New Roman" w:cs="Times New Roman"/>
        </w:rPr>
        <w:t xml:space="preserve">as </w:t>
      </w:r>
      <w:r w:rsidR="00420FE4" w:rsidRPr="009F7926">
        <w:rPr>
          <w:rFonts w:ascii="Times New Roman" w:hAnsi="Times New Roman" w:cs="Times New Roman"/>
        </w:rPr>
        <w:t xml:space="preserve">customers </w:t>
      </w:r>
      <w:r w:rsidR="00C124A7" w:rsidRPr="009F7926">
        <w:rPr>
          <w:rFonts w:ascii="Times New Roman" w:hAnsi="Times New Roman" w:cs="Times New Roman"/>
        </w:rPr>
        <w:t xml:space="preserve">as most do not pay their tuition fees and thus are not the ones making a real investment. </w:t>
      </w:r>
      <w:r w:rsidR="00420FE4" w:rsidRPr="009F7926">
        <w:rPr>
          <w:rFonts w:ascii="Times New Roman" w:hAnsi="Times New Roman" w:cs="Times New Roman"/>
        </w:rPr>
        <w:t xml:space="preserve"> </w:t>
      </w:r>
      <w:r w:rsidR="00244CF4" w:rsidRPr="009F7926">
        <w:rPr>
          <w:rFonts w:ascii="Times New Roman" w:hAnsi="Times New Roman" w:cs="Times New Roman"/>
        </w:rPr>
        <w:t xml:space="preserve">Once again the literature </w:t>
      </w:r>
      <w:r w:rsidR="00244CF4" w:rsidRPr="009F7926">
        <w:rPr>
          <w:rFonts w:ascii="Times New Roman" w:hAnsi="Times New Roman" w:cs="Times New Roman"/>
        </w:rPr>
        <w:lastRenderedPageBreak/>
        <w:t xml:space="preserve">is divided </w:t>
      </w:r>
      <w:r w:rsidR="00063DE4" w:rsidRPr="009F7926">
        <w:rPr>
          <w:rFonts w:ascii="Times New Roman" w:hAnsi="Times New Roman" w:cs="Times New Roman"/>
        </w:rPr>
        <w:t xml:space="preserve">between one side arguing </w:t>
      </w:r>
      <w:r w:rsidR="001A54CE" w:rsidRPr="009F7926">
        <w:rPr>
          <w:rFonts w:ascii="Times New Roman" w:hAnsi="Times New Roman" w:cs="Times New Roman"/>
        </w:rPr>
        <w:t xml:space="preserve">that students are contributing more and more towards the cost of their </w:t>
      </w:r>
      <w:r w:rsidR="00255CB1" w:rsidRPr="009F7926">
        <w:rPr>
          <w:rFonts w:ascii="Times New Roman" w:hAnsi="Times New Roman" w:cs="Times New Roman"/>
        </w:rPr>
        <w:t xml:space="preserve">education </w:t>
      </w:r>
      <w:r w:rsidR="00D036B2" w:rsidRPr="009F7926">
        <w:rPr>
          <w:rFonts w:ascii="Times New Roman" w:hAnsi="Times New Roman" w:cs="Times New Roman"/>
        </w:rPr>
        <w:t>and thus should be considered as any other purchaser of goods and services</w:t>
      </w:r>
      <w:r w:rsidR="0001135C" w:rsidRPr="009F7926">
        <w:rPr>
          <w:rFonts w:ascii="Times New Roman" w:hAnsi="Times New Roman" w:cs="Times New Roman"/>
        </w:rPr>
        <w:t xml:space="preserve"> (</w:t>
      </w:r>
      <w:r w:rsidR="0001135C" w:rsidRPr="009F7926">
        <w:rPr>
          <w:rFonts w:ascii="Times New Roman" w:hAnsi="Times New Roman" w:cs="Times New Roman"/>
          <w:lang w:val="fr-FR"/>
        </w:rPr>
        <w:t>Kanji and Tamb, 1999; Eagle and Brennan, 2007; Bennett, 2003).</w:t>
      </w:r>
      <w:r w:rsidR="000406C5" w:rsidRPr="009F7926">
        <w:rPr>
          <w:rFonts w:ascii="Times New Roman" w:hAnsi="Times New Roman" w:cs="Times New Roman"/>
        </w:rPr>
        <w:t xml:space="preserve"> On the other side, many argue that people behave differently if the original cost is less than its original value and thus students not </w:t>
      </w:r>
      <w:r w:rsidR="00B46173" w:rsidRPr="009F7926">
        <w:rPr>
          <w:rFonts w:ascii="Times New Roman" w:hAnsi="Times New Roman" w:cs="Times New Roman"/>
        </w:rPr>
        <w:t>paying the full cost of their tuition fees cannot be considered real customers.</w:t>
      </w:r>
      <w:r w:rsidR="007F633F" w:rsidRPr="009F7926">
        <w:rPr>
          <w:rFonts w:ascii="Times New Roman" w:hAnsi="Times New Roman" w:cs="Times New Roman"/>
        </w:rPr>
        <w:t xml:space="preserve"> Even if they were, a bigger group made up of future employers, families, the government has to be taken into account.</w:t>
      </w:r>
      <w:r w:rsidR="00B46173" w:rsidRPr="009F7926">
        <w:rPr>
          <w:rFonts w:ascii="Times New Roman" w:hAnsi="Times New Roman" w:cs="Times New Roman"/>
        </w:rPr>
        <w:t xml:space="preserve"> </w:t>
      </w:r>
      <w:r w:rsidR="007F633F" w:rsidRPr="009F7926">
        <w:rPr>
          <w:rFonts w:ascii="Times New Roman" w:hAnsi="Times New Roman" w:cs="Times New Roman"/>
        </w:rPr>
        <w:t>In fact</w:t>
      </w:r>
      <w:r w:rsidR="00B46173" w:rsidRPr="009F7926">
        <w:rPr>
          <w:rFonts w:ascii="Times New Roman" w:hAnsi="Times New Roman" w:cs="Times New Roman"/>
        </w:rPr>
        <w:t xml:space="preserve">, </w:t>
      </w:r>
      <w:r w:rsidR="00637CF3" w:rsidRPr="009F7926">
        <w:rPr>
          <w:rFonts w:ascii="Times New Roman" w:hAnsi="Times New Roman" w:cs="Times New Roman"/>
        </w:rPr>
        <w:t xml:space="preserve">most students studying in the United </w:t>
      </w:r>
      <w:r w:rsidR="00156367" w:rsidRPr="009F7926">
        <w:rPr>
          <w:rFonts w:ascii="Times New Roman" w:hAnsi="Times New Roman" w:cs="Times New Roman"/>
        </w:rPr>
        <w:t xml:space="preserve">Kingdom </w:t>
      </w:r>
      <w:r w:rsidR="00F6376A" w:rsidRPr="009F7926">
        <w:rPr>
          <w:rFonts w:ascii="Times New Roman" w:hAnsi="Times New Roman" w:cs="Times New Roman"/>
        </w:rPr>
        <w:t>subject to £9000/year afford their studies through a loan by the British Government repayable under certain conditions</w:t>
      </w:r>
      <w:r w:rsidR="001B7B76" w:rsidRPr="009F7926">
        <w:rPr>
          <w:rFonts w:ascii="Times New Roman" w:hAnsi="Times New Roman" w:cs="Times New Roman"/>
        </w:rPr>
        <w:t>. It means that although</w:t>
      </w:r>
      <w:r w:rsidR="00F04C4B" w:rsidRPr="009F7926">
        <w:rPr>
          <w:rFonts w:ascii="Times New Roman" w:hAnsi="Times New Roman" w:cs="Times New Roman"/>
        </w:rPr>
        <w:t xml:space="preserve"> the </w:t>
      </w:r>
      <w:r w:rsidR="008D4E87">
        <w:rPr>
          <w:rFonts w:ascii="Times New Roman" w:hAnsi="Times New Roman" w:cs="Times New Roman"/>
        </w:rPr>
        <w:t>increase of tuition fees</w:t>
      </w:r>
      <w:r w:rsidR="00F04C4B" w:rsidRPr="009F7926">
        <w:rPr>
          <w:rFonts w:ascii="Times New Roman" w:hAnsi="Times New Roman" w:cs="Times New Roman"/>
        </w:rPr>
        <w:t xml:space="preserve"> will alter students' expectations of university and the </w:t>
      </w:r>
      <w:r w:rsidR="008D4E87" w:rsidRPr="009F7926">
        <w:rPr>
          <w:rFonts w:ascii="Times New Roman" w:hAnsi="Times New Roman" w:cs="Times New Roman"/>
        </w:rPr>
        <w:t>anticipated</w:t>
      </w:r>
      <w:r w:rsidR="00F04C4B" w:rsidRPr="009F7926">
        <w:rPr>
          <w:rFonts w:ascii="Times New Roman" w:hAnsi="Times New Roman" w:cs="Times New Roman"/>
        </w:rPr>
        <w:t xml:space="preserve"> return from it, </w:t>
      </w:r>
      <w:r w:rsidR="00392244" w:rsidRPr="009F7926">
        <w:rPr>
          <w:rFonts w:ascii="Times New Roman" w:hAnsi="Times New Roman" w:cs="Times New Roman"/>
        </w:rPr>
        <w:t xml:space="preserve">the role of price might be </w:t>
      </w:r>
      <w:r w:rsidR="0022500A" w:rsidRPr="009F7926">
        <w:rPr>
          <w:rFonts w:ascii="Times New Roman" w:hAnsi="Times New Roman" w:cs="Times New Roman"/>
        </w:rPr>
        <w:t xml:space="preserve">cancelled out by </w:t>
      </w:r>
      <w:r w:rsidR="004F2619" w:rsidRPr="009F7926">
        <w:rPr>
          <w:rFonts w:ascii="Times New Roman" w:hAnsi="Times New Roman" w:cs="Times New Roman"/>
        </w:rPr>
        <w:t>subsidies and loans (</w:t>
      </w:r>
      <w:r w:rsidR="004F2619" w:rsidRPr="009F7926">
        <w:rPr>
          <w:rFonts w:ascii="Times New Roman" w:hAnsi="Times New Roman" w:cs="Times New Roman"/>
          <w:lang w:val="fr-FR"/>
        </w:rPr>
        <w:t>Eagle and Brennan, 2007;</w:t>
      </w:r>
      <w:r w:rsidR="00BC6661" w:rsidRPr="009F7926">
        <w:rPr>
          <w:rFonts w:ascii="Times New Roman" w:hAnsi="Times New Roman" w:cs="Times New Roman"/>
          <w:lang w:val="fr-FR"/>
        </w:rPr>
        <w:t xml:space="preserve"> Geven, 2015; </w:t>
      </w:r>
      <w:r w:rsidR="00413C28" w:rsidRPr="009F7926">
        <w:rPr>
          <w:rFonts w:ascii="Times New Roman" w:hAnsi="Times New Roman" w:cs="Times New Roman"/>
          <w:lang w:val="fr-FR"/>
        </w:rPr>
        <w:t>Wilkins, Shams, and Huisman, 2013</w:t>
      </w:r>
      <w:r w:rsidR="00101F7F" w:rsidRPr="009F7926">
        <w:rPr>
          <w:rFonts w:ascii="Times New Roman" w:hAnsi="Times New Roman" w:cs="Times New Roman"/>
          <w:lang w:val="fr-FR"/>
        </w:rPr>
        <w:t xml:space="preserve">; Emery </w:t>
      </w:r>
      <w:r w:rsidR="00101F7F" w:rsidRPr="009F7926">
        <w:rPr>
          <w:rFonts w:ascii="Times New Roman" w:hAnsi="Times New Roman" w:cs="Times New Roman"/>
          <w:i/>
          <w:lang w:val="fr-FR"/>
        </w:rPr>
        <w:t>et al</w:t>
      </w:r>
      <w:r w:rsidR="00101F7F" w:rsidRPr="009F7926">
        <w:rPr>
          <w:rFonts w:ascii="Times New Roman" w:hAnsi="Times New Roman" w:cs="Times New Roman"/>
          <w:lang w:val="fr-FR"/>
        </w:rPr>
        <w:t>, 2001</w:t>
      </w:r>
      <w:r w:rsidR="00346234" w:rsidRPr="009F7926">
        <w:rPr>
          <w:rFonts w:ascii="Times New Roman" w:hAnsi="Times New Roman" w:cs="Times New Roman"/>
          <w:lang w:val="fr-FR"/>
        </w:rPr>
        <w:t>)</w:t>
      </w:r>
    </w:p>
    <w:p w14:paraId="04B521C3" w14:textId="008805E7" w:rsidR="008D60C1" w:rsidRDefault="000F240A" w:rsidP="008E3352">
      <w:pPr>
        <w:spacing w:line="480" w:lineRule="auto"/>
        <w:jc w:val="both"/>
        <w:rPr>
          <w:rFonts w:ascii="Times New Roman" w:hAnsi="Times New Roman" w:cs="Times New Roman"/>
          <w:lang w:val="fr-FR"/>
        </w:rPr>
      </w:pPr>
      <w:r w:rsidRPr="009F7926">
        <w:rPr>
          <w:rFonts w:ascii="Times New Roman" w:hAnsi="Times New Roman" w:cs="Times New Roman"/>
        </w:rPr>
        <w:t xml:space="preserve">Finally, the literature is divided on whether or not students can be considered as customers as rational individual. A core group of academics argue that students are not adequately equipped to know which </w:t>
      </w:r>
      <w:r w:rsidR="000B6520" w:rsidRPr="009F7926">
        <w:rPr>
          <w:rFonts w:ascii="Times New Roman" w:hAnsi="Times New Roman" w:cs="Times New Roman"/>
        </w:rPr>
        <w:t>association of skills they require to deal with future work</w:t>
      </w:r>
      <w:r w:rsidR="000C3002">
        <w:rPr>
          <w:rFonts w:ascii="Times New Roman" w:hAnsi="Times New Roman" w:cs="Times New Roman"/>
        </w:rPr>
        <w:t xml:space="preserve"> applications</w:t>
      </w:r>
      <w:r w:rsidR="00656990" w:rsidRPr="009F7926">
        <w:rPr>
          <w:rFonts w:ascii="Times New Roman" w:hAnsi="Times New Roman" w:cs="Times New Roman"/>
        </w:rPr>
        <w:t>, neither do they realise the value of a b</w:t>
      </w:r>
      <w:r w:rsidR="00B90599" w:rsidRPr="009F7926">
        <w:rPr>
          <w:rFonts w:ascii="Times New Roman" w:hAnsi="Times New Roman" w:cs="Times New Roman"/>
        </w:rPr>
        <w:t>achelor or the work it requires (Clayson and Haley, 2005</w:t>
      </w:r>
      <w:r w:rsidR="00983C2C" w:rsidRPr="009F7926">
        <w:rPr>
          <w:rFonts w:ascii="Times New Roman" w:hAnsi="Times New Roman" w:cs="Times New Roman"/>
        </w:rPr>
        <w:t xml:space="preserve">; </w:t>
      </w:r>
      <w:r w:rsidR="00983C2C" w:rsidRPr="009F7926">
        <w:rPr>
          <w:rFonts w:ascii="Times New Roman" w:hAnsi="Times New Roman" w:cs="Times New Roman"/>
          <w:lang w:val="fr-FR"/>
        </w:rPr>
        <w:t xml:space="preserve">Svensson and Wood, 2007, </w:t>
      </w:r>
      <w:r w:rsidR="00753DC0" w:rsidRPr="009F7926">
        <w:rPr>
          <w:rFonts w:ascii="Times New Roman" w:hAnsi="Times New Roman" w:cs="Times New Roman"/>
          <w:lang w:val="fr-FR"/>
        </w:rPr>
        <w:t>Eagle and Brennan, 2007)</w:t>
      </w:r>
      <w:r w:rsidR="009F4DD6" w:rsidRPr="009F7926">
        <w:rPr>
          <w:rFonts w:ascii="Times New Roman" w:hAnsi="Times New Roman" w:cs="Times New Roman"/>
          <w:lang w:val="fr-FR"/>
        </w:rPr>
        <w:t>.</w:t>
      </w:r>
      <w:r w:rsidR="00656990" w:rsidRPr="009F7926">
        <w:rPr>
          <w:rFonts w:ascii="Times New Roman" w:hAnsi="Times New Roman" w:cs="Times New Roman"/>
        </w:rPr>
        <w:t xml:space="preserve"> </w:t>
      </w:r>
      <w:r w:rsidR="00C74438" w:rsidRPr="009F7926">
        <w:rPr>
          <w:rFonts w:ascii="Times New Roman" w:hAnsi="Times New Roman" w:cs="Times New Roman"/>
        </w:rPr>
        <w:t>Studies find that important factors in students' decision to go to university apart from the price include quality of teaching and research, image and reputation of the institution, geographic proximity, friends and family effects and career prospects. However, they also</w:t>
      </w:r>
      <w:r w:rsidR="00656990" w:rsidRPr="009F7926">
        <w:rPr>
          <w:rFonts w:ascii="Times New Roman" w:hAnsi="Times New Roman" w:cs="Times New Roman"/>
        </w:rPr>
        <w:t xml:space="preserve"> show that students see any degree as a way to enhance their career, a better path without really knowing precisely what it involves and which choice</w:t>
      </w:r>
      <w:r w:rsidR="009F4DD6" w:rsidRPr="009F7926">
        <w:rPr>
          <w:rFonts w:ascii="Times New Roman" w:hAnsi="Times New Roman" w:cs="Times New Roman"/>
        </w:rPr>
        <w:t>s will lead to certain outcomes (</w:t>
      </w:r>
      <w:r w:rsidR="009F4DD6" w:rsidRPr="009F7926">
        <w:rPr>
          <w:rFonts w:ascii="Times New Roman" w:hAnsi="Times New Roman" w:cs="Times New Roman"/>
          <w:lang w:val="fr-FR"/>
        </w:rPr>
        <w:t xml:space="preserve">Wilkins </w:t>
      </w:r>
      <w:r w:rsidR="009F4DD6" w:rsidRPr="009F7926">
        <w:rPr>
          <w:rFonts w:ascii="Times New Roman" w:hAnsi="Times New Roman" w:cs="Times New Roman"/>
          <w:i/>
          <w:lang w:val="fr-FR"/>
        </w:rPr>
        <w:t>et al</w:t>
      </w:r>
      <w:r w:rsidR="009F4DD6" w:rsidRPr="009F7926">
        <w:rPr>
          <w:rFonts w:ascii="Times New Roman" w:hAnsi="Times New Roman" w:cs="Times New Roman"/>
          <w:lang w:val="fr-FR"/>
        </w:rPr>
        <w:t>, 2013</w:t>
      </w:r>
      <w:r w:rsidR="009F7926" w:rsidRPr="009F7926">
        <w:rPr>
          <w:rFonts w:ascii="Times New Roman" w:hAnsi="Times New Roman" w:cs="Times New Roman"/>
          <w:lang w:val="fr-FR"/>
        </w:rPr>
        <w:t>).</w:t>
      </w:r>
      <w:r w:rsidR="00656990" w:rsidRPr="009F7926">
        <w:rPr>
          <w:rFonts w:ascii="Times New Roman" w:hAnsi="Times New Roman" w:cs="Times New Roman"/>
        </w:rPr>
        <w:t xml:space="preserve"> </w:t>
      </w:r>
      <w:r w:rsidR="00C74438" w:rsidRPr="009F7926">
        <w:rPr>
          <w:rFonts w:ascii="Times New Roman" w:hAnsi="Times New Roman" w:cs="Times New Roman"/>
        </w:rPr>
        <w:t xml:space="preserve">It is mentioned that complementary data especially of a qualitative nature would be required </w:t>
      </w:r>
      <w:r w:rsidR="002147EE" w:rsidRPr="009F7926">
        <w:rPr>
          <w:rFonts w:ascii="Times New Roman" w:hAnsi="Times New Roman" w:cs="Times New Roman"/>
        </w:rPr>
        <w:t>in order to understand how students respond to marketization</w:t>
      </w:r>
      <w:r w:rsidR="00DE5CAE" w:rsidRPr="009F7926">
        <w:rPr>
          <w:rFonts w:ascii="Times New Roman" w:hAnsi="Times New Roman" w:cs="Times New Roman"/>
        </w:rPr>
        <w:t xml:space="preserve"> (</w:t>
      </w:r>
      <w:r w:rsidR="00DE5CAE" w:rsidRPr="009F7926">
        <w:rPr>
          <w:rFonts w:ascii="Times New Roman" w:hAnsi="Times New Roman" w:cs="Times New Roman"/>
          <w:lang w:val="fr-FR"/>
        </w:rPr>
        <w:t>Geven, 2015).</w:t>
      </w:r>
    </w:p>
    <w:p w14:paraId="6849D464" w14:textId="1D321D13" w:rsidR="002F1580" w:rsidRPr="000C3002" w:rsidRDefault="008D60C1" w:rsidP="008E3352">
      <w:pPr>
        <w:spacing w:line="480" w:lineRule="auto"/>
        <w:jc w:val="both"/>
        <w:rPr>
          <w:rFonts w:ascii="Times New Roman" w:hAnsi="Times New Roman" w:cs="Times New Roman"/>
        </w:rPr>
      </w:pPr>
      <w:r w:rsidRPr="0096011F">
        <w:rPr>
          <w:rFonts w:ascii="Times New Roman" w:hAnsi="Times New Roman" w:cs="Times New Roman"/>
        </w:rPr>
        <w:t>This study aim</w:t>
      </w:r>
      <w:r w:rsidR="002F1580" w:rsidRPr="0096011F">
        <w:rPr>
          <w:rFonts w:ascii="Times New Roman" w:hAnsi="Times New Roman" w:cs="Times New Roman"/>
        </w:rPr>
        <w:t>s</w:t>
      </w:r>
      <w:r w:rsidRPr="0096011F">
        <w:rPr>
          <w:rFonts w:ascii="Times New Roman" w:hAnsi="Times New Roman" w:cs="Times New Roman"/>
        </w:rPr>
        <w:t xml:space="preserve"> to further investigate whether the rise of tuition fees in 2012 has led undergraduate students to behave as customers making rational choices when pu</w:t>
      </w:r>
      <w:r w:rsidR="002F1580" w:rsidRPr="0096011F">
        <w:rPr>
          <w:rFonts w:ascii="Times New Roman" w:hAnsi="Times New Roman" w:cs="Times New Roman"/>
        </w:rPr>
        <w:t>rsuing higher education</w:t>
      </w:r>
      <w:r w:rsidR="000C3002">
        <w:rPr>
          <w:rFonts w:ascii="Times New Roman" w:hAnsi="Times New Roman" w:cs="Times New Roman"/>
        </w:rPr>
        <w:t xml:space="preserve">. </w:t>
      </w:r>
      <w:r w:rsidRPr="0096011F">
        <w:rPr>
          <w:rFonts w:ascii="Times New Roman" w:hAnsi="Times New Roman" w:cs="Times New Roman"/>
        </w:rPr>
        <w:t>The case study takes place at the University of Manchester, which offers an appeal</w:t>
      </w:r>
      <w:r w:rsidR="000C3002">
        <w:rPr>
          <w:rFonts w:ascii="Times New Roman" w:hAnsi="Times New Roman" w:cs="Times New Roman"/>
        </w:rPr>
        <w:t xml:space="preserve">ing environment to investigate, </w:t>
      </w:r>
      <w:r w:rsidRPr="0096011F">
        <w:rPr>
          <w:rFonts w:ascii="Times New Roman" w:hAnsi="Times New Roman" w:cs="Times New Roman"/>
        </w:rPr>
        <w:t xml:space="preserve">as it is one of the biggest </w:t>
      </w:r>
      <w:r w:rsidR="000C3002" w:rsidRPr="0096011F">
        <w:rPr>
          <w:rFonts w:ascii="Times New Roman" w:hAnsi="Times New Roman" w:cs="Times New Roman"/>
        </w:rPr>
        <w:t>universities</w:t>
      </w:r>
      <w:r w:rsidRPr="0096011F">
        <w:rPr>
          <w:rFonts w:ascii="Times New Roman" w:hAnsi="Times New Roman" w:cs="Times New Roman"/>
        </w:rPr>
        <w:t xml:space="preserve"> in the UK in terms of diversity of students and courses offered. </w:t>
      </w:r>
    </w:p>
    <w:p w14:paraId="57857597" w14:textId="06CA6284" w:rsidR="001164FD" w:rsidRPr="00A61FFF" w:rsidRDefault="00646DB2" w:rsidP="008E3352">
      <w:pPr>
        <w:spacing w:line="480" w:lineRule="auto"/>
        <w:jc w:val="both"/>
        <w:rPr>
          <w:rFonts w:ascii="Times New Roman" w:hAnsi="Times New Roman" w:cs="Times New Roman"/>
        </w:rPr>
      </w:pPr>
      <w:r w:rsidRPr="000C3002">
        <w:rPr>
          <w:rFonts w:ascii="Times New Roman" w:hAnsi="Times New Roman" w:cs="Times New Roman"/>
        </w:rPr>
        <w:t xml:space="preserve">This article </w:t>
      </w:r>
      <w:r w:rsidR="00EC0318" w:rsidRPr="000C3002">
        <w:rPr>
          <w:rFonts w:ascii="Times New Roman" w:hAnsi="Times New Roman" w:cs="Times New Roman"/>
        </w:rPr>
        <w:t xml:space="preserve">will most specifically assess </w:t>
      </w:r>
      <w:r w:rsidRPr="000C3002">
        <w:rPr>
          <w:rFonts w:ascii="Times New Roman" w:hAnsi="Times New Roman" w:cs="Times New Roman"/>
        </w:rPr>
        <w:t xml:space="preserve">the following </w:t>
      </w:r>
      <w:r w:rsidR="000C3002">
        <w:rPr>
          <w:rFonts w:ascii="Times New Roman" w:hAnsi="Times New Roman" w:cs="Times New Roman"/>
        </w:rPr>
        <w:t>hypothesis</w:t>
      </w:r>
      <w:r w:rsidRPr="000C3002">
        <w:rPr>
          <w:rFonts w:ascii="Times New Roman" w:hAnsi="Times New Roman" w:cs="Times New Roman"/>
        </w:rPr>
        <w:t xml:space="preserve">: </w:t>
      </w:r>
    </w:p>
    <w:p w14:paraId="35FD0FED" w14:textId="2AF78B6F" w:rsidR="001164FD" w:rsidRPr="00260412" w:rsidRDefault="00EC0318" w:rsidP="008E3352">
      <w:pPr>
        <w:spacing w:line="480" w:lineRule="auto"/>
        <w:jc w:val="both"/>
        <w:rPr>
          <w:rFonts w:ascii="Times New Roman" w:hAnsi="Times New Roman" w:cs="Times New Roman"/>
        </w:rPr>
      </w:pPr>
      <w:r w:rsidRPr="00072997">
        <w:rPr>
          <w:rFonts w:ascii="Times New Roman" w:hAnsi="Times New Roman" w:cs="Times New Roman"/>
          <w:u w:val="single"/>
        </w:rPr>
        <w:t>Hypothesis</w:t>
      </w:r>
      <w:r w:rsidR="001164FD" w:rsidRPr="00072997">
        <w:rPr>
          <w:rFonts w:ascii="Times New Roman" w:hAnsi="Times New Roman" w:cs="Times New Roman"/>
          <w:u w:val="single"/>
        </w:rPr>
        <w:t xml:space="preserve"> 1</w:t>
      </w:r>
      <w:r w:rsidR="001164FD" w:rsidRPr="00260412">
        <w:rPr>
          <w:rFonts w:ascii="Times New Roman" w:hAnsi="Times New Roman" w:cs="Times New Roman"/>
        </w:rPr>
        <w:t xml:space="preserve">: Students' motives to go to university and </w:t>
      </w:r>
      <w:r w:rsidR="002F1580" w:rsidRPr="00260412">
        <w:rPr>
          <w:rFonts w:ascii="Times New Roman" w:hAnsi="Times New Roman" w:cs="Times New Roman"/>
        </w:rPr>
        <w:t xml:space="preserve">their </w:t>
      </w:r>
      <w:r w:rsidR="001164FD" w:rsidRPr="00260412">
        <w:rPr>
          <w:rFonts w:ascii="Times New Roman" w:hAnsi="Times New Roman" w:cs="Times New Roman"/>
        </w:rPr>
        <w:t>cho</w:t>
      </w:r>
      <w:r w:rsidR="008D60C1" w:rsidRPr="00260412">
        <w:rPr>
          <w:rFonts w:ascii="Times New Roman" w:hAnsi="Times New Roman" w:cs="Times New Roman"/>
        </w:rPr>
        <w:t>ice</w:t>
      </w:r>
      <w:r w:rsidR="001164FD" w:rsidRPr="00260412">
        <w:rPr>
          <w:rFonts w:ascii="Times New Roman" w:hAnsi="Times New Roman" w:cs="Times New Roman"/>
        </w:rPr>
        <w:t xml:space="preserve"> </w:t>
      </w:r>
      <w:r w:rsidR="008D60C1" w:rsidRPr="00260412">
        <w:rPr>
          <w:rFonts w:ascii="Times New Roman" w:hAnsi="Times New Roman" w:cs="Times New Roman"/>
        </w:rPr>
        <w:t xml:space="preserve">of </w:t>
      </w:r>
      <w:r w:rsidR="001164FD" w:rsidRPr="00260412">
        <w:rPr>
          <w:rFonts w:ascii="Times New Roman" w:hAnsi="Times New Roman" w:cs="Times New Roman"/>
        </w:rPr>
        <w:t>a particular course are driven by the idea of the return of their original investment in terms of the value of the degree obtained on the work market.</w:t>
      </w:r>
    </w:p>
    <w:p w14:paraId="62127C2C" w14:textId="520CC9B2" w:rsidR="00260412" w:rsidRPr="00260412" w:rsidRDefault="00EC0318" w:rsidP="008E3352">
      <w:pPr>
        <w:spacing w:line="480" w:lineRule="auto"/>
        <w:jc w:val="both"/>
        <w:rPr>
          <w:rFonts w:ascii="Times New Roman" w:hAnsi="Times New Roman" w:cs="Times New Roman"/>
        </w:rPr>
      </w:pPr>
      <w:r w:rsidRPr="00072997">
        <w:rPr>
          <w:rFonts w:ascii="Times New Roman" w:hAnsi="Times New Roman" w:cs="Times New Roman"/>
          <w:u w:val="single"/>
        </w:rPr>
        <w:t>Hypothesis</w:t>
      </w:r>
      <w:r w:rsidR="00260412" w:rsidRPr="00072997">
        <w:rPr>
          <w:rFonts w:ascii="Times New Roman" w:hAnsi="Times New Roman" w:cs="Times New Roman"/>
          <w:u w:val="single"/>
        </w:rPr>
        <w:t xml:space="preserve"> 2</w:t>
      </w:r>
      <w:r w:rsidR="00260412" w:rsidRPr="00260412">
        <w:rPr>
          <w:rFonts w:ascii="Times New Roman" w:hAnsi="Times New Roman" w:cs="Times New Roman"/>
        </w:rPr>
        <w:t>:</w:t>
      </w:r>
      <w:r w:rsidRPr="00260412">
        <w:rPr>
          <w:rFonts w:ascii="Times New Roman" w:hAnsi="Times New Roman" w:cs="Times New Roman"/>
        </w:rPr>
        <w:t xml:space="preserve"> </w:t>
      </w:r>
      <w:r w:rsidR="00260412" w:rsidRPr="00260412">
        <w:rPr>
          <w:rFonts w:ascii="Times New Roman" w:hAnsi="Times New Roman" w:cs="Times New Roman"/>
        </w:rPr>
        <w:t>Higher market expectations lead students to take advantage of various additional servi</w:t>
      </w:r>
      <w:r w:rsidR="008765D1">
        <w:rPr>
          <w:rFonts w:ascii="Times New Roman" w:hAnsi="Times New Roman" w:cs="Times New Roman"/>
        </w:rPr>
        <w:t>ces provided by the u</w:t>
      </w:r>
      <w:r w:rsidR="00D46E5C">
        <w:rPr>
          <w:rFonts w:ascii="Times New Roman" w:hAnsi="Times New Roman" w:cs="Times New Roman"/>
        </w:rPr>
        <w:t xml:space="preserve">niversity </w:t>
      </w:r>
      <w:r w:rsidR="00260412" w:rsidRPr="00260412">
        <w:rPr>
          <w:rFonts w:ascii="Times New Roman" w:hAnsi="Times New Roman" w:cs="Times New Roman"/>
        </w:rPr>
        <w:t>contributing to their profile</w:t>
      </w:r>
      <w:r w:rsidR="00D46E5C">
        <w:rPr>
          <w:rFonts w:ascii="Times New Roman" w:hAnsi="Times New Roman" w:cs="Times New Roman"/>
        </w:rPr>
        <w:t xml:space="preserve"> and</w:t>
      </w:r>
      <w:r w:rsidR="00260412" w:rsidRPr="00260412">
        <w:rPr>
          <w:rFonts w:ascii="Times New Roman" w:hAnsi="Times New Roman" w:cs="Times New Roman"/>
        </w:rPr>
        <w:t xml:space="preserve"> thus taking the most advantage of the product they have purchased.</w:t>
      </w:r>
    </w:p>
    <w:p w14:paraId="3BC314EF" w14:textId="66BA2A34" w:rsidR="00646DB2" w:rsidRPr="00A61FFF" w:rsidRDefault="00EC0318" w:rsidP="008E3352">
      <w:pPr>
        <w:spacing w:line="480" w:lineRule="auto"/>
        <w:jc w:val="both"/>
        <w:rPr>
          <w:rFonts w:ascii="Times New Roman" w:hAnsi="Times New Roman" w:cs="Times New Roman"/>
        </w:rPr>
      </w:pPr>
      <w:r w:rsidRPr="00072997">
        <w:rPr>
          <w:rFonts w:ascii="Times New Roman" w:hAnsi="Times New Roman" w:cs="Times New Roman"/>
          <w:u w:val="single"/>
        </w:rPr>
        <w:t>Hypothesis</w:t>
      </w:r>
      <w:r w:rsidR="00282371" w:rsidRPr="00072997">
        <w:rPr>
          <w:rFonts w:ascii="Times New Roman" w:hAnsi="Times New Roman" w:cs="Times New Roman"/>
          <w:u w:val="single"/>
        </w:rPr>
        <w:t xml:space="preserve"> 3</w:t>
      </w:r>
      <w:r w:rsidR="00282371" w:rsidRPr="00260412">
        <w:rPr>
          <w:rFonts w:ascii="Times New Roman" w:hAnsi="Times New Roman" w:cs="Times New Roman"/>
        </w:rPr>
        <w:t>: Higher fees lead students to be more responsive and invested in the quality of teaching and services provided at university.</w:t>
      </w:r>
    </w:p>
    <w:p w14:paraId="758B934B" w14:textId="77777777" w:rsidR="00A61FFF" w:rsidRDefault="00A61FFF" w:rsidP="008E3352">
      <w:pPr>
        <w:spacing w:line="480" w:lineRule="auto"/>
        <w:jc w:val="both"/>
        <w:rPr>
          <w:rFonts w:ascii="Times New Roman" w:hAnsi="Times New Roman" w:cs="Times New Roman"/>
          <w:b/>
          <w:sz w:val="28"/>
        </w:rPr>
      </w:pPr>
    </w:p>
    <w:p w14:paraId="000E5BB4" w14:textId="0EF203E1" w:rsidR="00D85AA4" w:rsidRPr="00A61FFF" w:rsidRDefault="00D85AA4" w:rsidP="008E3352">
      <w:pPr>
        <w:spacing w:line="480" w:lineRule="auto"/>
        <w:jc w:val="both"/>
        <w:rPr>
          <w:rFonts w:ascii="Times New Roman" w:hAnsi="Times New Roman" w:cs="Times New Roman"/>
          <w:b/>
          <w:sz w:val="28"/>
        </w:rPr>
      </w:pPr>
      <w:r w:rsidRPr="00E57029">
        <w:rPr>
          <w:rFonts w:ascii="Times New Roman" w:hAnsi="Times New Roman" w:cs="Times New Roman"/>
          <w:b/>
          <w:sz w:val="28"/>
        </w:rPr>
        <w:t>Method</w:t>
      </w:r>
    </w:p>
    <w:p w14:paraId="20B63B8C" w14:textId="53E3C726" w:rsidR="00452D1C" w:rsidRDefault="00D85AA4" w:rsidP="008E3352">
      <w:pPr>
        <w:spacing w:line="480" w:lineRule="auto"/>
        <w:jc w:val="both"/>
        <w:rPr>
          <w:rFonts w:ascii="Times New Roman" w:hAnsi="Times New Roman" w:cs="Times New Roman"/>
          <w:bCs/>
          <w:kern w:val="24"/>
        </w:rPr>
      </w:pPr>
      <w:r w:rsidRPr="000B4110">
        <w:rPr>
          <w:rFonts w:ascii="Times New Roman" w:hAnsi="Times New Roman" w:cs="Times New Roman"/>
          <w:bCs/>
          <w:kern w:val="24"/>
        </w:rPr>
        <w:t>A mixed method approach using both quantitative and qualitative data</w:t>
      </w:r>
      <w:r>
        <w:rPr>
          <w:rFonts w:ascii="Times New Roman" w:hAnsi="Times New Roman" w:cs="Times New Roman"/>
          <w:bCs/>
          <w:kern w:val="24"/>
        </w:rPr>
        <w:t xml:space="preserve"> was adopted during this study. Both were collected over a period of t</w:t>
      </w:r>
      <w:r w:rsidR="0096011F">
        <w:rPr>
          <w:rFonts w:ascii="Times New Roman" w:hAnsi="Times New Roman" w:cs="Times New Roman"/>
          <w:bCs/>
          <w:kern w:val="24"/>
        </w:rPr>
        <w:t>hree</w:t>
      </w:r>
      <w:r>
        <w:rPr>
          <w:rFonts w:ascii="Times New Roman" w:hAnsi="Times New Roman" w:cs="Times New Roman"/>
          <w:bCs/>
          <w:kern w:val="24"/>
        </w:rPr>
        <w:t xml:space="preserve"> weeks at the University of Manchester through an online survey</w:t>
      </w:r>
      <w:r w:rsidR="00BF63CC">
        <w:rPr>
          <w:rFonts w:ascii="Times New Roman" w:hAnsi="Times New Roman" w:cs="Times New Roman"/>
          <w:bCs/>
          <w:kern w:val="24"/>
        </w:rPr>
        <w:t xml:space="preserve"> </w:t>
      </w:r>
      <w:r>
        <w:rPr>
          <w:rFonts w:ascii="Times New Roman" w:hAnsi="Times New Roman" w:cs="Times New Roman"/>
          <w:bCs/>
          <w:kern w:val="24"/>
        </w:rPr>
        <w:t>and semi-structure interviews.</w:t>
      </w:r>
      <w:r w:rsidR="008A334D">
        <w:rPr>
          <w:rFonts w:ascii="Times New Roman" w:hAnsi="Times New Roman" w:cs="Times New Roman"/>
          <w:bCs/>
          <w:kern w:val="24"/>
        </w:rPr>
        <w:t xml:space="preserve"> In order to take part, students had to be enrolled in a</w:t>
      </w:r>
      <w:r w:rsidR="00452D1C">
        <w:rPr>
          <w:rFonts w:ascii="Times New Roman" w:hAnsi="Times New Roman" w:cs="Times New Roman"/>
          <w:bCs/>
          <w:kern w:val="24"/>
        </w:rPr>
        <w:t>n</w:t>
      </w:r>
      <w:r w:rsidR="008A334D">
        <w:rPr>
          <w:rFonts w:ascii="Times New Roman" w:hAnsi="Times New Roman" w:cs="Times New Roman"/>
          <w:bCs/>
          <w:kern w:val="24"/>
        </w:rPr>
        <w:t xml:space="preserve"> undergraduate degree and study full time </w:t>
      </w:r>
      <w:r w:rsidR="00D46A19">
        <w:rPr>
          <w:rFonts w:ascii="Times New Roman" w:hAnsi="Times New Roman" w:cs="Times New Roman"/>
          <w:bCs/>
          <w:kern w:val="24"/>
        </w:rPr>
        <w:t>at the U</w:t>
      </w:r>
      <w:r w:rsidR="00452D1C">
        <w:rPr>
          <w:rFonts w:ascii="Times New Roman" w:hAnsi="Times New Roman" w:cs="Times New Roman"/>
          <w:bCs/>
          <w:kern w:val="24"/>
        </w:rPr>
        <w:t>niversity of Manchester as well as be subject to tuition fees of £9000/year.</w:t>
      </w:r>
      <w:r w:rsidRPr="009D29C6">
        <w:rPr>
          <w:rFonts w:ascii="Times New Roman" w:hAnsi="Times New Roman" w:cs="Times New Roman"/>
          <w:bCs/>
          <w:kern w:val="24"/>
        </w:rPr>
        <w:t xml:space="preserve"> </w:t>
      </w:r>
      <w:r w:rsidR="001600AC">
        <w:rPr>
          <w:rFonts w:ascii="Times New Roman" w:hAnsi="Times New Roman" w:cs="Times New Roman"/>
          <w:bCs/>
          <w:kern w:val="24"/>
        </w:rPr>
        <w:t xml:space="preserve">The participants recruited were </w:t>
      </w:r>
      <w:r w:rsidR="00142608">
        <w:rPr>
          <w:rFonts w:ascii="Times New Roman" w:hAnsi="Times New Roman" w:cs="Times New Roman"/>
          <w:bCs/>
          <w:kern w:val="24"/>
        </w:rPr>
        <w:t>therefore</w:t>
      </w:r>
      <w:r w:rsidR="001600AC">
        <w:rPr>
          <w:rFonts w:ascii="Times New Roman" w:hAnsi="Times New Roman" w:cs="Times New Roman"/>
          <w:bCs/>
          <w:kern w:val="24"/>
        </w:rPr>
        <w:t xml:space="preserve"> from the United Kingdom or the European Union.</w:t>
      </w:r>
      <w:r w:rsidR="00804965">
        <w:rPr>
          <w:rFonts w:ascii="Times New Roman" w:hAnsi="Times New Roman" w:cs="Times New Roman"/>
          <w:bCs/>
          <w:kern w:val="24"/>
        </w:rPr>
        <w:t xml:space="preserve"> The terminology used</w:t>
      </w:r>
      <w:r w:rsidR="00950F40">
        <w:rPr>
          <w:rFonts w:ascii="Times New Roman" w:hAnsi="Times New Roman" w:cs="Times New Roman"/>
          <w:bCs/>
          <w:kern w:val="24"/>
        </w:rPr>
        <w:t xml:space="preserve"> here</w:t>
      </w:r>
      <w:r w:rsidR="00804965">
        <w:rPr>
          <w:rFonts w:ascii="Times New Roman" w:hAnsi="Times New Roman" w:cs="Times New Roman"/>
          <w:bCs/>
          <w:kern w:val="24"/>
        </w:rPr>
        <w:t xml:space="preserve"> </w:t>
      </w:r>
      <w:r w:rsidR="00950F40">
        <w:rPr>
          <w:rFonts w:ascii="Times New Roman" w:hAnsi="Times New Roman" w:cs="Times New Roman"/>
          <w:bCs/>
          <w:kern w:val="24"/>
        </w:rPr>
        <w:t xml:space="preserve">is the one adopted by universities in terms of </w:t>
      </w:r>
      <w:r w:rsidR="00804965">
        <w:rPr>
          <w:rFonts w:ascii="Times New Roman" w:hAnsi="Times New Roman" w:cs="Times New Roman"/>
          <w:bCs/>
          <w:kern w:val="24"/>
        </w:rPr>
        <w:t>separating stud</w:t>
      </w:r>
      <w:r w:rsidR="00950F40">
        <w:rPr>
          <w:rFonts w:ascii="Times New Roman" w:hAnsi="Times New Roman" w:cs="Times New Roman"/>
          <w:bCs/>
          <w:kern w:val="24"/>
        </w:rPr>
        <w:t>ents as either subject to UK or</w:t>
      </w:r>
      <w:r w:rsidR="00804965">
        <w:rPr>
          <w:rFonts w:ascii="Times New Roman" w:hAnsi="Times New Roman" w:cs="Times New Roman"/>
          <w:bCs/>
          <w:kern w:val="24"/>
        </w:rPr>
        <w:t xml:space="preserve"> EU fees</w:t>
      </w:r>
      <w:r w:rsidR="00831C81">
        <w:rPr>
          <w:rFonts w:ascii="Times New Roman" w:hAnsi="Times New Roman" w:cs="Times New Roman"/>
          <w:bCs/>
          <w:kern w:val="24"/>
        </w:rPr>
        <w:t>.</w:t>
      </w:r>
      <w:r w:rsidR="00804965">
        <w:rPr>
          <w:rFonts w:ascii="Times New Roman" w:hAnsi="Times New Roman" w:cs="Times New Roman"/>
          <w:bCs/>
          <w:kern w:val="24"/>
        </w:rPr>
        <w:t xml:space="preserve"> </w:t>
      </w:r>
    </w:p>
    <w:p w14:paraId="3503AFF3" w14:textId="5F8611DF" w:rsidR="00452D1C" w:rsidRDefault="00BF63CC" w:rsidP="008E3352">
      <w:pPr>
        <w:spacing w:line="480" w:lineRule="auto"/>
        <w:jc w:val="both"/>
        <w:rPr>
          <w:rFonts w:ascii="Times New Roman" w:hAnsi="Times New Roman" w:cs="Times New Roman"/>
          <w:bCs/>
          <w:kern w:val="24"/>
        </w:rPr>
      </w:pPr>
      <w:r>
        <w:rPr>
          <w:rFonts w:ascii="Times New Roman" w:hAnsi="Times New Roman" w:cs="Times New Roman"/>
          <w:bCs/>
          <w:kern w:val="24"/>
        </w:rPr>
        <w:t xml:space="preserve">Study participants were recruited </w:t>
      </w:r>
      <w:r w:rsidR="00831C81">
        <w:rPr>
          <w:rFonts w:ascii="Times New Roman" w:hAnsi="Times New Roman" w:cs="Times New Roman"/>
          <w:bCs/>
          <w:kern w:val="24"/>
        </w:rPr>
        <w:t xml:space="preserve">first </w:t>
      </w:r>
      <w:r>
        <w:rPr>
          <w:rFonts w:ascii="Times New Roman" w:hAnsi="Times New Roman" w:cs="Times New Roman"/>
          <w:bCs/>
          <w:kern w:val="24"/>
        </w:rPr>
        <w:t xml:space="preserve">using the author personal network and then </w:t>
      </w:r>
      <w:r w:rsidR="00831C81">
        <w:rPr>
          <w:rFonts w:ascii="Times New Roman" w:hAnsi="Times New Roman" w:cs="Times New Roman"/>
          <w:bCs/>
          <w:kern w:val="24"/>
        </w:rPr>
        <w:t xml:space="preserve">a </w:t>
      </w:r>
      <w:r w:rsidR="009E67B9">
        <w:rPr>
          <w:rFonts w:ascii="Times New Roman" w:hAnsi="Times New Roman" w:cs="Times New Roman"/>
          <w:bCs/>
          <w:kern w:val="24"/>
        </w:rPr>
        <w:t>s</w:t>
      </w:r>
      <w:r w:rsidR="00D85AA4">
        <w:rPr>
          <w:rFonts w:ascii="Times New Roman" w:hAnsi="Times New Roman" w:cs="Times New Roman"/>
          <w:bCs/>
          <w:kern w:val="24"/>
        </w:rPr>
        <w:t xml:space="preserve">nowballing </w:t>
      </w:r>
      <w:r w:rsidR="009E67B9">
        <w:rPr>
          <w:rFonts w:ascii="Times New Roman" w:hAnsi="Times New Roman" w:cs="Times New Roman"/>
          <w:bCs/>
          <w:kern w:val="24"/>
        </w:rPr>
        <w:t xml:space="preserve">sampling strategy </w:t>
      </w:r>
      <w:r w:rsidR="00D85AA4">
        <w:rPr>
          <w:rFonts w:ascii="Times New Roman" w:hAnsi="Times New Roman" w:cs="Times New Roman"/>
          <w:bCs/>
          <w:kern w:val="24"/>
        </w:rPr>
        <w:t>was used for both the online survey and the interviews. This method was selected in order to i</w:t>
      </w:r>
      <w:r w:rsidR="002C4879">
        <w:rPr>
          <w:rFonts w:ascii="Times New Roman" w:hAnsi="Times New Roman" w:cs="Times New Roman"/>
          <w:bCs/>
          <w:kern w:val="24"/>
        </w:rPr>
        <w:t>ncrease the response rate and</w:t>
      </w:r>
      <w:r w:rsidR="00D85AA4">
        <w:rPr>
          <w:rFonts w:ascii="Times New Roman" w:hAnsi="Times New Roman" w:cs="Times New Roman"/>
          <w:bCs/>
          <w:kern w:val="24"/>
        </w:rPr>
        <w:t xml:space="preserve"> was convenient in order to reach out to people from different backgrounds. </w:t>
      </w:r>
    </w:p>
    <w:p w14:paraId="167911AA" w14:textId="23D230F2" w:rsidR="009E67B9" w:rsidRDefault="009E67B9" w:rsidP="008E3352">
      <w:pPr>
        <w:spacing w:line="480" w:lineRule="auto"/>
        <w:jc w:val="both"/>
        <w:rPr>
          <w:rFonts w:ascii="Times New Roman" w:hAnsi="Times New Roman" w:cs="Times New Roman"/>
          <w:bCs/>
          <w:kern w:val="24"/>
        </w:rPr>
      </w:pPr>
      <w:r>
        <w:rPr>
          <w:rFonts w:ascii="Times New Roman" w:hAnsi="Times New Roman" w:cs="Times New Roman"/>
          <w:bCs/>
          <w:kern w:val="24"/>
        </w:rPr>
        <w:t xml:space="preserve">Before study inclusion, all study participants were provided an information sheet and </w:t>
      </w:r>
      <w:r w:rsidR="00BA27B9">
        <w:rPr>
          <w:rFonts w:ascii="Times New Roman" w:hAnsi="Times New Roman" w:cs="Times New Roman"/>
          <w:bCs/>
          <w:kern w:val="24"/>
        </w:rPr>
        <w:t>those participating in interviews required</w:t>
      </w:r>
      <w:r>
        <w:rPr>
          <w:rFonts w:ascii="Times New Roman" w:hAnsi="Times New Roman" w:cs="Times New Roman"/>
          <w:bCs/>
          <w:kern w:val="24"/>
        </w:rPr>
        <w:t xml:space="preserve"> consent for the data to be used. The study protocol was reviewed and approved by the Ethi</w:t>
      </w:r>
      <w:r w:rsidR="00BA27B9">
        <w:rPr>
          <w:rFonts w:ascii="Times New Roman" w:hAnsi="Times New Roman" w:cs="Times New Roman"/>
          <w:bCs/>
          <w:kern w:val="24"/>
        </w:rPr>
        <w:t xml:space="preserve">cal Committee of the School of Social Sciences at the University of Manchester. Each survey answer was anonymously saved and stored safely </w:t>
      </w:r>
      <w:r w:rsidR="00827FCF">
        <w:rPr>
          <w:rFonts w:ascii="Times New Roman" w:hAnsi="Times New Roman" w:cs="Times New Roman"/>
          <w:bCs/>
          <w:kern w:val="24"/>
        </w:rPr>
        <w:t xml:space="preserve">online </w:t>
      </w:r>
      <w:r w:rsidR="00BA27B9">
        <w:rPr>
          <w:rFonts w:ascii="Times New Roman" w:hAnsi="Times New Roman" w:cs="Times New Roman"/>
          <w:bCs/>
          <w:kern w:val="24"/>
        </w:rPr>
        <w:t>usin</w:t>
      </w:r>
      <w:r w:rsidR="00827FCF">
        <w:rPr>
          <w:rFonts w:ascii="Times New Roman" w:hAnsi="Times New Roman" w:cs="Times New Roman"/>
          <w:bCs/>
          <w:kern w:val="24"/>
        </w:rPr>
        <w:t>g a password-protected platform</w:t>
      </w:r>
      <w:r w:rsidR="00BA27B9">
        <w:rPr>
          <w:rFonts w:ascii="Times New Roman" w:hAnsi="Times New Roman" w:cs="Times New Roman"/>
          <w:bCs/>
          <w:kern w:val="24"/>
        </w:rPr>
        <w:t>.</w:t>
      </w:r>
      <w:r w:rsidR="00071797">
        <w:rPr>
          <w:rFonts w:ascii="Times New Roman" w:hAnsi="Times New Roman" w:cs="Times New Roman"/>
          <w:bCs/>
          <w:kern w:val="24"/>
        </w:rPr>
        <w:t xml:space="preserve"> Voice recording</w:t>
      </w:r>
      <w:r w:rsidR="00775D99">
        <w:rPr>
          <w:rFonts w:ascii="Times New Roman" w:hAnsi="Times New Roman" w:cs="Times New Roman"/>
          <w:bCs/>
          <w:kern w:val="24"/>
        </w:rPr>
        <w:t>s</w:t>
      </w:r>
      <w:r w:rsidR="00071797">
        <w:rPr>
          <w:rFonts w:ascii="Times New Roman" w:hAnsi="Times New Roman" w:cs="Times New Roman"/>
          <w:bCs/>
          <w:kern w:val="24"/>
        </w:rPr>
        <w:t xml:space="preserve"> of the interviews are set to be destroyed after </w:t>
      </w:r>
      <w:r w:rsidR="00775D99">
        <w:rPr>
          <w:rFonts w:ascii="Times New Roman" w:hAnsi="Times New Roman" w:cs="Times New Roman"/>
          <w:bCs/>
          <w:kern w:val="24"/>
        </w:rPr>
        <w:t>the final analysis has taken place.</w:t>
      </w:r>
    </w:p>
    <w:p w14:paraId="38993A32" w14:textId="416B473D" w:rsidR="009E67B9" w:rsidRDefault="00D85AA4" w:rsidP="008E3352">
      <w:pPr>
        <w:spacing w:line="480" w:lineRule="auto"/>
        <w:jc w:val="both"/>
        <w:rPr>
          <w:rFonts w:ascii="Times New Roman" w:hAnsi="Times New Roman" w:cs="Times New Roman"/>
          <w:bCs/>
          <w:kern w:val="24"/>
        </w:rPr>
      </w:pPr>
      <w:r>
        <w:rPr>
          <w:rFonts w:ascii="Times New Roman" w:hAnsi="Times New Roman" w:cs="Times New Roman"/>
          <w:bCs/>
          <w:kern w:val="24"/>
        </w:rPr>
        <w:t xml:space="preserve">The quantitative data was collected through online surveys. The questionnaire contained 14 </w:t>
      </w:r>
      <w:r w:rsidR="00C434D3">
        <w:rPr>
          <w:rFonts w:ascii="Times New Roman" w:hAnsi="Times New Roman" w:cs="Times New Roman"/>
          <w:bCs/>
          <w:kern w:val="24"/>
        </w:rPr>
        <w:t>multiple-choice</w:t>
      </w:r>
      <w:r w:rsidR="00BF63CC">
        <w:rPr>
          <w:rFonts w:ascii="Times New Roman" w:hAnsi="Times New Roman" w:cs="Times New Roman"/>
          <w:bCs/>
          <w:kern w:val="24"/>
        </w:rPr>
        <w:t xml:space="preserve"> </w:t>
      </w:r>
      <w:r>
        <w:rPr>
          <w:rFonts w:ascii="Times New Roman" w:hAnsi="Times New Roman" w:cs="Times New Roman"/>
          <w:bCs/>
          <w:kern w:val="24"/>
        </w:rPr>
        <w:t xml:space="preserve">original questions and an additional section of 3 questions dependent of the answers selected. </w:t>
      </w:r>
    </w:p>
    <w:p w14:paraId="72E25473" w14:textId="35A0B231" w:rsidR="00D85AA4" w:rsidRDefault="00D85AA4" w:rsidP="008E3352">
      <w:pPr>
        <w:spacing w:line="480" w:lineRule="auto"/>
        <w:jc w:val="both"/>
        <w:rPr>
          <w:rFonts w:ascii="Times New Roman" w:hAnsi="Times New Roman" w:cs="Times New Roman"/>
          <w:bCs/>
          <w:kern w:val="24"/>
        </w:rPr>
      </w:pPr>
      <w:r>
        <w:rPr>
          <w:rFonts w:ascii="Times New Roman" w:hAnsi="Times New Roman" w:cs="Times New Roman"/>
          <w:bCs/>
          <w:kern w:val="24"/>
        </w:rPr>
        <w:t xml:space="preserve">The semi-structured interviews were conducted </w:t>
      </w:r>
      <w:r w:rsidR="00104150">
        <w:rPr>
          <w:rFonts w:ascii="Times New Roman" w:hAnsi="Times New Roman" w:cs="Times New Roman"/>
          <w:bCs/>
          <w:kern w:val="24"/>
        </w:rPr>
        <w:t>during the second week of the study</w:t>
      </w:r>
      <w:r>
        <w:rPr>
          <w:rFonts w:ascii="Times New Roman" w:hAnsi="Times New Roman" w:cs="Times New Roman"/>
          <w:bCs/>
          <w:kern w:val="24"/>
        </w:rPr>
        <w:t xml:space="preserve">. </w:t>
      </w:r>
      <w:r w:rsidR="00D83242">
        <w:rPr>
          <w:rFonts w:ascii="Times New Roman" w:hAnsi="Times New Roman" w:cs="Times New Roman"/>
          <w:bCs/>
          <w:kern w:val="24"/>
        </w:rPr>
        <w:t xml:space="preserve">The </w:t>
      </w:r>
      <w:r w:rsidR="00313797">
        <w:rPr>
          <w:rFonts w:ascii="Times New Roman" w:hAnsi="Times New Roman" w:cs="Times New Roman"/>
          <w:bCs/>
          <w:kern w:val="24"/>
        </w:rPr>
        <w:t xml:space="preserve">questionnaire was </w:t>
      </w:r>
      <w:r w:rsidR="00D83242">
        <w:rPr>
          <w:rFonts w:ascii="Times New Roman" w:hAnsi="Times New Roman" w:cs="Times New Roman"/>
          <w:bCs/>
          <w:kern w:val="24"/>
        </w:rPr>
        <w:t>first pilot tested with 5 participants, refined and finalised.</w:t>
      </w:r>
      <w:r w:rsidR="00313797">
        <w:rPr>
          <w:rFonts w:ascii="Times New Roman" w:hAnsi="Times New Roman" w:cs="Times New Roman"/>
          <w:bCs/>
          <w:kern w:val="24"/>
        </w:rPr>
        <w:t xml:space="preserve"> </w:t>
      </w:r>
      <w:r>
        <w:rPr>
          <w:rFonts w:ascii="Times New Roman" w:hAnsi="Times New Roman" w:cs="Times New Roman"/>
          <w:bCs/>
          <w:kern w:val="24"/>
        </w:rPr>
        <w:t xml:space="preserve">The content of the interview questionnaire targeted the same points evaluated on the online survey but in more depth in order to look for reasons of the behaviour being observed quantitatively. </w:t>
      </w:r>
    </w:p>
    <w:p w14:paraId="4F19C717" w14:textId="77028680" w:rsidR="00A61FFF" w:rsidRDefault="00E9386A" w:rsidP="008E3352">
      <w:pPr>
        <w:spacing w:line="480" w:lineRule="auto"/>
        <w:jc w:val="both"/>
        <w:rPr>
          <w:rFonts w:ascii="Times New Roman" w:hAnsi="Times New Roman" w:cs="Times New Roman"/>
          <w:bCs/>
          <w:kern w:val="24"/>
        </w:rPr>
      </w:pPr>
      <w:r>
        <w:rPr>
          <w:rFonts w:ascii="Times New Roman" w:hAnsi="Times New Roman" w:cs="Times New Roman"/>
          <w:bCs/>
          <w:kern w:val="24"/>
        </w:rPr>
        <w:t xml:space="preserve">The quantitative data has been analysed using EXCEL and cross-tabulations </w:t>
      </w:r>
      <w:r w:rsidR="007D44D0">
        <w:rPr>
          <w:rFonts w:ascii="Times New Roman" w:hAnsi="Times New Roman" w:cs="Times New Roman"/>
          <w:bCs/>
          <w:kern w:val="24"/>
        </w:rPr>
        <w:t xml:space="preserve">were </w:t>
      </w:r>
      <w:r w:rsidR="00D83242">
        <w:rPr>
          <w:rFonts w:ascii="Times New Roman" w:hAnsi="Times New Roman" w:cs="Times New Roman"/>
          <w:bCs/>
          <w:kern w:val="24"/>
        </w:rPr>
        <w:t xml:space="preserve">performed using the </w:t>
      </w:r>
      <w:r>
        <w:rPr>
          <w:rFonts w:ascii="Times New Roman" w:hAnsi="Times New Roman" w:cs="Times New Roman"/>
          <w:bCs/>
          <w:kern w:val="24"/>
        </w:rPr>
        <w:t xml:space="preserve">different variables </w:t>
      </w:r>
      <w:r w:rsidR="00D83242">
        <w:rPr>
          <w:rFonts w:ascii="Times New Roman" w:hAnsi="Times New Roman" w:cs="Times New Roman"/>
          <w:bCs/>
          <w:kern w:val="24"/>
        </w:rPr>
        <w:t>collected</w:t>
      </w:r>
      <w:r w:rsidR="00965F6D">
        <w:rPr>
          <w:rFonts w:ascii="Times New Roman" w:hAnsi="Times New Roman" w:cs="Times New Roman"/>
          <w:bCs/>
          <w:kern w:val="24"/>
        </w:rPr>
        <w:t>. The interview</w:t>
      </w:r>
      <w:r w:rsidR="005C0049">
        <w:rPr>
          <w:rFonts w:ascii="Times New Roman" w:hAnsi="Times New Roman" w:cs="Times New Roman"/>
          <w:bCs/>
          <w:kern w:val="24"/>
        </w:rPr>
        <w:t>s</w:t>
      </w:r>
      <w:r w:rsidR="00965F6D">
        <w:rPr>
          <w:rFonts w:ascii="Times New Roman" w:hAnsi="Times New Roman" w:cs="Times New Roman"/>
          <w:bCs/>
          <w:kern w:val="24"/>
        </w:rPr>
        <w:t xml:space="preserve"> ha</w:t>
      </w:r>
      <w:r w:rsidR="005C0049">
        <w:rPr>
          <w:rFonts w:ascii="Times New Roman" w:hAnsi="Times New Roman" w:cs="Times New Roman"/>
          <w:bCs/>
          <w:kern w:val="24"/>
        </w:rPr>
        <w:t>ve</w:t>
      </w:r>
      <w:r w:rsidR="00965F6D">
        <w:rPr>
          <w:rFonts w:ascii="Times New Roman" w:hAnsi="Times New Roman" w:cs="Times New Roman"/>
          <w:bCs/>
          <w:kern w:val="24"/>
        </w:rPr>
        <w:t xml:space="preserve"> been analysed using them</w:t>
      </w:r>
      <w:r w:rsidR="00F90B8A">
        <w:rPr>
          <w:rFonts w:ascii="Times New Roman" w:hAnsi="Times New Roman" w:cs="Times New Roman"/>
          <w:bCs/>
          <w:kern w:val="24"/>
        </w:rPr>
        <w:t>atic analysis and light coding.</w:t>
      </w:r>
    </w:p>
    <w:p w14:paraId="36EEC1A7" w14:textId="77777777" w:rsidR="00F90B8A" w:rsidRPr="00F90B8A" w:rsidRDefault="00F90B8A" w:rsidP="008E3352">
      <w:pPr>
        <w:spacing w:line="480" w:lineRule="auto"/>
        <w:jc w:val="both"/>
        <w:rPr>
          <w:rFonts w:ascii="Times New Roman" w:hAnsi="Times New Roman" w:cs="Times New Roman"/>
          <w:bCs/>
          <w:kern w:val="24"/>
        </w:rPr>
      </w:pPr>
    </w:p>
    <w:p w14:paraId="4BC12D3F" w14:textId="069EAC2B" w:rsidR="00B73DE5" w:rsidRPr="00A61FFF" w:rsidRDefault="00D85AA4" w:rsidP="008E3352">
      <w:pPr>
        <w:spacing w:line="480" w:lineRule="auto"/>
        <w:jc w:val="both"/>
        <w:rPr>
          <w:rFonts w:ascii="Times New Roman" w:hAnsi="Times New Roman" w:cs="Times New Roman"/>
          <w:b/>
          <w:sz w:val="28"/>
          <w:szCs w:val="28"/>
        </w:rPr>
      </w:pPr>
      <w:r w:rsidRPr="00E57029">
        <w:rPr>
          <w:rFonts w:ascii="Times New Roman" w:hAnsi="Times New Roman" w:cs="Times New Roman"/>
          <w:b/>
          <w:sz w:val="28"/>
          <w:szCs w:val="28"/>
        </w:rPr>
        <w:t>Results</w:t>
      </w:r>
    </w:p>
    <w:p w14:paraId="775C2016" w14:textId="66640E8D" w:rsidR="009175A1" w:rsidRDefault="00D83242" w:rsidP="008E3352">
      <w:pPr>
        <w:spacing w:line="480" w:lineRule="auto"/>
        <w:jc w:val="both"/>
        <w:rPr>
          <w:rFonts w:ascii="Times New Roman" w:hAnsi="Times New Roman" w:cs="Times New Roman"/>
          <w:bCs/>
          <w:kern w:val="24"/>
        </w:rPr>
      </w:pPr>
      <w:r>
        <w:rPr>
          <w:rFonts w:ascii="Times New Roman" w:hAnsi="Times New Roman" w:cs="Times New Roman"/>
          <w:bCs/>
          <w:kern w:val="24"/>
        </w:rPr>
        <w:t>A total of 78 study participants did complete the survey, among them 10 were not eligible as not compliant with the study eligibility criteria.</w:t>
      </w:r>
      <w:r w:rsidR="009E67B9">
        <w:rPr>
          <w:rFonts w:ascii="Times New Roman" w:hAnsi="Times New Roman" w:cs="Times New Roman"/>
          <w:bCs/>
          <w:kern w:val="24"/>
        </w:rPr>
        <w:t xml:space="preserve"> The sample was composed o</w:t>
      </w:r>
      <w:r w:rsidR="003A0805">
        <w:rPr>
          <w:rFonts w:ascii="Times New Roman" w:hAnsi="Times New Roman" w:cs="Times New Roman"/>
          <w:bCs/>
          <w:kern w:val="24"/>
        </w:rPr>
        <w:t>f 65% female and 35%</w:t>
      </w:r>
      <w:r w:rsidR="009E67B9">
        <w:rPr>
          <w:rFonts w:ascii="Times New Roman" w:hAnsi="Times New Roman" w:cs="Times New Roman"/>
          <w:bCs/>
          <w:kern w:val="24"/>
        </w:rPr>
        <w:t xml:space="preserve"> male</w:t>
      </w:r>
      <w:r w:rsidR="009175A1">
        <w:rPr>
          <w:rFonts w:ascii="Times New Roman" w:hAnsi="Times New Roman" w:cs="Times New Roman"/>
          <w:bCs/>
          <w:kern w:val="24"/>
        </w:rPr>
        <w:t>.</w:t>
      </w:r>
      <w:r w:rsidR="009E67B9">
        <w:rPr>
          <w:rFonts w:ascii="Times New Roman" w:hAnsi="Times New Roman" w:cs="Times New Roman"/>
          <w:bCs/>
          <w:kern w:val="24"/>
        </w:rPr>
        <w:t xml:space="preserve"> </w:t>
      </w:r>
      <w:r w:rsidR="009175A1">
        <w:rPr>
          <w:rFonts w:ascii="Times New Roman" w:hAnsi="Times New Roman" w:cs="Times New Roman"/>
          <w:bCs/>
          <w:kern w:val="24"/>
        </w:rPr>
        <w:t>The majority of the respondents were UK students (</w:t>
      </w:r>
      <w:r w:rsidR="003A0805">
        <w:rPr>
          <w:rFonts w:ascii="Times New Roman" w:hAnsi="Times New Roman" w:cs="Times New Roman"/>
          <w:bCs/>
          <w:kern w:val="24"/>
        </w:rPr>
        <w:t>68%</w:t>
      </w:r>
      <w:r w:rsidR="005C0049">
        <w:rPr>
          <w:rFonts w:ascii="Times New Roman" w:hAnsi="Times New Roman" w:cs="Times New Roman"/>
          <w:bCs/>
          <w:kern w:val="24"/>
        </w:rPr>
        <w:t>)</w:t>
      </w:r>
      <w:r w:rsidR="009175A1">
        <w:rPr>
          <w:rFonts w:ascii="Times New Roman" w:hAnsi="Times New Roman" w:cs="Times New Roman"/>
          <w:bCs/>
          <w:kern w:val="24"/>
        </w:rPr>
        <w:t xml:space="preserve">, and the remaining part of the sample were </w:t>
      </w:r>
      <w:r w:rsidR="003A0805">
        <w:rPr>
          <w:rFonts w:ascii="Times New Roman" w:hAnsi="Times New Roman" w:cs="Times New Roman"/>
          <w:bCs/>
          <w:kern w:val="24"/>
        </w:rPr>
        <w:t xml:space="preserve">from </w:t>
      </w:r>
      <w:r w:rsidR="009175A1">
        <w:rPr>
          <w:rFonts w:ascii="Times New Roman" w:hAnsi="Times New Roman" w:cs="Times New Roman"/>
          <w:bCs/>
          <w:kern w:val="24"/>
        </w:rPr>
        <w:t xml:space="preserve">outside UK but from </w:t>
      </w:r>
      <w:r w:rsidR="003A0805">
        <w:rPr>
          <w:rFonts w:ascii="Times New Roman" w:hAnsi="Times New Roman" w:cs="Times New Roman"/>
          <w:bCs/>
          <w:kern w:val="24"/>
        </w:rPr>
        <w:t xml:space="preserve">the European Union </w:t>
      </w:r>
      <w:r w:rsidR="009175A1">
        <w:rPr>
          <w:rFonts w:ascii="Times New Roman" w:hAnsi="Times New Roman" w:cs="Times New Roman"/>
          <w:bCs/>
          <w:kern w:val="24"/>
        </w:rPr>
        <w:t>32%.</w:t>
      </w:r>
    </w:p>
    <w:p w14:paraId="7B0FB2B2" w14:textId="7CAD32F6" w:rsidR="009E67B9" w:rsidRDefault="009175A1" w:rsidP="008E3352">
      <w:pPr>
        <w:spacing w:line="480" w:lineRule="auto"/>
        <w:jc w:val="both"/>
        <w:rPr>
          <w:rFonts w:ascii="Times New Roman" w:hAnsi="Times New Roman" w:cs="Times New Roman"/>
          <w:bCs/>
          <w:kern w:val="24"/>
        </w:rPr>
      </w:pPr>
      <w:r>
        <w:rPr>
          <w:rFonts w:ascii="Times New Roman" w:hAnsi="Times New Roman" w:cs="Times New Roman"/>
          <w:bCs/>
          <w:kern w:val="24"/>
        </w:rPr>
        <w:t>A large proportion of the study participant (74%) reported that they benefited from a</w:t>
      </w:r>
      <w:r w:rsidR="003A0805">
        <w:rPr>
          <w:rFonts w:ascii="Times New Roman" w:hAnsi="Times New Roman" w:cs="Times New Roman"/>
          <w:bCs/>
          <w:kern w:val="24"/>
        </w:rPr>
        <w:t xml:space="preserve"> </w:t>
      </w:r>
      <w:r>
        <w:rPr>
          <w:rFonts w:ascii="Times New Roman" w:hAnsi="Times New Roman" w:cs="Times New Roman"/>
          <w:bCs/>
          <w:kern w:val="24"/>
        </w:rPr>
        <w:t>loan in order to afford their studies</w:t>
      </w:r>
      <w:r w:rsidR="00F65B29">
        <w:rPr>
          <w:rFonts w:ascii="Times New Roman" w:hAnsi="Times New Roman" w:cs="Times New Roman"/>
          <w:bCs/>
          <w:kern w:val="24"/>
        </w:rPr>
        <w:t xml:space="preserve"> although they come from various financial backgrounds</w:t>
      </w:r>
      <w:r w:rsidR="00B809DE">
        <w:rPr>
          <w:rFonts w:ascii="Times New Roman" w:hAnsi="Times New Roman" w:cs="Times New Roman"/>
          <w:bCs/>
          <w:kern w:val="24"/>
        </w:rPr>
        <w:t xml:space="preserve">. </w:t>
      </w:r>
      <w:r w:rsidR="009E67B9">
        <w:rPr>
          <w:rFonts w:ascii="Times New Roman" w:hAnsi="Times New Roman" w:cs="Times New Roman"/>
          <w:bCs/>
          <w:kern w:val="24"/>
        </w:rPr>
        <w:t xml:space="preserve">The </w:t>
      </w:r>
      <w:r>
        <w:rPr>
          <w:rFonts w:ascii="Times New Roman" w:hAnsi="Times New Roman" w:cs="Times New Roman"/>
          <w:bCs/>
          <w:kern w:val="24"/>
        </w:rPr>
        <w:t>respondents</w:t>
      </w:r>
      <w:r w:rsidR="009E67B9">
        <w:rPr>
          <w:rFonts w:ascii="Times New Roman" w:hAnsi="Times New Roman" w:cs="Times New Roman"/>
          <w:bCs/>
          <w:kern w:val="24"/>
        </w:rPr>
        <w:t xml:space="preserve"> </w:t>
      </w:r>
      <w:r w:rsidR="005C0049">
        <w:rPr>
          <w:rFonts w:ascii="Times New Roman" w:hAnsi="Times New Roman" w:cs="Times New Roman"/>
          <w:bCs/>
          <w:kern w:val="24"/>
        </w:rPr>
        <w:t xml:space="preserve">are enrolled in </w:t>
      </w:r>
      <w:r w:rsidR="009E67B9">
        <w:rPr>
          <w:rFonts w:ascii="Times New Roman" w:hAnsi="Times New Roman" w:cs="Times New Roman"/>
          <w:bCs/>
          <w:kern w:val="24"/>
        </w:rPr>
        <w:t>various courses including social sciences, arts, languages, business, engineering, medicine as we</w:t>
      </w:r>
      <w:r w:rsidR="00B809DE">
        <w:rPr>
          <w:rFonts w:ascii="Times New Roman" w:hAnsi="Times New Roman" w:cs="Times New Roman"/>
          <w:bCs/>
          <w:kern w:val="24"/>
        </w:rPr>
        <w:t>ll as mathematics and chemistry (Refer to table 1).</w:t>
      </w:r>
    </w:p>
    <w:p w14:paraId="5AF6AA0C" w14:textId="76F3ECA5" w:rsidR="00072997" w:rsidRPr="00A61FFF" w:rsidRDefault="00F65B29" w:rsidP="00A61FFF">
      <w:pPr>
        <w:spacing w:line="480" w:lineRule="auto"/>
        <w:jc w:val="both"/>
        <w:rPr>
          <w:rFonts w:ascii="Times New Roman" w:hAnsi="Times New Roman" w:cs="Times New Roman"/>
          <w:bCs/>
          <w:kern w:val="24"/>
        </w:rPr>
      </w:pPr>
      <w:r>
        <w:rPr>
          <w:rFonts w:ascii="Times New Roman" w:hAnsi="Times New Roman" w:cs="Times New Roman"/>
          <w:bCs/>
          <w:kern w:val="24"/>
        </w:rPr>
        <w:t xml:space="preserve">14 </w:t>
      </w:r>
      <w:r w:rsidR="00FA5722">
        <w:rPr>
          <w:rFonts w:ascii="Times New Roman" w:hAnsi="Times New Roman" w:cs="Times New Roman"/>
          <w:bCs/>
          <w:kern w:val="24"/>
        </w:rPr>
        <w:t xml:space="preserve">people included in the survey sample </w:t>
      </w:r>
      <w:r>
        <w:rPr>
          <w:rFonts w:ascii="Times New Roman" w:hAnsi="Times New Roman" w:cs="Times New Roman"/>
          <w:bCs/>
          <w:kern w:val="24"/>
        </w:rPr>
        <w:t xml:space="preserve">accepted to take part to the </w:t>
      </w:r>
      <w:r w:rsidR="00313797">
        <w:rPr>
          <w:rFonts w:ascii="Times New Roman" w:hAnsi="Times New Roman" w:cs="Times New Roman"/>
          <w:bCs/>
          <w:kern w:val="24"/>
        </w:rPr>
        <w:t>semi-structured interview</w:t>
      </w:r>
      <w:r>
        <w:rPr>
          <w:rFonts w:ascii="Times New Roman" w:hAnsi="Times New Roman" w:cs="Times New Roman"/>
          <w:bCs/>
          <w:kern w:val="24"/>
        </w:rPr>
        <w:t xml:space="preserve">, among them </w:t>
      </w:r>
      <w:r w:rsidR="00313797">
        <w:rPr>
          <w:rFonts w:ascii="Times New Roman" w:hAnsi="Times New Roman" w:cs="Times New Roman"/>
          <w:bCs/>
          <w:kern w:val="24"/>
        </w:rPr>
        <w:t xml:space="preserve">14% male and 86% </w:t>
      </w:r>
      <w:r w:rsidR="009E67B9">
        <w:rPr>
          <w:rFonts w:ascii="Times New Roman" w:hAnsi="Times New Roman" w:cs="Times New Roman"/>
          <w:bCs/>
          <w:kern w:val="24"/>
        </w:rPr>
        <w:t>females</w:t>
      </w:r>
      <w:r w:rsidR="00313797">
        <w:rPr>
          <w:rFonts w:ascii="Times New Roman" w:hAnsi="Times New Roman" w:cs="Times New Roman"/>
          <w:bCs/>
          <w:kern w:val="24"/>
        </w:rPr>
        <w:t>,</w:t>
      </w:r>
      <w:r w:rsidR="009E67B9">
        <w:rPr>
          <w:rFonts w:ascii="Times New Roman" w:hAnsi="Times New Roman" w:cs="Times New Roman"/>
          <w:bCs/>
          <w:kern w:val="24"/>
        </w:rPr>
        <w:t xml:space="preserve"> </w:t>
      </w:r>
      <w:r w:rsidR="00313797">
        <w:rPr>
          <w:rFonts w:ascii="Times New Roman" w:hAnsi="Times New Roman" w:cs="Times New Roman"/>
          <w:bCs/>
          <w:kern w:val="24"/>
        </w:rPr>
        <w:t xml:space="preserve">64% </w:t>
      </w:r>
      <w:r w:rsidR="00DA48E0">
        <w:rPr>
          <w:rFonts w:ascii="Times New Roman" w:hAnsi="Times New Roman" w:cs="Times New Roman"/>
          <w:bCs/>
          <w:kern w:val="24"/>
        </w:rPr>
        <w:t>from the UK and 36%</w:t>
      </w:r>
      <w:r w:rsidR="009E67B9">
        <w:rPr>
          <w:rFonts w:ascii="Times New Roman" w:hAnsi="Times New Roman" w:cs="Times New Roman"/>
          <w:bCs/>
          <w:kern w:val="24"/>
        </w:rPr>
        <w:t xml:space="preserve"> from the EU. </w:t>
      </w:r>
    </w:p>
    <w:p w14:paraId="167E504B" w14:textId="4C317F18" w:rsidR="00072997" w:rsidRPr="00134A19" w:rsidRDefault="00B029AF" w:rsidP="00134A19">
      <w:pPr>
        <w:jc w:val="center"/>
        <w:rPr>
          <w:rFonts w:ascii="Times New Roman" w:hAnsi="Times New Roman" w:cs="Times New Roman"/>
          <w:u w:val="single"/>
        </w:rPr>
      </w:pPr>
      <w:r w:rsidRPr="00134A19">
        <w:rPr>
          <w:rFonts w:ascii="Times New Roman" w:hAnsi="Times New Roman" w:cs="Times New Roman"/>
          <w:u w:val="single"/>
        </w:rPr>
        <w:t>Table</w:t>
      </w:r>
      <w:r w:rsidR="002F70D8" w:rsidRPr="00134A19">
        <w:rPr>
          <w:rFonts w:ascii="Times New Roman" w:hAnsi="Times New Roman" w:cs="Times New Roman"/>
          <w:u w:val="single"/>
        </w:rPr>
        <w:t xml:space="preserve"> 1</w:t>
      </w:r>
      <w:r w:rsidR="00072997" w:rsidRPr="00134A19">
        <w:rPr>
          <w:rFonts w:ascii="Times New Roman" w:hAnsi="Times New Roman" w:cs="Times New Roman"/>
          <w:u w:val="single"/>
        </w:rPr>
        <w:t xml:space="preserve"> </w:t>
      </w:r>
      <w:r w:rsidR="001913C7" w:rsidRPr="00134A19">
        <w:rPr>
          <w:rFonts w:ascii="Times New Roman" w:hAnsi="Times New Roman" w:cs="Times New Roman"/>
          <w:u w:val="single"/>
        </w:rPr>
        <w:t>–</w:t>
      </w:r>
      <w:r w:rsidR="00072997" w:rsidRPr="00134A19">
        <w:rPr>
          <w:rFonts w:ascii="Times New Roman" w:hAnsi="Times New Roman" w:cs="Times New Roman"/>
          <w:u w:val="single"/>
        </w:rPr>
        <w:t xml:space="preserve"> </w:t>
      </w:r>
      <w:r w:rsidR="001913C7" w:rsidRPr="00134A19">
        <w:rPr>
          <w:rFonts w:ascii="Times New Roman" w:hAnsi="Times New Roman" w:cs="Times New Roman"/>
          <w:u w:val="single"/>
        </w:rPr>
        <w:t>C</w:t>
      </w:r>
      <w:r w:rsidR="0074463D" w:rsidRPr="00134A19">
        <w:rPr>
          <w:rFonts w:ascii="Times New Roman" w:hAnsi="Times New Roman" w:cs="Times New Roman"/>
          <w:u w:val="single"/>
        </w:rPr>
        <w:t>haracteristics</w:t>
      </w:r>
      <w:r w:rsidR="001913C7" w:rsidRPr="00134A19">
        <w:rPr>
          <w:rFonts w:ascii="Times New Roman" w:hAnsi="Times New Roman" w:cs="Times New Roman"/>
          <w:u w:val="single"/>
        </w:rPr>
        <w:t xml:space="preserve"> of the study population</w:t>
      </w:r>
    </w:p>
    <w:p w14:paraId="497B79DE" w14:textId="77777777" w:rsidR="009E67B9" w:rsidRDefault="009E67B9" w:rsidP="00CF5579">
      <w:pPr>
        <w:jc w:val="both"/>
        <w:rPr>
          <w:rFonts w:ascii="Times New Roman" w:hAnsi="Times New Roman" w:cs="Times New Roman"/>
        </w:rPr>
      </w:pPr>
    </w:p>
    <w:tbl>
      <w:tblPr>
        <w:tblStyle w:val="TableGrid"/>
        <w:tblW w:w="0" w:type="auto"/>
        <w:tblInd w:w="756" w:type="dxa"/>
        <w:tblLook w:val="04A0" w:firstRow="1" w:lastRow="0" w:firstColumn="1" w:lastColumn="0" w:noHBand="0" w:noVBand="1"/>
      </w:tblPr>
      <w:tblGrid>
        <w:gridCol w:w="2467"/>
        <w:gridCol w:w="2510"/>
        <w:gridCol w:w="2455"/>
      </w:tblGrid>
      <w:tr w:rsidR="00342FEF" w14:paraId="27E09454" w14:textId="38A7C0CD" w:rsidTr="001B6FC3">
        <w:trPr>
          <w:trHeight w:val="114"/>
        </w:trPr>
        <w:tc>
          <w:tcPr>
            <w:tcW w:w="2467" w:type="dxa"/>
            <w:vMerge w:val="restart"/>
            <w:vAlign w:val="center"/>
          </w:tcPr>
          <w:p w14:paraId="73D5EA18" w14:textId="296B0C78" w:rsidR="00342FEF" w:rsidRPr="00072997" w:rsidRDefault="00342FEF" w:rsidP="00342FEF">
            <w:pPr>
              <w:jc w:val="center"/>
              <w:rPr>
                <w:rFonts w:ascii="Times New Roman" w:hAnsi="Times New Roman" w:cs="Times New Roman"/>
                <w:b/>
              </w:rPr>
            </w:pPr>
            <w:r w:rsidRPr="00072997">
              <w:rPr>
                <w:rFonts w:ascii="Times New Roman" w:hAnsi="Times New Roman" w:cs="Times New Roman"/>
                <w:b/>
              </w:rPr>
              <w:t>Gender</w:t>
            </w:r>
          </w:p>
        </w:tc>
        <w:tc>
          <w:tcPr>
            <w:tcW w:w="2510" w:type="dxa"/>
            <w:vAlign w:val="center"/>
          </w:tcPr>
          <w:p w14:paraId="16255D43" w14:textId="3D192CBC" w:rsidR="00342FEF" w:rsidRPr="00AB556E" w:rsidRDefault="00342FEF" w:rsidP="00342FEF">
            <w:pPr>
              <w:jc w:val="center"/>
              <w:rPr>
                <w:rFonts w:ascii="Times New Roman" w:hAnsi="Times New Roman" w:cs="Times New Roman"/>
              </w:rPr>
            </w:pPr>
            <w:r w:rsidRPr="00AB556E">
              <w:rPr>
                <w:rFonts w:ascii="Times New Roman" w:hAnsi="Times New Roman" w:cs="Times New Roman"/>
              </w:rPr>
              <w:t>Male</w:t>
            </w:r>
          </w:p>
        </w:tc>
        <w:tc>
          <w:tcPr>
            <w:tcW w:w="2455" w:type="dxa"/>
            <w:vAlign w:val="center"/>
          </w:tcPr>
          <w:p w14:paraId="5A9882D9" w14:textId="7061A210"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24 (35%)</w:t>
            </w:r>
          </w:p>
        </w:tc>
      </w:tr>
      <w:tr w:rsidR="00342FEF" w14:paraId="178CACA2" w14:textId="0248C431" w:rsidTr="001B6FC3">
        <w:trPr>
          <w:trHeight w:val="113"/>
        </w:trPr>
        <w:tc>
          <w:tcPr>
            <w:tcW w:w="2467" w:type="dxa"/>
            <w:vMerge/>
            <w:vAlign w:val="center"/>
          </w:tcPr>
          <w:p w14:paraId="658285C6" w14:textId="77777777" w:rsidR="00342FEF" w:rsidRPr="00072997" w:rsidRDefault="00342FEF" w:rsidP="00342FEF">
            <w:pPr>
              <w:jc w:val="center"/>
              <w:rPr>
                <w:rFonts w:ascii="Times New Roman" w:hAnsi="Times New Roman" w:cs="Times New Roman"/>
                <w:b/>
              </w:rPr>
            </w:pPr>
          </w:p>
        </w:tc>
        <w:tc>
          <w:tcPr>
            <w:tcW w:w="2510" w:type="dxa"/>
            <w:vAlign w:val="center"/>
          </w:tcPr>
          <w:p w14:paraId="6C4F0AD9" w14:textId="30CA2773" w:rsidR="00342FEF" w:rsidRPr="00AB556E" w:rsidRDefault="00342FEF" w:rsidP="00342FEF">
            <w:pPr>
              <w:jc w:val="center"/>
              <w:rPr>
                <w:rFonts w:ascii="Times New Roman" w:hAnsi="Times New Roman" w:cs="Times New Roman"/>
              </w:rPr>
            </w:pPr>
            <w:r w:rsidRPr="00AB556E">
              <w:rPr>
                <w:rFonts w:ascii="Times New Roman" w:hAnsi="Times New Roman" w:cs="Times New Roman"/>
              </w:rPr>
              <w:t>Female</w:t>
            </w:r>
          </w:p>
        </w:tc>
        <w:tc>
          <w:tcPr>
            <w:tcW w:w="2455" w:type="dxa"/>
            <w:vAlign w:val="center"/>
          </w:tcPr>
          <w:p w14:paraId="5B52EE4B" w14:textId="512AC202" w:rsidR="00342FEF" w:rsidRPr="00AB556E" w:rsidRDefault="00342FEF" w:rsidP="00342FEF">
            <w:pPr>
              <w:jc w:val="center"/>
              <w:rPr>
                <w:rFonts w:ascii="Times New Roman" w:hAnsi="Times New Roman" w:cs="Times New Roman"/>
              </w:rPr>
            </w:pPr>
            <w:r w:rsidRPr="00AB556E">
              <w:rPr>
                <w:rFonts w:ascii="Times New Roman" w:hAnsi="Times New Roman" w:cs="Times New Roman"/>
              </w:rPr>
              <w:t>44 (65%)</w:t>
            </w:r>
          </w:p>
        </w:tc>
      </w:tr>
      <w:tr w:rsidR="00342FEF" w14:paraId="17303B97" w14:textId="2B501309" w:rsidTr="001B6FC3">
        <w:trPr>
          <w:trHeight w:val="59"/>
        </w:trPr>
        <w:tc>
          <w:tcPr>
            <w:tcW w:w="2467" w:type="dxa"/>
            <w:vMerge w:val="restart"/>
            <w:vAlign w:val="center"/>
          </w:tcPr>
          <w:p w14:paraId="6DA717A8" w14:textId="0ACA205A" w:rsidR="00342FEF" w:rsidRPr="00072997" w:rsidRDefault="00342FEF" w:rsidP="00342FEF">
            <w:pPr>
              <w:jc w:val="center"/>
              <w:rPr>
                <w:rFonts w:ascii="Times New Roman" w:hAnsi="Times New Roman" w:cs="Times New Roman"/>
                <w:b/>
              </w:rPr>
            </w:pPr>
            <w:r w:rsidRPr="00072997">
              <w:rPr>
                <w:rFonts w:ascii="Times New Roman" w:hAnsi="Times New Roman" w:cs="Times New Roman"/>
                <w:b/>
              </w:rPr>
              <w:t>Age</w:t>
            </w:r>
          </w:p>
        </w:tc>
        <w:tc>
          <w:tcPr>
            <w:tcW w:w="2510" w:type="dxa"/>
            <w:vAlign w:val="center"/>
          </w:tcPr>
          <w:p w14:paraId="7B2E80B0" w14:textId="420BD041" w:rsidR="00342FEF" w:rsidRPr="00AB556E" w:rsidRDefault="00342FEF" w:rsidP="00342FEF">
            <w:pPr>
              <w:jc w:val="center"/>
              <w:rPr>
                <w:rFonts w:ascii="Times New Roman" w:hAnsi="Times New Roman" w:cs="Times New Roman"/>
              </w:rPr>
            </w:pPr>
            <w:r w:rsidRPr="00AB556E">
              <w:rPr>
                <w:rFonts w:ascii="Times New Roman" w:hAnsi="Times New Roman" w:cs="Times New Roman"/>
              </w:rPr>
              <w:t>18</w:t>
            </w:r>
          </w:p>
        </w:tc>
        <w:tc>
          <w:tcPr>
            <w:tcW w:w="2455" w:type="dxa"/>
            <w:vAlign w:val="center"/>
          </w:tcPr>
          <w:p w14:paraId="3B506B46" w14:textId="64B5F1AF" w:rsidR="00342FEF" w:rsidRPr="00AB556E" w:rsidRDefault="00342FEF" w:rsidP="00342FEF">
            <w:pPr>
              <w:jc w:val="center"/>
              <w:rPr>
                <w:rFonts w:ascii="Times New Roman" w:hAnsi="Times New Roman" w:cs="Times New Roman"/>
              </w:rPr>
            </w:pPr>
            <w:r w:rsidRPr="00AB556E">
              <w:rPr>
                <w:rFonts w:ascii="Times New Roman" w:hAnsi="Times New Roman" w:cs="Times New Roman"/>
              </w:rPr>
              <w:t>6 (9%)</w:t>
            </w:r>
          </w:p>
        </w:tc>
      </w:tr>
      <w:tr w:rsidR="00342FEF" w14:paraId="25E3C0D0" w14:textId="582190CD" w:rsidTr="001B6FC3">
        <w:trPr>
          <w:trHeight w:val="56"/>
        </w:trPr>
        <w:tc>
          <w:tcPr>
            <w:tcW w:w="2467" w:type="dxa"/>
            <w:vMerge/>
            <w:vAlign w:val="center"/>
          </w:tcPr>
          <w:p w14:paraId="2EC72141" w14:textId="77777777" w:rsidR="00342FEF" w:rsidRPr="00072997" w:rsidRDefault="00342FEF" w:rsidP="00342FEF">
            <w:pPr>
              <w:jc w:val="center"/>
              <w:rPr>
                <w:rFonts w:ascii="Times New Roman" w:hAnsi="Times New Roman" w:cs="Times New Roman"/>
                <w:b/>
              </w:rPr>
            </w:pPr>
          </w:p>
        </w:tc>
        <w:tc>
          <w:tcPr>
            <w:tcW w:w="2510" w:type="dxa"/>
            <w:vAlign w:val="center"/>
          </w:tcPr>
          <w:p w14:paraId="2F914F89" w14:textId="5A41323E" w:rsidR="00342FEF" w:rsidRPr="00AB556E" w:rsidRDefault="00342FEF" w:rsidP="00342FEF">
            <w:pPr>
              <w:jc w:val="center"/>
              <w:rPr>
                <w:rFonts w:ascii="Times New Roman" w:hAnsi="Times New Roman" w:cs="Times New Roman"/>
              </w:rPr>
            </w:pPr>
            <w:r w:rsidRPr="00AB556E">
              <w:rPr>
                <w:rFonts w:ascii="Times New Roman" w:hAnsi="Times New Roman" w:cs="Times New Roman"/>
              </w:rPr>
              <w:t>19</w:t>
            </w:r>
          </w:p>
        </w:tc>
        <w:tc>
          <w:tcPr>
            <w:tcW w:w="2455" w:type="dxa"/>
            <w:vAlign w:val="center"/>
          </w:tcPr>
          <w:p w14:paraId="28537CB4" w14:textId="0C776C82" w:rsidR="00342FEF" w:rsidRPr="00AB556E" w:rsidRDefault="00342FEF" w:rsidP="00342FEF">
            <w:pPr>
              <w:jc w:val="center"/>
              <w:rPr>
                <w:rFonts w:ascii="Times New Roman" w:hAnsi="Times New Roman" w:cs="Times New Roman"/>
              </w:rPr>
            </w:pPr>
            <w:r w:rsidRPr="00AB556E">
              <w:rPr>
                <w:rFonts w:ascii="Times New Roman" w:hAnsi="Times New Roman" w:cs="Times New Roman"/>
              </w:rPr>
              <w:t>19 (28%)</w:t>
            </w:r>
          </w:p>
        </w:tc>
      </w:tr>
      <w:tr w:rsidR="00342FEF" w14:paraId="20A07D6E" w14:textId="5A1AD60E" w:rsidTr="001B6FC3">
        <w:trPr>
          <w:trHeight w:val="56"/>
        </w:trPr>
        <w:tc>
          <w:tcPr>
            <w:tcW w:w="2467" w:type="dxa"/>
            <w:vMerge/>
            <w:vAlign w:val="center"/>
          </w:tcPr>
          <w:p w14:paraId="2D68A09D" w14:textId="77777777" w:rsidR="00342FEF" w:rsidRPr="00072997" w:rsidRDefault="00342FEF" w:rsidP="00342FEF">
            <w:pPr>
              <w:jc w:val="center"/>
              <w:rPr>
                <w:rFonts w:ascii="Times New Roman" w:hAnsi="Times New Roman" w:cs="Times New Roman"/>
                <w:b/>
              </w:rPr>
            </w:pPr>
          </w:p>
        </w:tc>
        <w:tc>
          <w:tcPr>
            <w:tcW w:w="2510" w:type="dxa"/>
            <w:vAlign w:val="center"/>
          </w:tcPr>
          <w:p w14:paraId="7B72C11E" w14:textId="12314C31"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20</w:t>
            </w:r>
          </w:p>
        </w:tc>
        <w:tc>
          <w:tcPr>
            <w:tcW w:w="2455" w:type="dxa"/>
            <w:vAlign w:val="center"/>
          </w:tcPr>
          <w:p w14:paraId="21E67197" w14:textId="4C9BD62A" w:rsidR="00342FEF" w:rsidRPr="00AB556E" w:rsidRDefault="00342FEF" w:rsidP="00342FEF">
            <w:pPr>
              <w:jc w:val="center"/>
              <w:rPr>
                <w:rFonts w:ascii="Times New Roman" w:hAnsi="Times New Roman" w:cs="Times New Roman"/>
              </w:rPr>
            </w:pPr>
            <w:r w:rsidRPr="00AB556E">
              <w:rPr>
                <w:rFonts w:ascii="Times New Roman" w:hAnsi="Times New Roman" w:cs="Times New Roman"/>
              </w:rPr>
              <w:t>30 (44%)</w:t>
            </w:r>
          </w:p>
        </w:tc>
      </w:tr>
      <w:tr w:rsidR="00342FEF" w14:paraId="4F32064C" w14:textId="60E7E247" w:rsidTr="001B6FC3">
        <w:trPr>
          <w:trHeight w:val="56"/>
        </w:trPr>
        <w:tc>
          <w:tcPr>
            <w:tcW w:w="2467" w:type="dxa"/>
            <w:vMerge/>
            <w:vAlign w:val="center"/>
          </w:tcPr>
          <w:p w14:paraId="47F8BB0E" w14:textId="77777777" w:rsidR="00342FEF" w:rsidRPr="00072997" w:rsidRDefault="00342FEF" w:rsidP="00342FEF">
            <w:pPr>
              <w:jc w:val="center"/>
              <w:rPr>
                <w:rFonts w:ascii="Times New Roman" w:hAnsi="Times New Roman" w:cs="Times New Roman"/>
                <w:b/>
              </w:rPr>
            </w:pPr>
          </w:p>
        </w:tc>
        <w:tc>
          <w:tcPr>
            <w:tcW w:w="2510" w:type="dxa"/>
            <w:vAlign w:val="center"/>
          </w:tcPr>
          <w:p w14:paraId="26B96A92" w14:textId="21E3B744"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21+</w:t>
            </w:r>
          </w:p>
        </w:tc>
        <w:tc>
          <w:tcPr>
            <w:tcW w:w="2455" w:type="dxa"/>
            <w:vAlign w:val="center"/>
          </w:tcPr>
          <w:p w14:paraId="2C2CD69D" w14:textId="77B92D3C" w:rsidR="00342FEF" w:rsidRPr="00AB556E" w:rsidRDefault="00342FEF" w:rsidP="00342FEF">
            <w:pPr>
              <w:jc w:val="center"/>
              <w:rPr>
                <w:rFonts w:ascii="Times New Roman" w:hAnsi="Times New Roman" w:cs="Times New Roman"/>
              </w:rPr>
            </w:pPr>
            <w:r w:rsidRPr="00AB556E">
              <w:rPr>
                <w:rFonts w:ascii="Times New Roman" w:hAnsi="Times New Roman" w:cs="Times New Roman"/>
              </w:rPr>
              <w:t>13 (19%)</w:t>
            </w:r>
          </w:p>
        </w:tc>
      </w:tr>
      <w:tr w:rsidR="00342FEF" w14:paraId="2E421B3B" w14:textId="55A74DB4" w:rsidTr="001B6FC3">
        <w:trPr>
          <w:trHeight w:val="114"/>
        </w:trPr>
        <w:tc>
          <w:tcPr>
            <w:tcW w:w="2467" w:type="dxa"/>
            <w:vMerge w:val="restart"/>
            <w:vAlign w:val="center"/>
          </w:tcPr>
          <w:p w14:paraId="306ADD8F" w14:textId="0747DE7C" w:rsidR="00342FEF" w:rsidRPr="00072997" w:rsidRDefault="00342FEF" w:rsidP="00342FEF">
            <w:pPr>
              <w:jc w:val="center"/>
              <w:rPr>
                <w:rFonts w:ascii="Times New Roman" w:hAnsi="Times New Roman" w:cs="Times New Roman"/>
                <w:b/>
              </w:rPr>
            </w:pPr>
            <w:r w:rsidRPr="00072997">
              <w:rPr>
                <w:rFonts w:ascii="Times New Roman" w:hAnsi="Times New Roman" w:cs="Times New Roman"/>
                <w:b/>
              </w:rPr>
              <w:t>Country of origin</w:t>
            </w:r>
          </w:p>
        </w:tc>
        <w:tc>
          <w:tcPr>
            <w:tcW w:w="2510" w:type="dxa"/>
            <w:vAlign w:val="center"/>
          </w:tcPr>
          <w:p w14:paraId="51F068F4" w14:textId="0EF74A76" w:rsidR="00342FEF" w:rsidRPr="00AB556E" w:rsidRDefault="00342FEF" w:rsidP="00342FEF">
            <w:pPr>
              <w:jc w:val="center"/>
              <w:rPr>
                <w:rFonts w:ascii="Times New Roman" w:hAnsi="Times New Roman" w:cs="Times New Roman"/>
              </w:rPr>
            </w:pPr>
            <w:r w:rsidRPr="00AB556E">
              <w:rPr>
                <w:rFonts w:ascii="Times New Roman" w:hAnsi="Times New Roman" w:cs="Times New Roman"/>
              </w:rPr>
              <w:t>United Kingdom</w:t>
            </w:r>
          </w:p>
        </w:tc>
        <w:tc>
          <w:tcPr>
            <w:tcW w:w="2455" w:type="dxa"/>
            <w:vAlign w:val="center"/>
          </w:tcPr>
          <w:p w14:paraId="558D7158" w14:textId="16094B9D" w:rsidR="00342FEF" w:rsidRPr="00AB556E" w:rsidRDefault="00342FEF" w:rsidP="00342FEF">
            <w:pPr>
              <w:jc w:val="center"/>
              <w:rPr>
                <w:rFonts w:ascii="Times New Roman" w:hAnsi="Times New Roman" w:cs="Times New Roman"/>
              </w:rPr>
            </w:pPr>
            <w:r w:rsidRPr="00AB556E">
              <w:rPr>
                <w:rFonts w:ascii="Times New Roman" w:hAnsi="Times New Roman" w:cs="Times New Roman"/>
              </w:rPr>
              <w:t>47 (69%)</w:t>
            </w:r>
          </w:p>
        </w:tc>
      </w:tr>
      <w:tr w:rsidR="00342FEF" w14:paraId="69CF4B0E" w14:textId="19F6DAE4" w:rsidTr="001B6FC3">
        <w:trPr>
          <w:trHeight w:val="113"/>
        </w:trPr>
        <w:tc>
          <w:tcPr>
            <w:tcW w:w="2467" w:type="dxa"/>
            <w:vMerge/>
            <w:vAlign w:val="center"/>
          </w:tcPr>
          <w:p w14:paraId="545608C2" w14:textId="77777777" w:rsidR="00342FEF" w:rsidRPr="00072997" w:rsidRDefault="00342FEF" w:rsidP="00342FEF">
            <w:pPr>
              <w:jc w:val="center"/>
              <w:rPr>
                <w:rFonts w:ascii="Times New Roman" w:hAnsi="Times New Roman" w:cs="Times New Roman"/>
                <w:b/>
              </w:rPr>
            </w:pPr>
          </w:p>
        </w:tc>
        <w:tc>
          <w:tcPr>
            <w:tcW w:w="2510" w:type="dxa"/>
            <w:vAlign w:val="center"/>
          </w:tcPr>
          <w:p w14:paraId="6669625F" w14:textId="3FF040F9" w:rsidR="00342FEF" w:rsidRPr="00AB556E" w:rsidRDefault="00342FEF" w:rsidP="00342FEF">
            <w:pPr>
              <w:jc w:val="center"/>
              <w:rPr>
                <w:rFonts w:ascii="Times New Roman" w:hAnsi="Times New Roman" w:cs="Times New Roman"/>
              </w:rPr>
            </w:pPr>
            <w:r w:rsidRPr="00AB556E">
              <w:rPr>
                <w:rFonts w:ascii="Times New Roman" w:hAnsi="Times New Roman" w:cs="Times New Roman"/>
              </w:rPr>
              <w:t>European Union</w:t>
            </w:r>
          </w:p>
        </w:tc>
        <w:tc>
          <w:tcPr>
            <w:tcW w:w="2455" w:type="dxa"/>
            <w:vAlign w:val="center"/>
          </w:tcPr>
          <w:p w14:paraId="039AEEFE" w14:textId="7DA68067"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21 (31%)</w:t>
            </w:r>
          </w:p>
        </w:tc>
      </w:tr>
      <w:tr w:rsidR="00342FEF" w14:paraId="2BE7D98B" w14:textId="3AB910C6" w:rsidTr="001B6FC3">
        <w:trPr>
          <w:trHeight w:val="59"/>
        </w:trPr>
        <w:tc>
          <w:tcPr>
            <w:tcW w:w="2467" w:type="dxa"/>
            <w:vMerge w:val="restart"/>
            <w:vAlign w:val="center"/>
          </w:tcPr>
          <w:p w14:paraId="391B6D3E" w14:textId="6B2F00F4" w:rsidR="00342FEF" w:rsidRPr="00072997" w:rsidRDefault="00342FEF" w:rsidP="00342FEF">
            <w:pPr>
              <w:jc w:val="center"/>
              <w:rPr>
                <w:rFonts w:ascii="Times New Roman" w:hAnsi="Times New Roman" w:cs="Times New Roman"/>
                <w:b/>
              </w:rPr>
            </w:pPr>
            <w:r w:rsidRPr="00072997">
              <w:rPr>
                <w:rFonts w:ascii="Times New Roman" w:hAnsi="Times New Roman" w:cs="Times New Roman"/>
                <w:b/>
              </w:rPr>
              <w:t>Degree</w:t>
            </w:r>
          </w:p>
        </w:tc>
        <w:tc>
          <w:tcPr>
            <w:tcW w:w="2510" w:type="dxa"/>
            <w:vAlign w:val="center"/>
          </w:tcPr>
          <w:p w14:paraId="1BCDEF3F" w14:textId="7AA4120D" w:rsidR="00342FEF" w:rsidRPr="00AB556E" w:rsidRDefault="00342FEF" w:rsidP="00342FEF">
            <w:pPr>
              <w:jc w:val="center"/>
              <w:rPr>
                <w:rFonts w:ascii="Times New Roman" w:hAnsi="Times New Roman" w:cs="Times New Roman"/>
              </w:rPr>
            </w:pPr>
            <w:r w:rsidRPr="00AB556E">
              <w:rPr>
                <w:rFonts w:ascii="Times New Roman" w:hAnsi="Times New Roman" w:cs="Times New Roman"/>
              </w:rPr>
              <w:t>Arts, social science and languages</w:t>
            </w:r>
          </w:p>
        </w:tc>
        <w:tc>
          <w:tcPr>
            <w:tcW w:w="2455" w:type="dxa"/>
            <w:vAlign w:val="center"/>
          </w:tcPr>
          <w:p w14:paraId="227CE19C" w14:textId="53C785A1" w:rsidR="00342FEF" w:rsidRPr="00AB556E" w:rsidRDefault="00342FEF" w:rsidP="00342FEF">
            <w:pPr>
              <w:jc w:val="center"/>
              <w:rPr>
                <w:rFonts w:ascii="Times New Roman" w:hAnsi="Times New Roman" w:cs="Times New Roman"/>
              </w:rPr>
            </w:pPr>
            <w:r w:rsidRPr="00AB556E">
              <w:rPr>
                <w:rFonts w:ascii="Times New Roman" w:hAnsi="Times New Roman" w:cs="Times New Roman"/>
              </w:rPr>
              <w:t>49 (72%)</w:t>
            </w:r>
          </w:p>
        </w:tc>
      </w:tr>
      <w:tr w:rsidR="00342FEF" w14:paraId="02C886AA" w14:textId="71E9013B" w:rsidTr="001B6FC3">
        <w:trPr>
          <w:trHeight w:val="56"/>
        </w:trPr>
        <w:tc>
          <w:tcPr>
            <w:tcW w:w="2467" w:type="dxa"/>
            <w:vMerge/>
            <w:vAlign w:val="center"/>
          </w:tcPr>
          <w:p w14:paraId="1D9C535D" w14:textId="77777777" w:rsidR="00342FEF" w:rsidRPr="00072997" w:rsidRDefault="00342FEF" w:rsidP="00342FEF">
            <w:pPr>
              <w:jc w:val="center"/>
              <w:rPr>
                <w:rFonts w:ascii="Times New Roman" w:hAnsi="Times New Roman" w:cs="Times New Roman"/>
                <w:b/>
              </w:rPr>
            </w:pPr>
          </w:p>
        </w:tc>
        <w:tc>
          <w:tcPr>
            <w:tcW w:w="2510" w:type="dxa"/>
            <w:vAlign w:val="center"/>
          </w:tcPr>
          <w:p w14:paraId="5BD1BC2F" w14:textId="0A7CC804" w:rsidR="00342FEF" w:rsidRPr="00AB556E" w:rsidRDefault="00342FEF" w:rsidP="00342FEF">
            <w:pPr>
              <w:jc w:val="center"/>
              <w:rPr>
                <w:rFonts w:ascii="Times New Roman" w:hAnsi="Times New Roman" w:cs="Times New Roman"/>
              </w:rPr>
            </w:pPr>
            <w:r w:rsidRPr="00AB556E">
              <w:rPr>
                <w:rFonts w:ascii="Times New Roman" w:hAnsi="Times New Roman" w:cs="Times New Roman"/>
              </w:rPr>
              <w:t>Business</w:t>
            </w:r>
          </w:p>
        </w:tc>
        <w:tc>
          <w:tcPr>
            <w:tcW w:w="2455" w:type="dxa"/>
            <w:vAlign w:val="center"/>
          </w:tcPr>
          <w:p w14:paraId="1136EA55" w14:textId="285E5140" w:rsidR="00342FEF" w:rsidRPr="00AB556E" w:rsidRDefault="00342FEF" w:rsidP="00342FEF">
            <w:pPr>
              <w:jc w:val="center"/>
              <w:rPr>
                <w:rFonts w:ascii="Times New Roman" w:hAnsi="Times New Roman" w:cs="Times New Roman"/>
              </w:rPr>
            </w:pPr>
            <w:r w:rsidRPr="00AB556E">
              <w:rPr>
                <w:rFonts w:ascii="Times New Roman" w:hAnsi="Times New Roman" w:cs="Times New Roman"/>
              </w:rPr>
              <w:t>6 (9%)</w:t>
            </w:r>
          </w:p>
        </w:tc>
      </w:tr>
      <w:tr w:rsidR="00342FEF" w14:paraId="00388D56" w14:textId="64E9802B" w:rsidTr="001B6FC3">
        <w:trPr>
          <w:trHeight w:val="56"/>
        </w:trPr>
        <w:tc>
          <w:tcPr>
            <w:tcW w:w="2467" w:type="dxa"/>
            <w:vMerge/>
            <w:vAlign w:val="center"/>
          </w:tcPr>
          <w:p w14:paraId="61E2DBAE" w14:textId="77777777" w:rsidR="00342FEF" w:rsidRPr="00072997" w:rsidRDefault="00342FEF" w:rsidP="00342FEF">
            <w:pPr>
              <w:jc w:val="center"/>
              <w:rPr>
                <w:rFonts w:ascii="Times New Roman" w:hAnsi="Times New Roman" w:cs="Times New Roman"/>
                <w:b/>
              </w:rPr>
            </w:pPr>
          </w:p>
        </w:tc>
        <w:tc>
          <w:tcPr>
            <w:tcW w:w="2510" w:type="dxa"/>
            <w:vAlign w:val="center"/>
          </w:tcPr>
          <w:p w14:paraId="63B737F1" w14:textId="3BEFFD9B" w:rsidR="00342FEF" w:rsidRPr="00AB556E" w:rsidRDefault="00342FEF" w:rsidP="00342FEF">
            <w:pPr>
              <w:jc w:val="center"/>
              <w:rPr>
                <w:rFonts w:ascii="Times New Roman" w:hAnsi="Times New Roman" w:cs="Times New Roman"/>
              </w:rPr>
            </w:pPr>
            <w:r w:rsidRPr="00AB556E">
              <w:rPr>
                <w:rFonts w:ascii="Times New Roman" w:hAnsi="Times New Roman" w:cs="Times New Roman"/>
              </w:rPr>
              <w:t>Engineering</w:t>
            </w:r>
          </w:p>
        </w:tc>
        <w:tc>
          <w:tcPr>
            <w:tcW w:w="2455" w:type="dxa"/>
            <w:vAlign w:val="center"/>
          </w:tcPr>
          <w:p w14:paraId="57129DB2" w14:textId="455FBCF9" w:rsidR="00342FEF" w:rsidRPr="00AB556E" w:rsidRDefault="00342FEF" w:rsidP="00342FEF">
            <w:pPr>
              <w:jc w:val="center"/>
              <w:rPr>
                <w:rFonts w:ascii="Times New Roman" w:hAnsi="Times New Roman" w:cs="Times New Roman"/>
              </w:rPr>
            </w:pPr>
            <w:r w:rsidRPr="00AB556E">
              <w:rPr>
                <w:rFonts w:ascii="Times New Roman" w:hAnsi="Times New Roman" w:cs="Times New Roman"/>
              </w:rPr>
              <w:t>7 (10%)</w:t>
            </w:r>
          </w:p>
        </w:tc>
      </w:tr>
      <w:tr w:rsidR="00342FEF" w14:paraId="7B12C99B" w14:textId="714E2F0A" w:rsidTr="001B6FC3">
        <w:trPr>
          <w:trHeight w:val="56"/>
        </w:trPr>
        <w:tc>
          <w:tcPr>
            <w:tcW w:w="2467" w:type="dxa"/>
            <w:vMerge/>
            <w:vAlign w:val="center"/>
          </w:tcPr>
          <w:p w14:paraId="1492BD4A" w14:textId="77777777" w:rsidR="00342FEF" w:rsidRPr="00072997" w:rsidRDefault="00342FEF" w:rsidP="00342FEF">
            <w:pPr>
              <w:jc w:val="center"/>
              <w:rPr>
                <w:rFonts w:ascii="Times New Roman" w:hAnsi="Times New Roman" w:cs="Times New Roman"/>
                <w:b/>
              </w:rPr>
            </w:pPr>
          </w:p>
        </w:tc>
        <w:tc>
          <w:tcPr>
            <w:tcW w:w="2510" w:type="dxa"/>
            <w:vAlign w:val="center"/>
          </w:tcPr>
          <w:p w14:paraId="00C86812" w14:textId="06C84AB1" w:rsidR="00342FEF" w:rsidRPr="00AB556E" w:rsidRDefault="00342FEF" w:rsidP="00342FEF">
            <w:pPr>
              <w:jc w:val="center"/>
              <w:rPr>
                <w:rFonts w:ascii="Times New Roman" w:hAnsi="Times New Roman" w:cs="Times New Roman"/>
              </w:rPr>
            </w:pPr>
            <w:r w:rsidRPr="00AB556E">
              <w:rPr>
                <w:rFonts w:ascii="Times New Roman" w:hAnsi="Times New Roman" w:cs="Times New Roman"/>
              </w:rPr>
              <w:t>Science</w:t>
            </w:r>
          </w:p>
        </w:tc>
        <w:tc>
          <w:tcPr>
            <w:tcW w:w="2455" w:type="dxa"/>
            <w:vAlign w:val="center"/>
          </w:tcPr>
          <w:p w14:paraId="5C747754" w14:textId="770112A4" w:rsidR="00342FEF" w:rsidRPr="00AB556E" w:rsidRDefault="00342FEF" w:rsidP="00342FEF">
            <w:pPr>
              <w:jc w:val="center"/>
              <w:rPr>
                <w:rFonts w:ascii="Times New Roman" w:hAnsi="Times New Roman" w:cs="Times New Roman"/>
              </w:rPr>
            </w:pPr>
            <w:r w:rsidRPr="00AB556E">
              <w:rPr>
                <w:rFonts w:ascii="Times New Roman" w:hAnsi="Times New Roman" w:cs="Times New Roman"/>
              </w:rPr>
              <w:t>6 (9%)</w:t>
            </w:r>
          </w:p>
        </w:tc>
      </w:tr>
      <w:tr w:rsidR="00342FEF" w14:paraId="6BDD71FE" w14:textId="54B1C0E3" w:rsidTr="001B6FC3">
        <w:trPr>
          <w:trHeight w:val="42"/>
        </w:trPr>
        <w:tc>
          <w:tcPr>
            <w:tcW w:w="2467" w:type="dxa"/>
            <w:vMerge w:val="restart"/>
            <w:vAlign w:val="center"/>
          </w:tcPr>
          <w:p w14:paraId="789161FD" w14:textId="05447C8B" w:rsidR="00342FEF" w:rsidRPr="00072997" w:rsidRDefault="00342FEF" w:rsidP="00342FEF">
            <w:pPr>
              <w:jc w:val="center"/>
              <w:rPr>
                <w:rFonts w:ascii="Times New Roman" w:hAnsi="Times New Roman" w:cs="Times New Roman"/>
                <w:b/>
              </w:rPr>
            </w:pPr>
            <w:r w:rsidRPr="00072997">
              <w:rPr>
                <w:rFonts w:ascii="Times New Roman" w:hAnsi="Times New Roman" w:cs="Times New Roman"/>
                <w:b/>
              </w:rPr>
              <w:t>Financial background</w:t>
            </w:r>
          </w:p>
        </w:tc>
        <w:tc>
          <w:tcPr>
            <w:tcW w:w="2510" w:type="dxa"/>
            <w:vAlign w:val="center"/>
          </w:tcPr>
          <w:p w14:paraId="7432026D" w14:textId="5853234B" w:rsidR="00342FEF" w:rsidRPr="00AB556E" w:rsidRDefault="00342FEF" w:rsidP="00342FEF">
            <w:pPr>
              <w:jc w:val="center"/>
              <w:rPr>
                <w:rFonts w:ascii="Times New Roman" w:hAnsi="Times New Roman" w:cs="Times New Roman"/>
              </w:rPr>
            </w:pPr>
            <w:r w:rsidRPr="00AB556E">
              <w:rPr>
                <w:rFonts w:ascii="Times New Roman" w:eastAsia="Times New Roman" w:hAnsi="Times New Roman" w:cs="Times New Roman"/>
              </w:rPr>
              <w:t>Higher managerial, administrative and professional occupations</w:t>
            </w:r>
          </w:p>
        </w:tc>
        <w:tc>
          <w:tcPr>
            <w:tcW w:w="2455" w:type="dxa"/>
            <w:vAlign w:val="center"/>
          </w:tcPr>
          <w:p w14:paraId="40B98821" w14:textId="29F84A02"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29 (43%)</w:t>
            </w:r>
          </w:p>
          <w:p w14:paraId="68CF1820" w14:textId="06227D6A" w:rsidR="00342FEF" w:rsidRPr="00AB556E" w:rsidRDefault="00342FEF" w:rsidP="00342FEF">
            <w:pPr>
              <w:jc w:val="center"/>
              <w:rPr>
                <w:rFonts w:ascii="Times New Roman" w:hAnsi="Times New Roman" w:cs="Times New Roman"/>
              </w:rPr>
            </w:pPr>
          </w:p>
        </w:tc>
      </w:tr>
      <w:tr w:rsidR="00342FEF" w14:paraId="0905F859" w14:textId="6C03B541" w:rsidTr="001B6FC3">
        <w:trPr>
          <w:trHeight w:val="37"/>
        </w:trPr>
        <w:tc>
          <w:tcPr>
            <w:tcW w:w="2467" w:type="dxa"/>
            <w:vMerge/>
            <w:vAlign w:val="center"/>
          </w:tcPr>
          <w:p w14:paraId="4600CC14" w14:textId="77777777" w:rsidR="00342FEF" w:rsidRDefault="00342FEF" w:rsidP="00342FEF">
            <w:pPr>
              <w:jc w:val="center"/>
              <w:rPr>
                <w:rFonts w:ascii="Times New Roman" w:hAnsi="Times New Roman" w:cs="Times New Roman"/>
              </w:rPr>
            </w:pPr>
          </w:p>
        </w:tc>
        <w:tc>
          <w:tcPr>
            <w:tcW w:w="2510" w:type="dxa"/>
            <w:vAlign w:val="center"/>
          </w:tcPr>
          <w:p w14:paraId="6BE9BDED" w14:textId="77777777" w:rsidR="00342FEF" w:rsidRPr="00AB556E" w:rsidRDefault="00342FEF" w:rsidP="00342FEF">
            <w:pPr>
              <w:jc w:val="center"/>
              <w:rPr>
                <w:rFonts w:ascii="Times New Roman" w:eastAsia="Times New Roman" w:hAnsi="Times New Roman" w:cs="Times New Roman"/>
              </w:rPr>
            </w:pPr>
            <w:r w:rsidRPr="00AB556E">
              <w:rPr>
                <w:rFonts w:ascii="Times New Roman" w:eastAsia="Times New Roman" w:hAnsi="Times New Roman" w:cs="Times New Roman"/>
              </w:rPr>
              <w:t>Lower managerial, administrative and professional occupations:</w:t>
            </w:r>
          </w:p>
          <w:p w14:paraId="625586D5" w14:textId="77777777" w:rsidR="00342FEF" w:rsidRPr="00AB556E" w:rsidRDefault="00342FEF" w:rsidP="00342FEF">
            <w:pPr>
              <w:jc w:val="center"/>
              <w:rPr>
                <w:rFonts w:ascii="Times New Roman" w:hAnsi="Times New Roman" w:cs="Times New Roman"/>
              </w:rPr>
            </w:pPr>
          </w:p>
        </w:tc>
        <w:tc>
          <w:tcPr>
            <w:tcW w:w="2455" w:type="dxa"/>
            <w:vAlign w:val="center"/>
          </w:tcPr>
          <w:p w14:paraId="7F1E7D7D" w14:textId="353BEF04" w:rsidR="00342FEF" w:rsidRPr="00AB556E" w:rsidRDefault="00342FEF" w:rsidP="00342FEF">
            <w:pPr>
              <w:jc w:val="center"/>
              <w:rPr>
                <w:rFonts w:ascii="Times New Roman" w:hAnsi="Times New Roman" w:cs="Times New Roman"/>
              </w:rPr>
            </w:pPr>
            <w:r w:rsidRPr="00AB556E">
              <w:rPr>
                <w:rFonts w:ascii="Times New Roman" w:eastAsia="Times New Roman" w:hAnsi="Times New Roman" w:cs="Times New Roman"/>
              </w:rPr>
              <w:t>17 (25%)</w:t>
            </w:r>
          </w:p>
          <w:p w14:paraId="27A1E61F" w14:textId="024669CD" w:rsidR="00342FEF" w:rsidRPr="00AB556E" w:rsidRDefault="00342FEF" w:rsidP="00342FEF">
            <w:pPr>
              <w:jc w:val="center"/>
              <w:rPr>
                <w:rFonts w:ascii="Times New Roman" w:hAnsi="Times New Roman" w:cs="Times New Roman"/>
              </w:rPr>
            </w:pPr>
          </w:p>
        </w:tc>
      </w:tr>
      <w:tr w:rsidR="00342FEF" w14:paraId="306304F1" w14:textId="65A5B0AC" w:rsidTr="001B6FC3">
        <w:trPr>
          <w:trHeight w:val="37"/>
        </w:trPr>
        <w:tc>
          <w:tcPr>
            <w:tcW w:w="2467" w:type="dxa"/>
            <w:vMerge/>
            <w:vAlign w:val="center"/>
          </w:tcPr>
          <w:p w14:paraId="451533F1" w14:textId="77777777" w:rsidR="00342FEF" w:rsidRDefault="00342FEF" w:rsidP="00342FEF">
            <w:pPr>
              <w:jc w:val="center"/>
              <w:rPr>
                <w:rFonts w:ascii="Times New Roman" w:hAnsi="Times New Roman" w:cs="Times New Roman"/>
              </w:rPr>
            </w:pPr>
          </w:p>
        </w:tc>
        <w:tc>
          <w:tcPr>
            <w:tcW w:w="2510" w:type="dxa"/>
            <w:vAlign w:val="center"/>
          </w:tcPr>
          <w:p w14:paraId="5E6FCE33" w14:textId="6E980A60" w:rsidR="00342FEF" w:rsidRPr="00AB556E" w:rsidRDefault="00342FEF" w:rsidP="00342FEF">
            <w:pPr>
              <w:jc w:val="center"/>
              <w:rPr>
                <w:rFonts w:ascii="Times New Roman" w:hAnsi="Times New Roman" w:cs="Times New Roman"/>
              </w:rPr>
            </w:pPr>
            <w:r w:rsidRPr="00AB556E">
              <w:rPr>
                <w:rFonts w:ascii="Times New Roman" w:eastAsia="Times New Roman" w:hAnsi="Times New Roman" w:cs="Times New Roman"/>
              </w:rPr>
              <w:t>Intermediate occupations</w:t>
            </w:r>
          </w:p>
        </w:tc>
        <w:tc>
          <w:tcPr>
            <w:tcW w:w="2455" w:type="dxa"/>
            <w:vAlign w:val="center"/>
          </w:tcPr>
          <w:p w14:paraId="59767493" w14:textId="574D4072" w:rsidR="00342FEF" w:rsidRPr="00AB556E" w:rsidRDefault="00342FEF" w:rsidP="00342FEF">
            <w:pPr>
              <w:jc w:val="center"/>
              <w:rPr>
                <w:rFonts w:ascii="Times New Roman" w:hAnsi="Times New Roman" w:cs="Times New Roman"/>
              </w:rPr>
            </w:pPr>
            <w:r w:rsidRPr="00AB556E">
              <w:rPr>
                <w:rFonts w:ascii="Times New Roman" w:hAnsi="Times New Roman" w:cs="Times New Roman"/>
              </w:rPr>
              <w:t>7 (10%)</w:t>
            </w:r>
          </w:p>
        </w:tc>
      </w:tr>
      <w:tr w:rsidR="00342FEF" w14:paraId="511D8500" w14:textId="29D9846F" w:rsidTr="001B6FC3">
        <w:trPr>
          <w:trHeight w:val="37"/>
        </w:trPr>
        <w:tc>
          <w:tcPr>
            <w:tcW w:w="2467" w:type="dxa"/>
            <w:vMerge/>
            <w:vAlign w:val="center"/>
          </w:tcPr>
          <w:p w14:paraId="61C16DB6" w14:textId="77777777" w:rsidR="00342FEF" w:rsidRDefault="00342FEF" w:rsidP="00342FEF">
            <w:pPr>
              <w:jc w:val="center"/>
              <w:rPr>
                <w:rFonts w:ascii="Times New Roman" w:hAnsi="Times New Roman" w:cs="Times New Roman"/>
              </w:rPr>
            </w:pPr>
          </w:p>
        </w:tc>
        <w:tc>
          <w:tcPr>
            <w:tcW w:w="2510" w:type="dxa"/>
            <w:vAlign w:val="center"/>
          </w:tcPr>
          <w:p w14:paraId="3752FD87" w14:textId="05D4F87E" w:rsidR="00342FEF" w:rsidRPr="00AB556E" w:rsidRDefault="00342FEF" w:rsidP="00342FEF">
            <w:pPr>
              <w:jc w:val="center"/>
              <w:rPr>
                <w:rFonts w:ascii="Times New Roman" w:eastAsia="Times New Roman" w:hAnsi="Times New Roman" w:cs="Times New Roman"/>
              </w:rPr>
            </w:pPr>
            <w:r w:rsidRPr="00AB556E">
              <w:rPr>
                <w:rFonts w:ascii="Times New Roman" w:eastAsia="Times New Roman" w:hAnsi="Times New Roman" w:cs="Times New Roman"/>
              </w:rPr>
              <w:t>Small employers and own account workers</w:t>
            </w:r>
          </w:p>
          <w:p w14:paraId="5C8714E9" w14:textId="77777777" w:rsidR="00342FEF" w:rsidRPr="00AB556E" w:rsidRDefault="00342FEF" w:rsidP="00342FEF">
            <w:pPr>
              <w:jc w:val="center"/>
              <w:rPr>
                <w:rFonts w:ascii="Times New Roman" w:hAnsi="Times New Roman" w:cs="Times New Roman"/>
              </w:rPr>
            </w:pPr>
          </w:p>
        </w:tc>
        <w:tc>
          <w:tcPr>
            <w:tcW w:w="2455" w:type="dxa"/>
            <w:vAlign w:val="center"/>
          </w:tcPr>
          <w:p w14:paraId="549AC8FD" w14:textId="49AE4701" w:rsidR="00342FEF" w:rsidRPr="00AB556E" w:rsidRDefault="00342FEF" w:rsidP="00342FEF">
            <w:pPr>
              <w:jc w:val="center"/>
              <w:rPr>
                <w:rFonts w:ascii="Times New Roman" w:hAnsi="Times New Roman" w:cs="Times New Roman"/>
              </w:rPr>
            </w:pPr>
            <w:r w:rsidRPr="00AB556E">
              <w:rPr>
                <w:rFonts w:ascii="Times New Roman" w:hAnsi="Times New Roman" w:cs="Times New Roman"/>
              </w:rPr>
              <w:t>7 (10%)</w:t>
            </w:r>
          </w:p>
        </w:tc>
      </w:tr>
      <w:tr w:rsidR="00342FEF" w14:paraId="0EA3EAD6" w14:textId="3F4EDC65" w:rsidTr="001B6FC3">
        <w:trPr>
          <w:trHeight w:val="37"/>
        </w:trPr>
        <w:tc>
          <w:tcPr>
            <w:tcW w:w="2467" w:type="dxa"/>
            <w:vMerge/>
            <w:vAlign w:val="center"/>
          </w:tcPr>
          <w:p w14:paraId="74842AD6" w14:textId="77777777" w:rsidR="00342FEF" w:rsidRDefault="00342FEF" w:rsidP="00342FEF">
            <w:pPr>
              <w:jc w:val="center"/>
              <w:rPr>
                <w:rFonts w:ascii="Times New Roman" w:hAnsi="Times New Roman" w:cs="Times New Roman"/>
              </w:rPr>
            </w:pPr>
          </w:p>
        </w:tc>
        <w:tc>
          <w:tcPr>
            <w:tcW w:w="2510" w:type="dxa"/>
            <w:vAlign w:val="center"/>
          </w:tcPr>
          <w:p w14:paraId="358974B1" w14:textId="33BBEA17" w:rsidR="00342FEF" w:rsidRPr="00AB556E" w:rsidRDefault="00342FEF" w:rsidP="00342FEF">
            <w:pPr>
              <w:jc w:val="center"/>
              <w:rPr>
                <w:rFonts w:ascii="Times New Roman" w:hAnsi="Times New Roman" w:cs="Times New Roman"/>
              </w:rPr>
            </w:pPr>
            <w:r w:rsidRPr="00AB556E">
              <w:rPr>
                <w:rFonts w:ascii="Times New Roman" w:eastAsia="Times New Roman" w:hAnsi="Times New Roman" w:cs="Times New Roman"/>
              </w:rPr>
              <w:t>Lower supervisory and technical occupation</w:t>
            </w:r>
          </w:p>
        </w:tc>
        <w:tc>
          <w:tcPr>
            <w:tcW w:w="2455" w:type="dxa"/>
            <w:vAlign w:val="center"/>
          </w:tcPr>
          <w:p w14:paraId="0D6C4BC8" w14:textId="5C2AC33F" w:rsidR="00342FEF" w:rsidRPr="00AB556E" w:rsidRDefault="00342FEF" w:rsidP="00342FEF">
            <w:pPr>
              <w:jc w:val="center"/>
              <w:rPr>
                <w:rFonts w:ascii="Times New Roman" w:hAnsi="Times New Roman" w:cs="Times New Roman"/>
              </w:rPr>
            </w:pPr>
            <w:r w:rsidRPr="00AB556E">
              <w:rPr>
                <w:rFonts w:ascii="Times New Roman" w:hAnsi="Times New Roman" w:cs="Times New Roman"/>
              </w:rPr>
              <w:t>2 (3%)</w:t>
            </w:r>
          </w:p>
        </w:tc>
      </w:tr>
      <w:tr w:rsidR="00342FEF" w14:paraId="06E82275" w14:textId="29A94202" w:rsidTr="001B6FC3">
        <w:trPr>
          <w:trHeight w:val="37"/>
        </w:trPr>
        <w:tc>
          <w:tcPr>
            <w:tcW w:w="2467" w:type="dxa"/>
            <w:vMerge/>
            <w:vAlign w:val="center"/>
          </w:tcPr>
          <w:p w14:paraId="4174C98A" w14:textId="77777777" w:rsidR="00342FEF" w:rsidRDefault="00342FEF" w:rsidP="00342FEF">
            <w:pPr>
              <w:jc w:val="center"/>
              <w:rPr>
                <w:rFonts w:ascii="Times New Roman" w:hAnsi="Times New Roman" w:cs="Times New Roman"/>
              </w:rPr>
            </w:pPr>
          </w:p>
        </w:tc>
        <w:tc>
          <w:tcPr>
            <w:tcW w:w="2510" w:type="dxa"/>
            <w:vAlign w:val="center"/>
          </w:tcPr>
          <w:p w14:paraId="39F0BFCF" w14:textId="1AC90CE7" w:rsidR="00342FEF" w:rsidRPr="00AB556E" w:rsidRDefault="00342FEF" w:rsidP="00342FEF">
            <w:pPr>
              <w:jc w:val="center"/>
              <w:rPr>
                <w:rFonts w:ascii="Times New Roman" w:hAnsi="Times New Roman" w:cs="Times New Roman"/>
              </w:rPr>
            </w:pPr>
            <w:r w:rsidRPr="00AB556E">
              <w:rPr>
                <w:rFonts w:ascii="Times New Roman" w:eastAsia="Times New Roman" w:hAnsi="Times New Roman" w:cs="Times New Roman"/>
              </w:rPr>
              <w:t>Semi-routine occupations</w:t>
            </w:r>
            <w:r w:rsidRPr="00AB556E">
              <w:rPr>
                <w:rFonts w:ascii="Times New Roman" w:hAnsi="Times New Roman" w:cs="Times New Roman"/>
              </w:rPr>
              <w:t xml:space="preserve"> / </w:t>
            </w:r>
            <w:r w:rsidRPr="00AB556E">
              <w:rPr>
                <w:rFonts w:ascii="Times New Roman" w:eastAsia="Times New Roman" w:hAnsi="Times New Roman" w:cs="Times New Roman"/>
              </w:rPr>
              <w:t>Routine occupations</w:t>
            </w:r>
          </w:p>
        </w:tc>
        <w:tc>
          <w:tcPr>
            <w:tcW w:w="2455" w:type="dxa"/>
            <w:vAlign w:val="center"/>
          </w:tcPr>
          <w:p w14:paraId="38649D02" w14:textId="6F914025" w:rsidR="00342FEF" w:rsidRPr="00AB556E" w:rsidRDefault="00342FEF" w:rsidP="00342FEF">
            <w:pPr>
              <w:jc w:val="center"/>
              <w:rPr>
                <w:rFonts w:ascii="Times New Roman" w:hAnsi="Times New Roman" w:cs="Times New Roman"/>
              </w:rPr>
            </w:pPr>
            <w:r w:rsidRPr="00AB556E">
              <w:rPr>
                <w:rFonts w:ascii="Times New Roman" w:hAnsi="Times New Roman" w:cs="Times New Roman"/>
              </w:rPr>
              <w:t>6 (9%)</w:t>
            </w:r>
          </w:p>
        </w:tc>
      </w:tr>
    </w:tbl>
    <w:p w14:paraId="2B740951" w14:textId="77777777" w:rsidR="00C3440C" w:rsidRDefault="00C3440C" w:rsidP="00CF5579">
      <w:pPr>
        <w:jc w:val="both"/>
        <w:rPr>
          <w:rFonts w:ascii="Times New Roman" w:hAnsi="Times New Roman" w:cs="Times New Roman"/>
        </w:rPr>
      </w:pPr>
    </w:p>
    <w:p w14:paraId="1D963F92" w14:textId="77777777" w:rsidR="00C3440C" w:rsidRPr="0038128B" w:rsidRDefault="00C3440C" w:rsidP="00CF5579">
      <w:pPr>
        <w:jc w:val="both"/>
        <w:rPr>
          <w:rFonts w:ascii="Times New Roman" w:hAnsi="Times New Roman" w:cs="Times New Roman"/>
        </w:rPr>
      </w:pPr>
    </w:p>
    <w:p w14:paraId="3EAA73DC" w14:textId="486A999B" w:rsidR="005C0049" w:rsidRPr="00D05E2E" w:rsidRDefault="005C2FE9" w:rsidP="008E3352">
      <w:pPr>
        <w:spacing w:line="480" w:lineRule="auto"/>
        <w:jc w:val="both"/>
        <w:rPr>
          <w:rFonts w:ascii="Times New Roman" w:hAnsi="Times New Roman" w:cs="Times New Roman"/>
          <w:u w:val="single"/>
        </w:rPr>
      </w:pPr>
      <w:r w:rsidRPr="00D05E2E">
        <w:rPr>
          <w:rFonts w:ascii="Times New Roman" w:hAnsi="Times New Roman" w:cs="Times New Roman"/>
          <w:u w:val="single"/>
        </w:rPr>
        <w:t xml:space="preserve">3.1 </w:t>
      </w:r>
      <w:r w:rsidR="00C67C2E" w:rsidRPr="00D05E2E">
        <w:rPr>
          <w:rFonts w:ascii="Times New Roman" w:hAnsi="Times New Roman" w:cs="Times New Roman"/>
          <w:u w:val="single"/>
        </w:rPr>
        <w:t>Students' motives to go to university and their choice of a particular course are driven by the idea of the return of their original investment in terms of the value of the degree obtained on the work market</w:t>
      </w:r>
      <w:r w:rsidR="00437D84" w:rsidRPr="00D05E2E">
        <w:rPr>
          <w:rFonts w:ascii="Times New Roman" w:hAnsi="Times New Roman" w:cs="Times New Roman"/>
          <w:u w:val="single"/>
        </w:rPr>
        <w:t>.</w:t>
      </w:r>
    </w:p>
    <w:p w14:paraId="58142D8F" w14:textId="356285CA" w:rsidR="008E619F" w:rsidRDefault="00F90B8A" w:rsidP="00F90B8A">
      <w:pPr>
        <w:spacing w:line="480" w:lineRule="auto"/>
        <w:jc w:val="both"/>
        <w:rPr>
          <w:rFonts w:ascii="Times New Roman" w:hAnsi="Times New Roman" w:cs="Times New Roman"/>
        </w:rPr>
      </w:pPr>
      <w:r>
        <w:rPr>
          <w:noProof/>
          <w:lang w:eastAsia="zh-CN"/>
        </w:rPr>
        <w:drawing>
          <wp:anchor distT="0" distB="0" distL="114300" distR="114300" simplePos="0" relativeHeight="251663360" behindDoc="0" locked="0" layoutInCell="1" allowOverlap="1" wp14:anchorId="126BE177" wp14:editId="0A6B98F1">
            <wp:simplePos x="0" y="0"/>
            <wp:positionH relativeFrom="column">
              <wp:posOffset>-114300</wp:posOffset>
            </wp:positionH>
            <wp:positionV relativeFrom="paragraph">
              <wp:posOffset>3657600</wp:posOffset>
            </wp:positionV>
            <wp:extent cx="5947410" cy="4204970"/>
            <wp:effectExtent l="0" t="0" r="21590" b="36830"/>
            <wp:wrapSquare wrapText="bothSides"/>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8128B" w:rsidRPr="0038128B">
        <w:rPr>
          <w:rFonts w:ascii="Times New Roman" w:hAnsi="Times New Roman" w:cs="Times New Roman"/>
        </w:rPr>
        <w:t xml:space="preserve">From the general results obtained from the survey, students do seem to behave </w:t>
      </w:r>
      <w:r w:rsidR="008C62F2">
        <w:rPr>
          <w:rFonts w:ascii="Times New Roman" w:hAnsi="Times New Roman" w:cs="Times New Roman"/>
        </w:rPr>
        <w:t xml:space="preserve">as customer looking </w:t>
      </w:r>
      <w:r w:rsidR="008C62F2" w:rsidRPr="00226636">
        <w:rPr>
          <w:rFonts w:ascii="Times New Roman" w:hAnsi="Times New Roman" w:cs="Times New Roman"/>
        </w:rPr>
        <w:t>to optimise their choice fr</w:t>
      </w:r>
      <w:r w:rsidR="00E83E7C" w:rsidRPr="00226636">
        <w:rPr>
          <w:rFonts w:ascii="Times New Roman" w:hAnsi="Times New Roman" w:cs="Times New Roman"/>
        </w:rPr>
        <w:t>o</w:t>
      </w:r>
      <w:r w:rsidR="008C62F2" w:rsidRPr="00226636">
        <w:rPr>
          <w:rFonts w:ascii="Times New Roman" w:hAnsi="Times New Roman" w:cs="Times New Roman"/>
        </w:rPr>
        <w:t xml:space="preserve">m the moment they </w:t>
      </w:r>
      <w:r w:rsidR="0008436B" w:rsidRPr="00226636">
        <w:rPr>
          <w:rFonts w:ascii="Times New Roman" w:hAnsi="Times New Roman" w:cs="Times New Roman"/>
        </w:rPr>
        <w:t>select</w:t>
      </w:r>
      <w:r w:rsidR="008C62F2" w:rsidRPr="00226636">
        <w:rPr>
          <w:rFonts w:ascii="Times New Roman" w:hAnsi="Times New Roman" w:cs="Times New Roman"/>
        </w:rPr>
        <w:t xml:space="preserve"> a university</w:t>
      </w:r>
      <w:r w:rsidR="008C62F2">
        <w:rPr>
          <w:rFonts w:ascii="Times New Roman" w:hAnsi="Times New Roman" w:cs="Times New Roman"/>
        </w:rPr>
        <w:t xml:space="preserve">. In fact, </w:t>
      </w:r>
      <w:r w:rsidR="0072351C">
        <w:rPr>
          <w:rFonts w:ascii="Times New Roman" w:hAnsi="Times New Roman" w:cs="Times New Roman"/>
        </w:rPr>
        <w:t xml:space="preserve">the quality of education is the first reason selected by </w:t>
      </w:r>
      <w:r w:rsidR="003E13D3">
        <w:rPr>
          <w:rFonts w:ascii="Times New Roman" w:hAnsi="Times New Roman" w:cs="Times New Roman"/>
        </w:rPr>
        <w:t>80</w:t>
      </w:r>
      <w:r w:rsidR="0072351C">
        <w:rPr>
          <w:rFonts w:ascii="Times New Roman" w:hAnsi="Times New Roman" w:cs="Times New Roman"/>
        </w:rPr>
        <w:t xml:space="preserve">% of </w:t>
      </w:r>
      <w:r w:rsidR="00B165D3">
        <w:rPr>
          <w:rFonts w:ascii="Times New Roman" w:hAnsi="Times New Roman" w:cs="Times New Roman"/>
        </w:rPr>
        <w:t>participants surveyed for choosing the U</w:t>
      </w:r>
      <w:r w:rsidR="0072351C">
        <w:rPr>
          <w:rFonts w:ascii="Times New Roman" w:hAnsi="Times New Roman" w:cs="Times New Roman"/>
        </w:rPr>
        <w:t xml:space="preserve">niversity of </w:t>
      </w:r>
      <w:r w:rsidR="00564CC0">
        <w:rPr>
          <w:rFonts w:ascii="Times New Roman" w:hAnsi="Times New Roman" w:cs="Times New Roman"/>
        </w:rPr>
        <w:t xml:space="preserve">Manchester. The rate of employability </w:t>
      </w:r>
      <w:r w:rsidR="00E47FF2">
        <w:rPr>
          <w:rFonts w:ascii="Times New Roman" w:hAnsi="Times New Roman" w:cs="Times New Roman"/>
        </w:rPr>
        <w:t>of graduated students published in league tables</w:t>
      </w:r>
      <w:r w:rsidR="008B593B">
        <w:rPr>
          <w:rFonts w:ascii="Times New Roman" w:hAnsi="Times New Roman" w:cs="Times New Roman"/>
        </w:rPr>
        <w:t xml:space="preserve"> </w:t>
      </w:r>
      <w:r w:rsidR="000F1AFA">
        <w:rPr>
          <w:rFonts w:ascii="Times New Roman" w:hAnsi="Times New Roman" w:cs="Times New Roman"/>
        </w:rPr>
        <w:t xml:space="preserve">comes as a second factor </w:t>
      </w:r>
      <w:r w:rsidR="005E06BF">
        <w:rPr>
          <w:rFonts w:ascii="Times New Roman" w:hAnsi="Times New Roman" w:cs="Times New Roman"/>
        </w:rPr>
        <w:t>influencing more than 50% of students' choice of university.</w:t>
      </w:r>
      <w:r w:rsidR="000720DF">
        <w:rPr>
          <w:rFonts w:ascii="Times New Roman" w:hAnsi="Times New Roman" w:cs="Times New Roman"/>
        </w:rPr>
        <w:t xml:space="preserve"> F</w:t>
      </w:r>
      <w:r w:rsidR="008C382E">
        <w:rPr>
          <w:rFonts w:ascii="Times New Roman" w:hAnsi="Times New Roman" w:cs="Times New Roman"/>
        </w:rPr>
        <w:t xml:space="preserve">actors </w:t>
      </w:r>
      <w:r w:rsidR="00043209">
        <w:rPr>
          <w:rFonts w:ascii="Times New Roman" w:hAnsi="Times New Roman" w:cs="Times New Roman"/>
        </w:rPr>
        <w:t xml:space="preserve">such as the cost of life </w:t>
      </w:r>
      <w:r w:rsidR="00D46A19">
        <w:rPr>
          <w:rFonts w:ascii="Times New Roman" w:hAnsi="Times New Roman" w:cs="Times New Roman"/>
        </w:rPr>
        <w:t>in Manchester or how close the U</w:t>
      </w:r>
      <w:r w:rsidR="00043209">
        <w:rPr>
          <w:rFonts w:ascii="Times New Roman" w:hAnsi="Times New Roman" w:cs="Times New Roman"/>
        </w:rPr>
        <w:t xml:space="preserve">niversity is to home seem less influential </w:t>
      </w:r>
      <w:r w:rsidR="00E83E7C">
        <w:rPr>
          <w:rFonts w:ascii="Times New Roman" w:hAnsi="Times New Roman" w:cs="Times New Roman"/>
        </w:rPr>
        <w:t>(</w:t>
      </w:r>
      <w:r w:rsidR="003E13D3">
        <w:rPr>
          <w:rFonts w:ascii="Times New Roman" w:hAnsi="Times New Roman" w:cs="Times New Roman"/>
        </w:rPr>
        <w:t>23</w:t>
      </w:r>
      <w:r w:rsidR="00043209">
        <w:rPr>
          <w:rFonts w:ascii="Times New Roman" w:hAnsi="Times New Roman" w:cs="Times New Roman"/>
        </w:rPr>
        <w:t xml:space="preserve">% and 26% </w:t>
      </w:r>
      <w:r w:rsidR="00E83E7C">
        <w:rPr>
          <w:rFonts w:ascii="Times New Roman" w:hAnsi="Times New Roman" w:cs="Times New Roman"/>
        </w:rPr>
        <w:t>respectively)</w:t>
      </w:r>
      <w:r w:rsidR="00515116">
        <w:rPr>
          <w:rFonts w:ascii="Times New Roman" w:hAnsi="Times New Roman" w:cs="Times New Roman"/>
        </w:rPr>
        <w:t xml:space="preserve"> and do not compared to the primary importance of the first two factors</w:t>
      </w:r>
      <w:r w:rsidR="00043209">
        <w:rPr>
          <w:rFonts w:ascii="Times New Roman" w:hAnsi="Times New Roman" w:cs="Times New Roman"/>
        </w:rPr>
        <w:t xml:space="preserve">. </w:t>
      </w:r>
      <w:r w:rsidR="00E025FE">
        <w:rPr>
          <w:rFonts w:ascii="Times New Roman" w:hAnsi="Times New Roman" w:cs="Times New Roman"/>
        </w:rPr>
        <w:t>Consequently</w:t>
      </w:r>
      <w:r w:rsidR="00043209">
        <w:rPr>
          <w:rFonts w:ascii="Times New Roman" w:hAnsi="Times New Roman" w:cs="Times New Roman"/>
        </w:rPr>
        <w:t xml:space="preserve">, students do not seem to minimize the original cost of their studies </w:t>
      </w:r>
      <w:r w:rsidR="00BE1C54">
        <w:rPr>
          <w:rFonts w:ascii="Times New Roman" w:hAnsi="Times New Roman" w:cs="Times New Roman"/>
        </w:rPr>
        <w:t xml:space="preserve">as the quality of education </w:t>
      </w:r>
      <w:r w:rsidR="00E91CFA">
        <w:rPr>
          <w:rFonts w:ascii="Times New Roman" w:hAnsi="Times New Roman" w:cs="Times New Roman"/>
        </w:rPr>
        <w:t xml:space="preserve">obtained through getting </w:t>
      </w:r>
      <w:r w:rsidR="00BE1C54">
        <w:rPr>
          <w:rFonts w:ascii="Times New Roman" w:hAnsi="Times New Roman" w:cs="Times New Roman"/>
        </w:rPr>
        <w:t>their d</w:t>
      </w:r>
      <w:r w:rsidR="00E91CFA">
        <w:rPr>
          <w:rFonts w:ascii="Times New Roman" w:hAnsi="Times New Roman" w:cs="Times New Roman"/>
        </w:rPr>
        <w:t xml:space="preserve">egree from a </w:t>
      </w:r>
      <w:r w:rsidR="008B593B">
        <w:rPr>
          <w:rFonts w:ascii="Times New Roman" w:hAnsi="Times New Roman" w:cs="Times New Roman"/>
        </w:rPr>
        <w:t>reputable</w:t>
      </w:r>
      <w:r w:rsidR="00E91CFA">
        <w:rPr>
          <w:rFonts w:ascii="Times New Roman" w:hAnsi="Times New Roman" w:cs="Times New Roman"/>
        </w:rPr>
        <w:t xml:space="preserve"> university is more important.</w:t>
      </w:r>
      <w:r w:rsidR="000720DF">
        <w:rPr>
          <w:rFonts w:ascii="Times New Roman" w:hAnsi="Times New Roman" w:cs="Times New Roman"/>
        </w:rPr>
        <w:t xml:space="preserve"> </w:t>
      </w:r>
    </w:p>
    <w:p w14:paraId="1924B339" w14:textId="77777777" w:rsidR="008E619F" w:rsidRDefault="008E619F" w:rsidP="00CF5579">
      <w:pPr>
        <w:jc w:val="both"/>
        <w:rPr>
          <w:rFonts w:ascii="Times New Roman" w:hAnsi="Times New Roman" w:cs="Times New Roman"/>
        </w:rPr>
      </w:pPr>
    </w:p>
    <w:p w14:paraId="499DC08A" w14:textId="3FFECC20" w:rsidR="00565D81" w:rsidRDefault="000720DF" w:rsidP="008E3352">
      <w:pPr>
        <w:spacing w:line="480" w:lineRule="auto"/>
        <w:jc w:val="both"/>
        <w:rPr>
          <w:rFonts w:ascii="Times New Roman" w:hAnsi="Times New Roman" w:cs="Times New Roman"/>
        </w:rPr>
      </w:pPr>
      <w:r>
        <w:rPr>
          <w:rFonts w:ascii="Times New Roman" w:hAnsi="Times New Roman" w:cs="Times New Roman"/>
        </w:rPr>
        <w:t xml:space="preserve">However, on the </w:t>
      </w:r>
      <w:r w:rsidR="00437D84">
        <w:rPr>
          <w:rFonts w:ascii="Times New Roman" w:hAnsi="Times New Roman" w:cs="Times New Roman"/>
        </w:rPr>
        <w:t>contrary</w:t>
      </w:r>
      <w:r>
        <w:rPr>
          <w:rFonts w:ascii="Times New Roman" w:hAnsi="Times New Roman" w:cs="Times New Roman"/>
        </w:rPr>
        <w:t xml:space="preserve"> to their choice of university,</w:t>
      </w:r>
      <w:r w:rsidR="008B593B">
        <w:rPr>
          <w:rFonts w:ascii="Times New Roman" w:hAnsi="Times New Roman" w:cs="Times New Roman"/>
        </w:rPr>
        <w:t xml:space="preserve"> participant</w:t>
      </w:r>
      <w:r w:rsidR="005F4826">
        <w:rPr>
          <w:rFonts w:ascii="Times New Roman" w:hAnsi="Times New Roman" w:cs="Times New Roman"/>
        </w:rPr>
        <w:t xml:space="preserve">s' choice of degree do not seem to be driven by career </w:t>
      </w:r>
      <w:r w:rsidR="00665EE9">
        <w:rPr>
          <w:rFonts w:ascii="Times New Roman" w:hAnsi="Times New Roman" w:cs="Times New Roman"/>
        </w:rPr>
        <w:t>outcomes but rather</w:t>
      </w:r>
      <w:r>
        <w:rPr>
          <w:rFonts w:ascii="Times New Roman" w:hAnsi="Times New Roman" w:cs="Times New Roman"/>
        </w:rPr>
        <w:t xml:space="preserve"> personal interest</w:t>
      </w:r>
      <w:r w:rsidR="00FF2BDC">
        <w:rPr>
          <w:rFonts w:ascii="Times New Roman" w:hAnsi="Times New Roman" w:cs="Times New Roman"/>
        </w:rPr>
        <w:t xml:space="preserve"> </w:t>
      </w:r>
      <w:r w:rsidR="00E350F2">
        <w:rPr>
          <w:rFonts w:ascii="Times New Roman" w:hAnsi="Times New Roman" w:cs="Times New Roman"/>
        </w:rPr>
        <w:t>for 93</w:t>
      </w:r>
      <w:r w:rsidR="00184E5B">
        <w:rPr>
          <w:rFonts w:ascii="Times New Roman" w:hAnsi="Times New Roman" w:cs="Times New Roman"/>
        </w:rPr>
        <w:t>% of students</w:t>
      </w:r>
      <w:r w:rsidR="00FF2BDC">
        <w:rPr>
          <w:rFonts w:ascii="Times New Roman" w:hAnsi="Times New Roman" w:cs="Times New Roman"/>
        </w:rPr>
        <w:t xml:space="preserve"> surveyed</w:t>
      </w:r>
      <w:r w:rsidR="00184E5B">
        <w:rPr>
          <w:rFonts w:ascii="Times New Roman" w:hAnsi="Times New Roman" w:cs="Times New Roman"/>
        </w:rPr>
        <w:t>.</w:t>
      </w:r>
      <w:r w:rsidR="00DE2D5D">
        <w:rPr>
          <w:rFonts w:ascii="Times New Roman" w:hAnsi="Times New Roman" w:cs="Times New Roman"/>
        </w:rPr>
        <w:t xml:space="preserve"> </w:t>
      </w:r>
      <w:r w:rsidR="00FF2BDC">
        <w:rPr>
          <w:rFonts w:ascii="Times New Roman" w:hAnsi="Times New Roman" w:cs="Times New Roman"/>
        </w:rPr>
        <w:t>Career and job outcomes were</w:t>
      </w:r>
      <w:r w:rsidR="002D0501">
        <w:rPr>
          <w:rFonts w:ascii="Times New Roman" w:hAnsi="Times New Roman" w:cs="Times New Roman"/>
        </w:rPr>
        <w:t xml:space="preserve"> only selected by 52</w:t>
      </w:r>
      <w:r w:rsidR="00FF2BDC">
        <w:rPr>
          <w:rFonts w:ascii="Times New Roman" w:hAnsi="Times New Roman" w:cs="Times New Roman"/>
        </w:rPr>
        <w:t xml:space="preserve">% of students surveyed as </w:t>
      </w:r>
      <w:r w:rsidR="00883CA4">
        <w:rPr>
          <w:rFonts w:ascii="Times New Roman" w:hAnsi="Times New Roman" w:cs="Times New Roman"/>
        </w:rPr>
        <w:t>influential characteristics when choosing their degree</w:t>
      </w:r>
      <w:r w:rsidR="0065659E">
        <w:rPr>
          <w:rFonts w:ascii="Times New Roman" w:hAnsi="Times New Roman" w:cs="Times New Roman"/>
        </w:rPr>
        <w:t xml:space="preserve">. </w:t>
      </w:r>
    </w:p>
    <w:p w14:paraId="65030042" w14:textId="3067CA83" w:rsidR="00565D81" w:rsidRDefault="00565D81" w:rsidP="00CF5579">
      <w:pPr>
        <w:jc w:val="both"/>
        <w:rPr>
          <w:rFonts w:ascii="Times New Roman" w:hAnsi="Times New Roman" w:cs="Times New Roman"/>
        </w:rPr>
      </w:pPr>
    </w:p>
    <w:p w14:paraId="5357CC2F" w14:textId="18D0C9CD" w:rsidR="00565D81" w:rsidRDefault="00257A15" w:rsidP="00CF5579">
      <w:pPr>
        <w:jc w:val="both"/>
        <w:rPr>
          <w:rFonts w:ascii="Times New Roman" w:hAnsi="Times New Roman" w:cs="Times New Roman"/>
        </w:rPr>
      </w:pPr>
      <w:r>
        <w:rPr>
          <w:noProof/>
          <w:lang w:eastAsia="zh-CN"/>
        </w:rPr>
        <w:drawing>
          <wp:anchor distT="0" distB="0" distL="114300" distR="114300" simplePos="0" relativeHeight="251662336" behindDoc="0" locked="0" layoutInCell="1" allowOverlap="1" wp14:anchorId="4024E18C" wp14:editId="634CBE91">
            <wp:simplePos x="0" y="0"/>
            <wp:positionH relativeFrom="column">
              <wp:posOffset>0</wp:posOffset>
            </wp:positionH>
            <wp:positionV relativeFrom="paragraph">
              <wp:posOffset>342900</wp:posOffset>
            </wp:positionV>
            <wp:extent cx="5756910" cy="4319905"/>
            <wp:effectExtent l="0" t="0" r="34290" b="23495"/>
            <wp:wrapSquare wrapText="bothSides"/>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46B159E" w14:textId="77777777" w:rsidR="00392572" w:rsidRDefault="00392572" w:rsidP="00CF5579">
      <w:pPr>
        <w:jc w:val="both"/>
        <w:rPr>
          <w:rFonts w:ascii="Times New Roman" w:hAnsi="Times New Roman" w:cs="Times New Roman"/>
        </w:rPr>
      </w:pPr>
    </w:p>
    <w:p w14:paraId="1F5C3A65" w14:textId="445DF925" w:rsidR="005C2FE9" w:rsidRPr="0038128B" w:rsidRDefault="0065659E" w:rsidP="008E3352">
      <w:pPr>
        <w:spacing w:line="480" w:lineRule="auto"/>
        <w:jc w:val="both"/>
        <w:rPr>
          <w:rFonts w:ascii="Times New Roman" w:hAnsi="Times New Roman" w:cs="Times New Roman"/>
        </w:rPr>
      </w:pPr>
      <w:r>
        <w:rPr>
          <w:rFonts w:ascii="Times New Roman" w:hAnsi="Times New Roman" w:cs="Times New Roman"/>
        </w:rPr>
        <w:t xml:space="preserve">We can now infer that in general, students believe their choice of university to be more important towards their career than their choice of degree </w:t>
      </w:r>
      <w:r w:rsidR="00F01984">
        <w:rPr>
          <w:rFonts w:ascii="Times New Roman" w:hAnsi="Times New Roman" w:cs="Times New Roman"/>
        </w:rPr>
        <w:t>is</w:t>
      </w:r>
      <w:r w:rsidR="00DC5FC7">
        <w:rPr>
          <w:rFonts w:ascii="Times New Roman" w:hAnsi="Times New Roman" w:cs="Times New Roman"/>
        </w:rPr>
        <w:t xml:space="preserve">. In fact, participants </w:t>
      </w:r>
      <w:r w:rsidR="00FA2A6C">
        <w:rPr>
          <w:rFonts w:ascii="Times New Roman" w:hAnsi="Times New Roman" w:cs="Times New Roman"/>
        </w:rPr>
        <w:t xml:space="preserve">surveyed </w:t>
      </w:r>
      <w:r w:rsidR="00DC5FC7">
        <w:rPr>
          <w:rFonts w:ascii="Times New Roman" w:hAnsi="Times New Roman" w:cs="Times New Roman"/>
        </w:rPr>
        <w:t>seem</w:t>
      </w:r>
      <w:r w:rsidR="00FA2A6C">
        <w:rPr>
          <w:rFonts w:ascii="Times New Roman" w:hAnsi="Times New Roman" w:cs="Times New Roman"/>
        </w:rPr>
        <w:t xml:space="preserve"> to consider a particular choice of degree </w:t>
      </w:r>
      <w:r w:rsidR="001E1769">
        <w:rPr>
          <w:rFonts w:ascii="Times New Roman" w:hAnsi="Times New Roman" w:cs="Times New Roman"/>
        </w:rPr>
        <w:t>mostly based on the interest they place in it rather than career considerations</w:t>
      </w:r>
      <w:r w:rsidR="008E3D87">
        <w:rPr>
          <w:rFonts w:ascii="Times New Roman" w:hAnsi="Times New Roman" w:cs="Times New Roman"/>
        </w:rPr>
        <w:t>,</w:t>
      </w:r>
      <w:r w:rsidR="001E1769">
        <w:rPr>
          <w:rFonts w:ascii="Times New Roman" w:hAnsi="Times New Roman" w:cs="Times New Roman"/>
        </w:rPr>
        <w:t xml:space="preserve"> which does not portray a customer attitude. </w:t>
      </w:r>
      <w:r w:rsidR="00B0123C">
        <w:rPr>
          <w:rFonts w:ascii="Times New Roman" w:hAnsi="Times New Roman" w:cs="Times New Roman"/>
        </w:rPr>
        <w:t>That illustrates the fact that the reputation</w:t>
      </w:r>
      <w:r w:rsidR="00B3433A">
        <w:rPr>
          <w:rFonts w:ascii="Times New Roman" w:hAnsi="Times New Roman" w:cs="Times New Roman"/>
        </w:rPr>
        <w:t xml:space="preserve"> of the university brought by </w:t>
      </w:r>
      <w:r w:rsidR="00B0123C">
        <w:rPr>
          <w:rFonts w:ascii="Times New Roman" w:hAnsi="Times New Roman" w:cs="Times New Roman"/>
        </w:rPr>
        <w:t xml:space="preserve"> league tables is what transparent as the best employability indicator. When asked about their choice of degree, students </w:t>
      </w:r>
      <w:r w:rsidR="00225AF1">
        <w:rPr>
          <w:rFonts w:ascii="Times New Roman" w:hAnsi="Times New Roman" w:cs="Times New Roman"/>
        </w:rPr>
        <w:t xml:space="preserve">interviewed </w:t>
      </w:r>
      <w:r w:rsidR="00B0123C">
        <w:rPr>
          <w:rFonts w:ascii="Times New Roman" w:hAnsi="Times New Roman" w:cs="Times New Roman"/>
        </w:rPr>
        <w:t>said "I have always thought that studying in general would open up more doors" or that "I did not think in details, more the fact that a degree would lead me to a job". Others also mentioned that "the piece of matter</w:t>
      </w:r>
      <w:r w:rsidR="004C6EEC">
        <w:rPr>
          <w:rFonts w:ascii="Times New Roman" w:hAnsi="Times New Roman" w:cs="Times New Roman"/>
        </w:rPr>
        <w:t xml:space="preserve"> from a good institution</w:t>
      </w:r>
      <w:r w:rsidR="00B0123C">
        <w:rPr>
          <w:rFonts w:ascii="Times New Roman" w:hAnsi="Times New Roman" w:cs="Times New Roman"/>
        </w:rPr>
        <w:t xml:space="preserve">" proving that you are educated </w:t>
      </w:r>
      <w:r w:rsidR="00362805">
        <w:rPr>
          <w:rFonts w:ascii="Times New Roman" w:hAnsi="Times New Roman" w:cs="Times New Roman"/>
        </w:rPr>
        <w:t xml:space="preserve">is what </w:t>
      </w:r>
      <w:r w:rsidR="00B0123C">
        <w:rPr>
          <w:rFonts w:ascii="Times New Roman" w:hAnsi="Times New Roman" w:cs="Times New Roman"/>
        </w:rPr>
        <w:t xml:space="preserve">matters most. </w:t>
      </w:r>
      <w:r w:rsidR="00256EA9">
        <w:rPr>
          <w:rFonts w:ascii="Times New Roman" w:hAnsi="Times New Roman" w:cs="Times New Roman"/>
        </w:rPr>
        <w:t>Thi</w:t>
      </w:r>
      <w:r w:rsidR="00AB3124">
        <w:rPr>
          <w:rFonts w:ascii="Times New Roman" w:hAnsi="Times New Roman" w:cs="Times New Roman"/>
        </w:rPr>
        <w:t xml:space="preserve">s argument connects with the one explored previously by </w:t>
      </w:r>
      <w:r w:rsidR="00AB3124" w:rsidRPr="009F7926">
        <w:rPr>
          <w:rFonts w:ascii="Times New Roman" w:hAnsi="Times New Roman" w:cs="Times New Roman"/>
          <w:lang w:val="fr-FR"/>
        </w:rPr>
        <w:t xml:space="preserve">Wilkins </w:t>
      </w:r>
      <w:r w:rsidR="00AB3124" w:rsidRPr="009F7926">
        <w:rPr>
          <w:rFonts w:ascii="Times New Roman" w:hAnsi="Times New Roman" w:cs="Times New Roman"/>
          <w:i/>
          <w:lang w:val="fr-FR"/>
        </w:rPr>
        <w:t>et al</w:t>
      </w:r>
      <w:r w:rsidR="00AB3124">
        <w:rPr>
          <w:rFonts w:ascii="Times New Roman" w:hAnsi="Times New Roman" w:cs="Times New Roman"/>
          <w:lang w:val="fr-FR"/>
        </w:rPr>
        <w:t xml:space="preserve"> (</w:t>
      </w:r>
      <w:r w:rsidR="00AB3124" w:rsidRPr="009F7926">
        <w:rPr>
          <w:rFonts w:ascii="Times New Roman" w:hAnsi="Times New Roman" w:cs="Times New Roman"/>
          <w:lang w:val="fr-FR"/>
        </w:rPr>
        <w:t>2013</w:t>
      </w:r>
      <w:r w:rsidR="00AB3124" w:rsidRPr="00AB3124">
        <w:rPr>
          <w:rFonts w:ascii="Times New Roman" w:hAnsi="Times New Roman" w:cs="Times New Roman"/>
        </w:rPr>
        <w:t>) mentioning</w:t>
      </w:r>
      <w:r w:rsidR="00BC09DA">
        <w:rPr>
          <w:rFonts w:ascii="Times New Roman" w:hAnsi="Times New Roman" w:cs="Times New Roman"/>
        </w:rPr>
        <w:t xml:space="preserve"> that the value</w:t>
      </w:r>
      <w:r w:rsidR="00EE540C">
        <w:rPr>
          <w:rFonts w:ascii="Times New Roman" w:hAnsi="Times New Roman" w:cs="Times New Roman"/>
        </w:rPr>
        <w:t xml:space="preserve"> of university</w:t>
      </w:r>
      <w:r w:rsidR="00BC09DA">
        <w:rPr>
          <w:rFonts w:ascii="Times New Roman" w:hAnsi="Times New Roman" w:cs="Times New Roman"/>
        </w:rPr>
        <w:t xml:space="preserve"> resides </w:t>
      </w:r>
      <w:r w:rsidR="00E20978">
        <w:rPr>
          <w:rFonts w:ascii="Times New Roman" w:hAnsi="Times New Roman" w:cs="Times New Roman"/>
        </w:rPr>
        <w:t xml:space="preserve">in </w:t>
      </w:r>
      <w:r w:rsidR="00BC09DA">
        <w:rPr>
          <w:rFonts w:ascii="Times New Roman" w:hAnsi="Times New Roman" w:cs="Times New Roman"/>
        </w:rPr>
        <w:t>ob</w:t>
      </w:r>
      <w:r w:rsidR="00E20978">
        <w:rPr>
          <w:rFonts w:ascii="Times New Roman" w:hAnsi="Times New Roman" w:cs="Times New Roman"/>
        </w:rPr>
        <w:t>taining a generic degree</w:t>
      </w:r>
      <w:r w:rsidR="00B677E6">
        <w:rPr>
          <w:rFonts w:ascii="Times New Roman" w:hAnsi="Times New Roman" w:cs="Times New Roman"/>
        </w:rPr>
        <w:t xml:space="preserve"> and students do not think of what it actually entails.</w:t>
      </w:r>
      <w:r w:rsidR="00E20978">
        <w:rPr>
          <w:rFonts w:ascii="Times New Roman" w:hAnsi="Times New Roman" w:cs="Times New Roman"/>
        </w:rPr>
        <w:t xml:space="preserve"> </w:t>
      </w:r>
      <w:r w:rsidR="00C80602">
        <w:rPr>
          <w:rFonts w:ascii="Times New Roman" w:hAnsi="Times New Roman" w:cs="Times New Roman"/>
        </w:rPr>
        <w:t>Nonetheless, if it does seem to be the general tendency</w:t>
      </w:r>
      <w:r w:rsidR="007221F1">
        <w:rPr>
          <w:rFonts w:ascii="Times New Roman" w:hAnsi="Times New Roman" w:cs="Times New Roman"/>
        </w:rPr>
        <w:t>, differences of behaviour can be observed among different groups</w:t>
      </w:r>
      <w:r w:rsidR="0034266D">
        <w:rPr>
          <w:rFonts w:ascii="Times New Roman" w:hAnsi="Times New Roman" w:cs="Times New Roman"/>
        </w:rPr>
        <w:t xml:space="preserve"> fitting the customer analogy more.</w:t>
      </w:r>
    </w:p>
    <w:p w14:paraId="6C510072" w14:textId="0294424B" w:rsidR="005039C0" w:rsidRPr="0053326E" w:rsidRDefault="004B115B" w:rsidP="008E3352">
      <w:pPr>
        <w:spacing w:line="480" w:lineRule="auto"/>
        <w:jc w:val="both"/>
        <w:rPr>
          <w:rFonts w:ascii="Times New Roman" w:hAnsi="Times New Roman" w:cs="Times New Roman"/>
        </w:rPr>
      </w:pPr>
      <w:r w:rsidRPr="0053326E">
        <w:rPr>
          <w:rFonts w:ascii="Times New Roman" w:hAnsi="Times New Roman" w:cs="Times New Roman"/>
        </w:rPr>
        <w:t xml:space="preserve">For </w:t>
      </w:r>
      <w:r w:rsidR="000931EA" w:rsidRPr="0053326E">
        <w:rPr>
          <w:rFonts w:ascii="Times New Roman" w:hAnsi="Times New Roman" w:cs="Times New Roman"/>
        </w:rPr>
        <w:t>example</w:t>
      </w:r>
      <w:r w:rsidRPr="0053326E">
        <w:rPr>
          <w:rFonts w:ascii="Times New Roman" w:hAnsi="Times New Roman" w:cs="Times New Roman"/>
        </w:rPr>
        <w:t>, certain groups care more</w:t>
      </w:r>
      <w:r w:rsidR="00E824C8">
        <w:rPr>
          <w:rFonts w:ascii="Times New Roman" w:hAnsi="Times New Roman" w:cs="Times New Roman"/>
        </w:rPr>
        <w:t xml:space="preserve"> about</w:t>
      </w:r>
      <w:r w:rsidRPr="0053326E">
        <w:rPr>
          <w:rFonts w:ascii="Times New Roman" w:hAnsi="Times New Roman" w:cs="Times New Roman"/>
        </w:rPr>
        <w:t xml:space="preserve"> the rate of employment when first applying to </w:t>
      </w:r>
      <w:r w:rsidR="00B3433A">
        <w:rPr>
          <w:rFonts w:ascii="Times New Roman" w:hAnsi="Times New Roman" w:cs="Times New Roman"/>
        </w:rPr>
        <w:t>the U</w:t>
      </w:r>
      <w:r w:rsidRPr="0053326E">
        <w:rPr>
          <w:rFonts w:ascii="Times New Roman" w:hAnsi="Times New Roman" w:cs="Times New Roman"/>
        </w:rPr>
        <w:t>niversity</w:t>
      </w:r>
      <w:r w:rsidR="00B3433A">
        <w:rPr>
          <w:rFonts w:ascii="Times New Roman" w:hAnsi="Times New Roman" w:cs="Times New Roman"/>
        </w:rPr>
        <w:t xml:space="preserve"> of Manchester</w:t>
      </w:r>
      <w:r w:rsidR="00477AEE">
        <w:rPr>
          <w:rFonts w:ascii="Times New Roman" w:hAnsi="Times New Roman" w:cs="Times New Roman"/>
        </w:rPr>
        <w:t>,</w:t>
      </w:r>
      <w:r w:rsidR="003F6A3D">
        <w:rPr>
          <w:rFonts w:ascii="Times New Roman" w:hAnsi="Times New Roman" w:cs="Times New Roman"/>
        </w:rPr>
        <w:t xml:space="preserve"> they are </w:t>
      </w:r>
      <w:r w:rsidRPr="0053326E">
        <w:rPr>
          <w:rFonts w:ascii="Times New Roman" w:hAnsi="Times New Roman" w:cs="Times New Roman"/>
        </w:rPr>
        <w:t xml:space="preserve">thus more confident in the outcomes of </w:t>
      </w:r>
      <w:r w:rsidR="0053326E" w:rsidRPr="0053326E">
        <w:rPr>
          <w:rFonts w:ascii="Times New Roman" w:hAnsi="Times New Roman" w:cs="Times New Roman"/>
        </w:rPr>
        <w:t xml:space="preserve">their degree. </w:t>
      </w:r>
    </w:p>
    <w:p w14:paraId="724E4234" w14:textId="4677E959" w:rsidR="0017232A" w:rsidRDefault="0053326E" w:rsidP="008E3352">
      <w:pPr>
        <w:spacing w:line="480" w:lineRule="auto"/>
        <w:jc w:val="both"/>
        <w:rPr>
          <w:rFonts w:ascii="Times New Roman" w:hAnsi="Times New Roman" w:cs="Times New Roman"/>
        </w:rPr>
      </w:pPr>
      <w:r w:rsidRPr="0053326E">
        <w:rPr>
          <w:rFonts w:ascii="Times New Roman" w:hAnsi="Times New Roman" w:cs="Times New Roman"/>
        </w:rPr>
        <w:t>I</w:t>
      </w:r>
      <w:r w:rsidR="00547539" w:rsidRPr="0053326E">
        <w:rPr>
          <w:rFonts w:ascii="Times New Roman" w:hAnsi="Times New Roman" w:cs="Times New Roman"/>
        </w:rPr>
        <w:t xml:space="preserve">f </w:t>
      </w:r>
      <w:r w:rsidR="0074135D">
        <w:rPr>
          <w:rFonts w:ascii="Times New Roman" w:hAnsi="Times New Roman" w:cs="Times New Roman"/>
        </w:rPr>
        <w:t>88%</w:t>
      </w:r>
      <w:r w:rsidR="003C08A8">
        <w:rPr>
          <w:rFonts w:ascii="Times New Roman" w:hAnsi="Times New Roman" w:cs="Times New Roman"/>
        </w:rPr>
        <w:t xml:space="preserve"> </w:t>
      </w:r>
      <w:r w:rsidR="0074135D">
        <w:rPr>
          <w:rFonts w:ascii="Times New Roman" w:hAnsi="Times New Roman" w:cs="Times New Roman"/>
        </w:rPr>
        <w:t xml:space="preserve">students from </w:t>
      </w:r>
      <w:r w:rsidR="00547539" w:rsidRPr="0053326E">
        <w:rPr>
          <w:rFonts w:ascii="Times New Roman" w:hAnsi="Times New Roman" w:cs="Times New Roman"/>
        </w:rPr>
        <w:t xml:space="preserve">both gender care equality about their level </w:t>
      </w:r>
      <w:r w:rsidR="0074135D">
        <w:rPr>
          <w:rFonts w:ascii="Times New Roman" w:hAnsi="Times New Roman" w:cs="Times New Roman"/>
        </w:rPr>
        <w:t>of interest in the subject</w:t>
      </w:r>
      <w:r w:rsidR="00547539" w:rsidRPr="0053326E">
        <w:rPr>
          <w:rFonts w:ascii="Times New Roman" w:hAnsi="Times New Roman" w:cs="Times New Roman"/>
        </w:rPr>
        <w:t>, male</w:t>
      </w:r>
      <w:r w:rsidR="0074135D">
        <w:rPr>
          <w:rFonts w:ascii="Times New Roman" w:hAnsi="Times New Roman" w:cs="Times New Roman"/>
        </w:rPr>
        <w:t xml:space="preserve"> students are 20% more concerned</w:t>
      </w:r>
      <w:r w:rsidR="00547539" w:rsidRPr="0053326E">
        <w:rPr>
          <w:rFonts w:ascii="Times New Roman" w:hAnsi="Times New Roman" w:cs="Times New Roman"/>
        </w:rPr>
        <w:t xml:space="preserve"> about career prospects an</w:t>
      </w:r>
      <w:r w:rsidR="00AB556E">
        <w:rPr>
          <w:rFonts w:ascii="Times New Roman" w:hAnsi="Times New Roman" w:cs="Times New Roman"/>
        </w:rPr>
        <w:t>d particular job outcomes than female</w:t>
      </w:r>
      <w:r w:rsidR="00547539" w:rsidRPr="0053326E">
        <w:rPr>
          <w:rFonts w:ascii="Times New Roman" w:hAnsi="Times New Roman" w:cs="Times New Roman"/>
        </w:rPr>
        <w:t>s.</w:t>
      </w:r>
      <w:r w:rsidR="0017232A" w:rsidRPr="0053326E">
        <w:rPr>
          <w:rFonts w:ascii="Times New Roman" w:hAnsi="Times New Roman" w:cs="Times New Roman"/>
        </w:rPr>
        <w:t xml:space="preserve"> </w:t>
      </w:r>
      <w:r w:rsidR="0074135D">
        <w:rPr>
          <w:rFonts w:ascii="Times New Roman" w:hAnsi="Times New Roman" w:cs="Times New Roman"/>
        </w:rPr>
        <w:t>Thus, m</w:t>
      </w:r>
      <w:r w:rsidR="0017232A" w:rsidRPr="0053326E">
        <w:rPr>
          <w:rFonts w:ascii="Times New Roman" w:hAnsi="Times New Roman" w:cs="Times New Roman"/>
        </w:rPr>
        <w:t>ale</w:t>
      </w:r>
      <w:r w:rsidR="00B360BD">
        <w:rPr>
          <w:rFonts w:ascii="Times New Roman" w:hAnsi="Times New Roman" w:cs="Times New Roman"/>
        </w:rPr>
        <w:t xml:space="preserve"> students on a loan</w:t>
      </w:r>
      <w:r w:rsidR="0017232A" w:rsidRPr="0053326E">
        <w:rPr>
          <w:rFonts w:ascii="Times New Roman" w:hAnsi="Times New Roman" w:cs="Times New Roman"/>
        </w:rPr>
        <w:t xml:space="preserve"> tend to be </w:t>
      </w:r>
      <w:r w:rsidR="00B360BD">
        <w:rPr>
          <w:rFonts w:ascii="Times New Roman" w:hAnsi="Times New Roman" w:cs="Times New Roman"/>
        </w:rPr>
        <w:t xml:space="preserve">about 8% more </w:t>
      </w:r>
      <w:r w:rsidR="0017232A" w:rsidRPr="0053326E">
        <w:rPr>
          <w:rFonts w:ascii="Times New Roman" w:hAnsi="Times New Roman" w:cs="Times New Roman"/>
        </w:rPr>
        <w:t xml:space="preserve">confident that they will repay </w:t>
      </w:r>
      <w:r w:rsidR="00B360BD">
        <w:rPr>
          <w:rFonts w:ascii="Times New Roman" w:hAnsi="Times New Roman" w:cs="Times New Roman"/>
        </w:rPr>
        <w:t>it</w:t>
      </w:r>
      <w:r w:rsidR="0017232A" w:rsidRPr="0053326E">
        <w:rPr>
          <w:rFonts w:ascii="Times New Roman" w:hAnsi="Times New Roman" w:cs="Times New Roman"/>
        </w:rPr>
        <w:t xml:space="preserve"> entirely whereas women are </w:t>
      </w:r>
      <w:r w:rsidR="00477AEE">
        <w:rPr>
          <w:rFonts w:ascii="Times New Roman" w:hAnsi="Times New Roman" w:cs="Times New Roman"/>
        </w:rPr>
        <w:t>not convinced</w:t>
      </w:r>
      <w:r w:rsidR="0017232A" w:rsidRPr="0053326E">
        <w:rPr>
          <w:rFonts w:ascii="Times New Roman" w:hAnsi="Times New Roman" w:cs="Times New Roman"/>
        </w:rPr>
        <w:t>.</w:t>
      </w:r>
      <w:r w:rsidR="003F6A3D">
        <w:rPr>
          <w:rFonts w:ascii="Times New Roman" w:hAnsi="Times New Roman" w:cs="Times New Roman"/>
        </w:rPr>
        <w:t xml:space="preserve"> </w:t>
      </w:r>
      <w:r w:rsidR="003B344A" w:rsidRPr="003C6BB6">
        <w:rPr>
          <w:rFonts w:ascii="Times New Roman" w:hAnsi="Times New Roman" w:cs="Times New Roman"/>
        </w:rPr>
        <w:t>A student thinking</w:t>
      </w:r>
      <w:r w:rsidR="00203C10" w:rsidRPr="003C6BB6">
        <w:rPr>
          <w:rFonts w:ascii="Times New Roman" w:hAnsi="Times New Roman" w:cs="Times New Roman"/>
        </w:rPr>
        <w:t xml:space="preserve"> that they will be able to repay the loan indicate</w:t>
      </w:r>
      <w:r w:rsidR="00511CAB" w:rsidRPr="003C6BB6">
        <w:rPr>
          <w:rFonts w:ascii="Times New Roman" w:hAnsi="Times New Roman" w:cs="Times New Roman"/>
        </w:rPr>
        <w:t>s</w:t>
      </w:r>
      <w:r w:rsidR="00203C10" w:rsidRPr="003C6BB6">
        <w:rPr>
          <w:rFonts w:ascii="Times New Roman" w:hAnsi="Times New Roman" w:cs="Times New Roman"/>
        </w:rPr>
        <w:t xml:space="preserve"> that they expect </w:t>
      </w:r>
      <w:r w:rsidR="0023061B" w:rsidRPr="003C6BB6">
        <w:rPr>
          <w:rFonts w:ascii="Times New Roman" w:hAnsi="Times New Roman" w:cs="Times New Roman"/>
        </w:rPr>
        <w:t xml:space="preserve">to get a </w:t>
      </w:r>
      <w:r w:rsidR="003C6BB6" w:rsidRPr="003C6BB6">
        <w:rPr>
          <w:rFonts w:ascii="Times New Roman" w:hAnsi="Times New Roman" w:cs="Times New Roman"/>
        </w:rPr>
        <w:t xml:space="preserve">good enough job </w:t>
      </w:r>
      <w:r w:rsidR="0008665D" w:rsidRPr="003C6BB6">
        <w:rPr>
          <w:rFonts w:ascii="Times New Roman" w:hAnsi="Times New Roman" w:cs="Times New Roman"/>
        </w:rPr>
        <w:t>thus that their choice of university and degree will have paid off.</w:t>
      </w:r>
      <w:r w:rsidR="00203C10">
        <w:rPr>
          <w:rFonts w:ascii="Times New Roman" w:hAnsi="Times New Roman" w:cs="Times New Roman"/>
        </w:rPr>
        <w:t xml:space="preserve"> </w:t>
      </w:r>
      <w:r w:rsidR="003B344A">
        <w:rPr>
          <w:rFonts w:ascii="Times New Roman" w:hAnsi="Times New Roman" w:cs="Times New Roman"/>
        </w:rPr>
        <w:t xml:space="preserve"> </w:t>
      </w:r>
      <w:r w:rsidR="003F6A3D">
        <w:rPr>
          <w:rFonts w:ascii="Times New Roman" w:hAnsi="Times New Roman" w:cs="Times New Roman"/>
        </w:rPr>
        <w:t xml:space="preserve">In the same way, </w:t>
      </w:r>
      <w:r w:rsidR="006A6282">
        <w:rPr>
          <w:rFonts w:ascii="Times New Roman" w:hAnsi="Times New Roman" w:cs="Times New Roman"/>
        </w:rPr>
        <w:t>because</w:t>
      </w:r>
      <w:r w:rsidR="006A6282" w:rsidRPr="006A6282">
        <w:rPr>
          <w:rFonts w:ascii="Times New Roman" w:hAnsi="Times New Roman" w:cs="Times New Roman"/>
        </w:rPr>
        <w:t xml:space="preserve"> </w:t>
      </w:r>
      <w:r w:rsidR="006A6282">
        <w:rPr>
          <w:rFonts w:ascii="Times New Roman" w:hAnsi="Times New Roman" w:cs="Times New Roman"/>
        </w:rPr>
        <w:t>s</w:t>
      </w:r>
      <w:r w:rsidR="006A6282" w:rsidRPr="00F448F3">
        <w:rPr>
          <w:rFonts w:ascii="Times New Roman" w:hAnsi="Times New Roman" w:cs="Times New Roman"/>
        </w:rPr>
        <w:t xml:space="preserve">tudents older than 21 years old </w:t>
      </w:r>
      <w:r w:rsidR="00DF4262">
        <w:rPr>
          <w:rFonts w:ascii="Times New Roman" w:hAnsi="Times New Roman" w:cs="Times New Roman"/>
        </w:rPr>
        <w:t xml:space="preserve">now </w:t>
      </w:r>
      <w:r w:rsidR="006A6282" w:rsidRPr="00F448F3">
        <w:rPr>
          <w:rFonts w:ascii="Times New Roman" w:hAnsi="Times New Roman" w:cs="Times New Roman"/>
        </w:rPr>
        <w:t>cared almost 30% less about the degree of employability</w:t>
      </w:r>
      <w:r w:rsidR="00850956">
        <w:rPr>
          <w:rFonts w:ascii="Times New Roman" w:hAnsi="Times New Roman" w:cs="Times New Roman"/>
        </w:rPr>
        <w:t xml:space="preserve"> than 18 years old when applying to university</w:t>
      </w:r>
      <w:r w:rsidR="00DF4262">
        <w:rPr>
          <w:rFonts w:ascii="Times New Roman" w:hAnsi="Times New Roman" w:cs="Times New Roman"/>
        </w:rPr>
        <w:t>, they are almost 20% less confident</w:t>
      </w:r>
      <w:r w:rsidR="00850956">
        <w:rPr>
          <w:rFonts w:ascii="Times New Roman" w:hAnsi="Times New Roman" w:cs="Times New Roman"/>
        </w:rPr>
        <w:t xml:space="preserve"> that they will be able to repay their loan if it is the case.</w:t>
      </w:r>
      <w:r w:rsidR="0088426B">
        <w:rPr>
          <w:rFonts w:ascii="Times New Roman" w:hAnsi="Times New Roman" w:cs="Times New Roman"/>
        </w:rPr>
        <w:t xml:space="preserve"> The same phenomenon </w:t>
      </w:r>
      <w:r w:rsidR="007C435F">
        <w:rPr>
          <w:rFonts w:ascii="Times New Roman" w:hAnsi="Times New Roman" w:cs="Times New Roman"/>
        </w:rPr>
        <w:t>is noticeable when differencing between students</w:t>
      </w:r>
      <w:r w:rsidR="00EE2198">
        <w:rPr>
          <w:rFonts w:ascii="Times New Roman" w:hAnsi="Times New Roman" w:cs="Times New Roman"/>
        </w:rPr>
        <w:t xml:space="preserve"> from the UK and EU.</w:t>
      </w:r>
      <w:r w:rsidR="003C4B40" w:rsidRPr="003C4B40">
        <w:rPr>
          <w:rFonts w:ascii="Times New Roman" w:hAnsi="Times New Roman" w:cs="Times New Roman"/>
        </w:rPr>
        <w:t xml:space="preserve"> </w:t>
      </w:r>
      <w:r w:rsidR="003C4B40" w:rsidRPr="00610104">
        <w:rPr>
          <w:rFonts w:ascii="Times New Roman" w:hAnsi="Times New Roman" w:cs="Times New Roman"/>
        </w:rPr>
        <w:t>Students coming from the EU care</w:t>
      </w:r>
      <w:r w:rsidR="003C4B40">
        <w:rPr>
          <w:rFonts w:ascii="Times New Roman" w:hAnsi="Times New Roman" w:cs="Times New Roman"/>
        </w:rPr>
        <w:t xml:space="preserve"> 47%</w:t>
      </w:r>
      <w:r w:rsidR="003C4B40" w:rsidRPr="00610104">
        <w:rPr>
          <w:rFonts w:ascii="Times New Roman" w:hAnsi="Times New Roman" w:cs="Times New Roman"/>
        </w:rPr>
        <w:t xml:space="preserve"> more about the rate of employability of graduated student</w:t>
      </w:r>
      <w:r w:rsidR="003C4B40">
        <w:rPr>
          <w:rFonts w:ascii="Times New Roman" w:hAnsi="Times New Roman" w:cs="Times New Roman"/>
        </w:rPr>
        <w:t xml:space="preserve"> and are thus 25% more </w:t>
      </w:r>
      <w:r w:rsidR="003C4B40" w:rsidRPr="00F448F3">
        <w:rPr>
          <w:rFonts w:ascii="Times New Roman" w:hAnsi="Times New Roman" w:cs="Times New Roman"/>
        </w:rPr>
        <w:t>confident that they will be ably to repay the loan</w:t>
      </w:r>
      <w:r w:rsidR="004E23D9">
        <w:rPr>
          <w:rFonts w:ascii="Times New Roman" w:hAnsi="Times New Roman" w:cs="Times New Roman"/>
        </w:rPr>
        <w:t>.</w:t>
      </w:r>
      <w:r w:rsidR="00ED5B90">
        <w:rPr>
          <w:rFonts w:ascii="Times New Roman" w:hAnsi="Times New Roman" w:cs="Times New Roman"/>
        </w:rPr>
        <w:t xml:space="preserve"> The fact that more than half of the students</w:t>
      </w:r>
      <w:r w:rsidR="00ED32CA">
        <w:rPr>
          <w:rFonts w:ascii="Times New Roman" w:hAnsi="Times New Roman" w:cs="Times New Roman"/>
        </w:rPr>
        <w:t xml:space="preserve"> without a loan on this sample are from the EU influence these results. In fact, </w:t>
      </w:r>
      <w:r w:rsidR="00F3330A">
        <w:rPr>
          <w:rFonts w:ascii="Times New Roman" w:hAnsi="Times New Roman" w:cs="Times New Roman"/>
        </w:rPr>
        <w:t>s</w:t>
      </w:r>
      <w:r w:rsidR="00B16D78" w:rsidRPr="00610104">
        <w:rPr>
          <w:rFonts w:ascii="Times New Roman" w:hAnsi="Times New Roman" w:cs="Times New Roman"/>
        </w:rPr>
        <w:t>tudents without a loan consider 20% more the rate of employability of graduated students when applying to university.</w:t>
      </w:r>
      <w:r w:rsidR="00B16D78" w:rsidRPr="003666D3">
        <w:rPr>
          <w:rFonts w:ascii="Times New Roman" w:hAnsi="Times New Roman" w:cs="Times New Roman"/>
        </w:rPr>
        <w:t xml:space="preserve"> </w:t>
      </w:r>
      <w:r w:rsidR="00B16D78" w:rsidRPr="00610104">
        <w:rPr>
          <w:rFonts w:ascii="Times New Roman" w:hAnsi="Times New Roman" w:cs="Times New Roman"/>
        </w:rPr>
        <w:t>Career prospects are 10% more significant in the choice of a particular degree for students without a loan.</w:t>
      </w:r>
      <w:r w:rsidR="00B4467D">
        <w:rPr>
          <w:rFonts w:ascii="Times New Roman" w:hAnsi="Times New Roman" w:cs="Times New Roman"/>
        </w:rPr>
        <w:t xml:space="preserve"> </w:t>
      </w:r>
    </w:p>
    <w:p w14:paraId="06A39DA7" w14:textId="6DFA214B" w:rsidR="00B260F2" w:rsidRDefault="00D844CD" w:rsidP="008E3352">
      <w:pPr>
        <w:spacing w:line="480" w:lineRule="auto"/>
        <w:jc w:val="both"/>
        <w:rPr>
          <w:rFonts w:ascii="Times New Roman" w:hAnsi="Times New Roman" w:cs="Times New Roman"/>
        </w:rPr>
      </w:pPr>
      <w:r w:rsidRPr="00172E8B">
        <w:rPr>
          <w:rFonts w:ascii="Times New Roman" w:hAnsi="Times New Roman" w:cs="Times New Roman"/>
        </w:rPr>
        <w:t xml:space="preserve">Students </w:t>
      </w:r>
      <w:r w:rsidR="001406C5">
        <w:rPr>
          <w:rFonts w:ascii="Times New Roman" w:hAnsi="Times New Roman" w:cs="Times New Roman"/>
        </w:rPr>
        <w:t>from various degrees as well have</w:t>
      </w:r>
      <w:r w:rsidRPr="00172E8B">
        <w:rPr>
          <w:rFonts w:ascii="Times New Roman" w:hAnsi="Times New Roman" w:cs="Times New Roman"/>
        </w:rPr>
        <w:t xml:space="preserve"> different motivation</w:t>
      </w:r>
      <w:r w:rsidR="00172E8B" w:rsidRPr="00172E8B">
        <w:rPr>
          <w:rFonts w:ascii="Times New Roman" w:hAnsi="Times New Roman" w:cs="Times New Roman"/>
        </w:rPr>
        <w:t xml:space="preserve">. 100% of business students </w:t>
      </w:r>
      <w:r w:rsidR="001406C5">
        <w:rPr>
          <w:rFonts w:ascii="Times New Roman" w:hAnsi="Times New Roman" w:cs="Times New Roman"/>
        </w:rPr>
        <w:t xml:space="preserve">surveyed </w:t>
      </w:r>
      <w:r w:rsidR="00172E8B" w:rsidRPr="00172E8B">
        <w:rPr>
          <w:rFonts w:ascii="Times New Roman" w:hAnsi="Times New Roman" w:cs="Times New Roman"/>
        </w:rPr>
        <w:t>chose their degree primarily based on the career prospects although their interest also played a great influence for 83% of them.</w:t>
      </w:r>
    </w:p>
    <w:p w14:paraId="5B1C4554" w14:textId="77777777" w:rsidR="001B6FC3" w:rsidRDefault="001B6FC3" w:rsidP="008E3352">
      <w:pPr>
        <w:spacing w:line="480" w:lineRule="auto"/>
        <w:jc w:val="both"/>
        <w:rPr>
          <w:rFonts w:ascii="Times New Roman" w:hAnsi="Times New Roman" w:cs="Times New Roman"/>
        </w:rPr>
      </w:pPr>
    </w:p>
    <w:p w14:paraId="089903B7" w14:textId="008AEDA6" w:rsidR="006B53A1" w:rsidRDefault="00013987" w:rsidP="008E3352">
      <w:pPr>
        <w:spacing w:line="480" w:lineRule="auto"/>
        <w:jc w:val="both"/>
        <w:rPr>
          <w:rFonts w:ascii="Times New Roman" w:hAnsi="Times New Roman" w:cs="Times New Roman"/>
        </w:rPr>
      </w:pPr>
      <w:r>
        <w:rPr>
          <w:rFonts w:ascii="Times New Roman" w:hAnsi="Times New Roman" w:cs="Times New Roman"/>
        </w:rPr>
        <w:t>The first hypothesis cannot be said to be completely valid.</w:t>
      </w:r>
      <w:r w:rsidR="006B53A1">
        <w:rPr>
          <w:rFonts w:ascii="Times New Roman" w:hAnsi="Times New Roman" w:cs="Times New Roman"/>
        </w:rPr>
        <w:t xml:space="preserve"> </w:t>
      </w:r>
      <w:r w:rsidR="00111F1A">
        <w:rPr>
          <w:rFonts w:ascii="Times New Roman" w:hAnsi="Times New Roman" w:cs="Times New Roman"/>
        </w:rPr>
        <w:t>Students do generally behave as customers when choosing their university as th</w:t>
      </w:r>
      <w:r w:rsidR="003823B2">
        <w:rPr>
          <w:rFonts w:ascii="Times New Roman" w:hAnsi="Times New Roman" w:cs="Times New Roman"/>
        </w:rPr>
        <w:t>ey</w:t>
      </w:r>
      <w:r w:rsidR="00111F1A">
        <w:rPr>
          <w:rFonts w:ascii="Times New Roman" w:hAnsi="Times New Roman" w:cs="Times New Roman"/>
        </w:rPr>
        <w:t xml:space="preserve"> </w:t>
      </w:r>
      <w:r w:rsidR="00797B17">
        <w:rPr>
          <w:rFonts w:ascii="Times New Roman" w:hAnsi="Times New Roman" w:cs="Times New Roman"/>
        </w:rPr>
        <w:t xml:space="preserve">rely on the quality of education and the rate of employability. This cannot be said when choosing a particular degree </w:t>
      </w:r>
      <w:r w:rsidR="006006A0">
        <w:rPr>
          <w:rFonts w:ascii="Times New Roman" w:hAnsi="Times New Roman" w:cs="Times New Roman"/>
        </w:rPr>
        <w:t xml:space="preserve">as participants base their choice on interest rather than career prospects: they thus </w:t>
      </w:r>
      <w:r w:rsidR="00797B17">
        <w:rPr>
          <w:rFonts w:ascii="Times New Roman" w:hAnsi="Times New Roman" w:cs="Times New Roman"/>
        </w:rPr>
        <w:t>regard obtaining a degree already a return of investment. However, certain trends can be observed among different groups of students</w:t>
      </w:r>
      <w:r w:rsidR="00074436">
        <w:rPr>
          <w:rFonts w:ascii="Times New Roman" w:hAnsi="Times New Roman" w:cs="Times New Roman"/>
        </w:rPr>
        <w:t xml:space="preserve"> surveyed</w:t>
      </w:r>
      <w:r w:rsidR="00797B17">
        <w:rPr>
          <w:rFonts w:ascii="Times New Roman" w:hAnsi="Times New Roman" w:cs="Times New Roman"/>
        </w:rPr>
        <w:t xml:space="preserve"> notably male and business students </w:t>
      </w:r>
      <w:r w:rsidR="00477AEE">
        <w:rPr>
          <w:rFonts w:ascii="Times New Roman" w:hAnsi="Times New Roman" w:cs="Times New Roman"/>
        </w:rPr>
        <w:t xml:space="preserve">who </w:t>
      </w:r>
      <w:r w:rsidR="00EF4BF4">
        <w:rPr>
          <w:rFonts w:ascii="Times New Roman" w:hAnsi="Times New Roman" w:cs="Times New Roman"/>
        </w:rPr>
        <w:t>value the career prospects more</w:t>
      </w:r>
      <w:r w:rsidR="004572D0">
        <w:rPr>
          <w:rFonts w:ascii="Times New Roman" w:hAnsi="Times New Roman" w:cs="Times New Roman"/>
        </w:rPr>
        <w:t xml:space="preserve"> when pursuing university</w:t>
      </w:r>
      <w:r w:rsidR="00EF4BF4">
        <w:rPr>
          <w:rFonts w:ascii="Times New Roman" w:hAnsi="Times New Roman" w:cs="Times New Roman"/>
        </w:rPr>
        <w:t xml:space="preserve">. </w:t>
      </w:r>
    </w:p>
    <w:p w14:paraId="7130372E" w14:textId="77777777" w:rsidR="006B53A1" w:rsidRPr="00766305" w:rsidRDefault="006B53A1" w:rsidP="008E3352">
      <w:pPr>
        <w:spacing w:line="480" w:lineRule="auto"/>
        <w:jc w:val="both"/>
        <w:rPr>
          <w:rFonts w:ascii="Times New Roman" w:hAnsi="Times New Roman" w:cs="Times New Roman"/>
        </w:rPr>
      </w:pPr>
    </w:p>
    <w:p w14:paraId="098B3C64" w14:textId="7C7FAB1D" w:rsidR="00915D4F" w:rsidRPr="008E3352" w:rsidRDefault="00915D4F" w:rsidP="008E3352">
      <w:pPr>
        <w:spacing w:line="480" w:lineRule="auto"/>
        <w:jc w:val="both"/>
        <w:rPr>
          <w:rFonts w:ascii="Times New Roman" w:hAnsi="Times New Roman" w:cs="Times New Roman"/>
          <w:u w:val="single"/>
          <w:lang w:val="fr-FR"/>
        </w:rPr>
      </w:pPr>
      <w:r w:rsidRPr="008E3352">
        <w:rPr>
          <w:rFonts w:ascii="Times New Roman" w:hAnsi="Times New Roman" w:cs="Times New Roman"/>
          <w:u w:val="single"/>
        </w:rPr>
        <w:t xml:space="preserve">3.2 </w:t>
      </w:r>
      <w:r w:rsidR="00896EB1" w:rsidRPr="008E3352">
        <w:rPr>
          <w:rFonts w:ascii="Times New Roman" w:hAnsi="Times New Roman" w:cs="Times New Roman"/>
          <w:u w:val="single"/>
          <w:lang w:val="fr-FR"/>
        </w:rPr>
        <w:t>Higher market expectations lead students to take advantage of various additional services</w:t>
      </w:r>
      <w:r w:rsidR="008C6C62" w:rsidRPr="008E3352">
        <w:rPr>
          <w:rFonts w:ascii="Times New Roman" w:hAnsi="Times New Roman" w:cs="Times New Roman"/>
          <w:u w:val="single"/>
          <w:lang w:val="fr-FR"/>
        </w:rPr>
        <w:t xml:space="preserve"> provided by the </w:t>
      </w:r>
      <w:r w:rsidR="00AA5F93">
        <w:rPr>
          <w:rFonts w:ascii="Times New Roman" w:hAnsi="Times New Roman" w:cs="Times New Roman"/>
          <w:u w:val="single"/>
          <w:lang w:val="fr-FR"/>
        </w:rPr>
        <w:t>university</w:t>
      </w:r>
      <w:r w:rsidR="008C6C62" w:rsidRPr="008E3352">
        <w:rPr>
          <w:rFonts w:ascii="Times New Roman" w:hAnsi="Times New Roman" w:cs="Times New Roman"/>
          <w:u w:val="single"/>
          <w:lang w:val="fr-FR"/>
        </w:rPr>
        <w:t xml:space="preserve">, </w:t>
      </w:r>
      <w:r w:rsidR="00896EB1" w:rsidRPr="008E3352">
        <w:rPr>
          <w:rFonts w:ascii="Times New Roman" w:hAnsi="Times New Roman" w:cs="Times New Roman"/>
          <w:u w:val="single"/>
          <w:lang w:val="fr-FR"/>
        </w:rPr>
        <w:t xml:space="preserve">contributing to their profile thus taking the most advantage of the </w:t>
      </w:r>
      <w:r w:rsidR="008C6C62" w:rsidRPr="008E3352">
        <w:rPr>
          <w:rFonts w:ascii="Times New Roman" w:hAnsi="Times New Roman" w:cs="Times New Roman"/>
          <w:u w:val="single"/>
          <w:lang w:val="fr-FR"/>
        </w:rPr>
        <w:t>product</w:t>
      </w:r>
      <w:r w:rsidR="00896EB1" w:rsidRPr="008E3352">
        <w:rPr>
          <w:rFonts w:ascii="Times New Roman" w:hAnsi="Times New Roman" w:cs="Times New Roman"/>
          <w:u w:val="single"/>
          <w:lang w:val="fr-FR"/>
        </w:rPr>
        <w:t xml:space="preserve"> they have purchased.</w:t>
      </w:r>
    </w:p>
    <w:p w14:paraId="70C9C6E1" w14:textId="3092A617" w:rsidR="002856B9" w:rsidRDefault="00483E57" w:rsidP="008E3352">
      <w:pPr>
        <w:spacing w:line="480" w:lineRule="auto"/>
        <w:jc w:val="both"/>
        <w:rPr>
          <w:rFonts w:ascii="Times New Roman" w:hAnsi="Times New Roman" w:cs="Times New Roman"/>
        </w:rPr>
      </w:pPr>
      <w:r w:rsidRPr="00766305">
        <w:rPr>
          <w:rFonts w:ascii="Times New Roman" w:hAnsi="Times New Roman" w:cs="Times New Roman"/>
        </w:rPr>
        <w:t xml:space="preserve">At first glance, </w:t>
      </w:r>
      <w:r w:rsidR="00E42224" w:rsidRPr="00766305">
        <w:rPr>
          <w:rFonts w:ascii="Times New Roman" w:hAnsi="Times New Roman" w:cs="Times New Roman"/>
        </w:rPr>
        <w:t>the most used service</w:t>
      </w:r>
      <w:r w:rsidR="00944E32">
        <w:rPr>
          <w:rFonts w:ascii="Times New Roman" w:hAnsi="Times New Roman" w:cs="Times New Roman"/>
        </w:rPr>
        <w:t xml:space="preserve"> by students</w:t>
      </w:r>
      <w:r w:rsidR="00E42224" w:rsidRPr="00766305">
        <w:rPr>
          <w:rFonts w:ascii="Times New Roman" w:hAnsi="Times New Roman" w:cs="Times New Roman"/>
        </w:rPr>
        <w:t xml:space="preserve"> </w:t>
      </w:r>
      <w:r w:rsidR="00497CBA">
        <w:rPr>
          <w:rFonts w:ascii="Times New Roman" w:hAnsi="Times New Roman" w:cs="Times New Roman"/>
        </w:rPr>
        <w:t>is the online platform B</w:t>
      </w:r>
      <w:r w:rsidR="000E53FC" w:rsidRPr="00766305">
        <w:rPr>
          <w:rFonts w:ascii="Times New Roman" w:hAnsi="Times New Roman" w:cs="Times New Roman"/>
        </w:rPr>
        <w:t xml:space="preserve">lackboard where information and resources related to students' degree are updated. </w:t>
      </w:r>
      <w:r w:rsidR="00687D1A" w:rsidRPr="00766305">
        <w:rPr>
          <w:rFonts w:ascii="Times New Roman" w:hAnsi="Times New Roman" w:cs="Times New Roman"/>
        </w:rPr>
        <w:t xml:space="preserve">Blackboard is used by the entire </w:t>
      </w:r>
      <w:r w:rsidR="002D6E95" w:rsidRPr="00766305">
        <w:rPr>
          <w:rFonts w:ascii="Times New Roman" w:hAnsi="Times New Roman" w:cs="Times New Roman"/>
        </w:rPr>
        <w:t>sample</w:t>
      </w:r>
      <w:r w:rsidR="00687D1A" w:rsidRPr="00766305">
        <w:rPr>
          <w:rFonts w:ascii="Times New Roman" w:hAnsi="Times New Roman" w:cs="Times New Roman"/>
        </w:rPr>
        <w:t xml:space="preserve"> followed by the use of the library</w:t>
      </w:r>
      <w:r w:rsidR="008A7023" w:rsidRPr="00766305">
        <w:rPr>
          <w:rFonts w:ascii="Times New Roman" w:hAnsi="Times New Roman" w:cs="Times New Roman"/>
        </w:rPr>
        <w:t xml:space="preserve"> with 90% of use by students. 75% of students surveyed take advantage of societies and student spaces made available.</w:t>
      </w:r>
      <w:r w:rsidR="00CA5A87">
        <w:rPr>
          <w:rFonts w:ascii="Times New Roman" w:hAnsi="Times New Roman" w:cs="Times New Roman"/>
        </w:rPr>
        <w:t xml:space="preserve"> Events organized by the U</w:t>
      </w:r>
      <w:r w:rsidR="005750B8">
        <w:rPr>
          <w:rFonts w:ascii="Times New Roman" w:hAnsi="Times New Roman" w:cs="Times New Roman"/>
        </w:rPr>
        <w:t xml:space="preserve">niversity </w:t>
      </w:r>
      <w:r w:rsidR="00B3433A">
        <w:rPr>
          <w:rFonts w:ascii="Times New Roman" w:hAnsi="Times New Roman" w:cs="Times New Roman"/>
        </w:rPr>
        <w:t>of Manchester or the U</w:t>
      </w:r>
      <w:r w:rsidR="005750B8">
        <w:rPr>
          <w:rFonts w:ascii="Times New Roman" w:hAnsi="Times New Roman" w:cs="Times New Roman"/>
        </w:rPr>
        <w:t>nion as well as degrees related talk</w:t>
      </w:r>
      <w:r w:rsidR="00683FE7">
        <w:rPr>
          <w:rFonts w:ascii="Times New Roman" w:hAnsi="Times New Roman" w:cs="Times New Roman"/>
        </w:rPr>
        <w:t xml:space="preserve"> and sports facilities are</w:t>
      </w:r>
      <w:r w:rsidR="00662D7A">
        <w:rPr>
          <w:rFonts w:ascii="Times New Roman" w:hAnsi="Times New Roman" w:cs="Times New Roman"/>
        </w:rPr>
        <w:t xml:space="preserve"> </w:t>
      </w:r>
      <w:r w:rsidR="005C20B5">
        <w:rPr>
          <w:rFonts w:ascii="Times New Roman" w:hAnsi="Times New Roman" w:cs="Times New Roman"/>
        </w:rPr>
        <w:t>less popular with</w:t>
      </w:r>
      <w:r w:rsidR="00662D7A">
        <w:rPr>
          <w:rFonts w:ascii="Times New Roman" w:hAnsi="Times New Roman" w:cs="Times New Roman"/>
        </w:rPr>
        <w:t xml:space="preserve"> 35% and 45%</w:t>
      </w:r>
      <w:r w:rsidR="005C20B5">
        <w:rPr>
          <w:rFonts w:ascii="Times New Roman" w:hAnsi="Times New Roman" w:cs="Times New Roman"/>
        </w:rPr>
        <w:t xml:space="preserve"> of use correspondingly</w:t>
      </w:r>
      <w:r w:rsidR="00662D7A">
        <w:rPr>
          <w:rFonts w:ascii="Times New Roman" w:hAnsi="Times New Roman" w:cs="Times New Roman"/>
        </w:rPr>
        <w:t>.</w:t>
      </w:r>
      <w:r w:rsidR="002856B9">
        <w:rPr>
          <w:rFonts w:ascii="Times New Roman" w:hAnsi="Times New Roman" w:cs="Times New Roman"/>
        </w:rPr>
        <w:t xml:space="preserve"> </w:t>
      </w:r>
    </w:p>
    <w:p w14:paraId="07DF9E4D" w14:textId="6BA2E6DD" w:rsidR="002856B9" w:rsidRDefault="00B84A9F" w:rsidP="00CF5579">
      <w:pPr>
        <w:jc w:val="both"/>
        <w:rPr>
          <w:rFonts w:ascii="Times New Roman" w:hAnsi="Times New Roman" w:cs="Times New Roman"/>
        </w:rPr>
      </w:pPr>
      <w:r>
        <w:rPr>
          <w:noProof/>
          <w:lang w:eastAsia="zh-CN"/>
        </w:rPr>
        <w:drawing>
          <wp:anchor distT="0" distB="0" distL="114300" distR="114300" simplePos="0" relativeHeight="251660288" behindDoc="0" locked="0" layoutInCell="1" allowOverlap="1" wp14:anchorId="1E72C782" wp14:editId="31AE6A91">
            <wp:simplePos x="0" y="0"/>
            <wp:positionH relativeFrom="column">
              <wp:posOffset>457200</wp:posOffset>
            </wp:positionH>
            <wp:positionV relativeFrom="paragraph">
              <wp:posOffset>114300</wp:posOffset>
            </wp:positionV>
            <wp:extent cx="5031105" cy="4175760"/>
            <wp:effectExtent l="0" t="0" r="23495" b="15240"/>
            <wp:wrapSquare wrapText="bothSides"/>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8C8AD7E" w14:textId="77777777" w:rsidR="002856B9" w:rsidRDefault="002856B9" w:rsidP="00CF5579">
      <w:pPr>
        <w:jc w:val="both"/>
        <w:rPr>
          <w:rFonts w:ascii="Times New Roman" w:hAnsi="Times New Roman" w:cs="Times New Roman"/>
        </w:rPr>
      </w:pPr>
    </w:p>
    <w:p w14:paraId="35B4731F" w14:textId="5E1BCD61" w:rsidR="002856B9" w:rsidRDefault="002856B9" w:rsidP="00CF5579">
      <w:pPr>
        <w:jc w:val="both"/>
        <w:rPr>
          <w:rFonts w:ascii="Times New Roman" w:hAnsi="Times New Roman" w:cs="Times New Roman"/>
        </w:rPr>
      </w:pPr>
    </w:p>
    <w:p w14:paraId="66B13683" w14:textId="77777777" w:rsidR="002856B9" w:rsidRDefault="002856B9" w:rsidP="00CF5579">
      <w:pPr>
        <w:jc w:val="both"/>
        <w:rPr>
          <w:rFonts w:ascii="Times New Roman" w:hAnsi="Times New Roman" w:cs="Times New Roman"/>
        </w:rPr>
      </w:pPr>
    </w:p>
    <w:p w14:paraId="37854005" w14:textId="77777777" w:rsidR="002856B9" w:rsidRDefault="002856B9" w:rsidP="00CF5579">
      <w:pPr>
        <w:jc w:val="both"/>
        <w:rPr>
          <w:rFonts w:ascii="Times New Roman" w:hAnsi="Times New Roman" w:cs="Times New Roman"/>
        </w:rPr>
      </w:pPr>
    </w:p>
    <w:p w14:paraId="0DF5C009" w14:textId="77777777" w:rsidR="002856B9" w:rsidRDefault="002856B9" w:rsidP="00CF5579">
      <w:pPr>
        <w:jc w:val="both"/>
        <w:rPr>
          <w:rFonts w:ascii="Times New Roman" w:hAnsi="Times New Roman" w:cs="Times New Roman"/>
        </w:rPr>
      </w:pPr>
    </w:p>
    <w:p w14:paraId="27D4BFEF" w14:textId="77777777" w:rsidR="002856B9" w:rsidRDefault="002856B9" w:rsidP="00CF5579">
      <w:pPr>
        <w:jc w:val="both"/>
        <w:rPr>
          <w:rFonts w:ascii="Times New Roman" w:hAnsi="Times New Roman" w:cs="Times New Roman"/>
        </w:rPr>
      </w:pPr>
    </w:p>
    <w:p w14:paraId="27D4032D" w14:textId="77777777" w:rsidR="002856B9" w:rsidRDefault="002856B9" w:rsidP="00CF5579">
      <w:pPr>
        <w:jc w:val="both"/>
        <w:rPr>
          <w:rFonts w:ascii="Times New Roman" w:hAnsi="Times New Roman" w:cs="Times New Roman"/>
        </w:rPr>
      </w:pPr>
    </w:p>
    <w:p w14:paraId="0B8A968A" w14:textId="77777777" w:rsidR="002856B9" w:rsidRDefault="002856B9" w:rsidP="00CF5579">
      <w:pPr>
        <w:jc w:val="both"/>
        <w:rPr>
          <w:rFonts w:ascii="Times New Roman" w:hAnsi="Times New Roman" w:cs="Times New Roman"/>
        </w:rPr>
      </w:pPr>
    </w:p>
    <w:p w14:paraId="5EBDE0A8" w14:textId="77777777" w:rsidR="002856B9" w:rsidRDefault="002856B9" w:rsidP="00CF5579">
      <w:pPr>
        <w:jc w:val="both"/>
        <w:rPr>
          <w:rFonts w:ascii="Times New Roman" w:hAnsi="Times New Roman" w:cs="Times New Roman"/>
        </w:rPr>
      </w:pPr>
    </w:p>
    <w:p w14:paraId="35607389" w14:textId="77777777" w:rsidR="002856B9" w:rsidRDefault="002856B9" w:rsidP="00CF5579">
      <w:pPr>
        <w:jc w:val="both"/>
        <w:rPr>
          <w:rFonts w:ascii="Times New Roman" w:hAnsi="Times New Roman" w:cs="Times New Roman"/>
        </w:rPr>
      </w:pPr>
    </w:p>
    <w:p w14:paraId="503D14D4" w14:textId="77777777" w:rsidR="002856B9" w:rsidRDefault="002856B9" w:rsidP="00CF5579">
      <w:pPr>
        <w:jc w:val="both"/>
        <w:rPr>
          <w:rFonts w:ascii="Times New Roman" w:hAnsi="Times New Roman" w:cs="Times New Roman"/>
        </w:rPr>
      </w:pPr>
    </w:p>
    <w:p w14:paraId="5254DC7C" w14:textId="77777777" w:rsidR="002856B9" w:rsidRDefault="002856B9" w:rsidP="00CF5579">
      <w:pPr>
        <w:jc w:val="both"/>
        <w:rPr>
          <w:rFonts w:ascii="Times New Roman" w:hAnsi="Times New Roman" w:cs="Times New Roman"/>
        </w:rPr>
      </w:pPr>
    </w:p>
    <w:p w14:paraId="1C9B683A" w14:textId="77777777" w:rsidR="002856B9" w:rsidRDefault="002856B9" w:rsidP="00CF5579">
      <w:pPr>
        <w:jc w:val="both"/>
        <w:rPr>
          <w:rFonts w:ascii="Times New Roman" w:hAnsi="Times New Roman" w:cs="Times New Roman"/>
        </w:rPr>
      </w:pPr>
    </w:p>
    <w:p w14:paraId="10FA311F" w14:textId="77777777" w:rsidR="002856B9" w:rsidRDefault="002856B9" w:rsidP="00CF5579">
      <w:pPr>
        <w:jc w:val="both"/>
        <w:rPr>
          <w:rFonts w:ascii="Times New Roman" w:hAnsi="Times New Roman" w:cs="Times New Roman"/>
        </w:rPr>
      </w:pPr>
    </w:p>
    <w:p w14:paraId="693B20A4" w14:textId="77777777" w:rsidR="002856B9" w:rsidRDefault="002856B9" w:rsidP="00CF5579">
      <w:pPr>
        <w:jc w:val="both"/>
        <w:rPr>
          <w:rFonts w:ascii="Times New Roman" w:hAnsi="Times New Roman" w:cs="Times New Roman"/>
        </w:rPr>
      </w:pPr>
    </w:p>
    <w:p w14:paraId="1C601E21" w14:textId="77777777" w:rsidR="002856B9" w:rsidRDefault="002856B9" w:rsidP="00CF5579">
      <w:pPr>
        <w:jc w:val="both"/>
        <w:rPr>
          <w:rFonts w:ascii="Times New Roman" w:hAnsi="Times New Roman" w:cs="Times New Roman"/>
        </w:rPr>
      </w:pPr>
    </w:p>
    <w:p w14:paraId="2E7096B4" w14:textId="77777777" w:rsidR="002856B9" w:rsidRDefault="002856B9" w:rsidP="00CF5579">
      <w:pPr>
        <w:jc w:val="both"/>
        <w:rPr>
          <w:rFonts w:ascii="Times New Roman" w:hAnsi="Times New Roman" w:cs="Times New Roman"/>
        </w:rPr>
      </w:pPr>
    </w:p>
    <w:p w14:paraId="30525281" w14:textId="77777777" w:rsidR="002856B9" w:rsidRDefault="002856B9" w:rsidP="00CF5579">
      <w:pPr>
        <w:jc w:val="both"/>
        <w:rPr>
          <w:rFonts w:ascii="Times New Roman" w:hAnsi="Times New Roman" w:cs="Times New Roman"/>
        </w:rPr>
      </w:pPr>
    </w:p>
    <w:p w14:paraId="6133F3E8" w14:textId="77777777" w:rsidR="002856B9" w:rsidRDefault="002856B9" w:rsidP="00CF5579">
      <w:pPr>
        <w:jc w:val="both"/>
        <w:rPr>
          <w:rFonts w:ascii="Times New Roman" w:hAnsi="Times New Roman" w:cs="Times New Roman"/>
        </w:rPr>
      </w:pPr>
    </w:p>
    <w:p w14:paraId="28F7450F" w14:textId="77777777" w:rsidR="002856B9" w:rsidRDefault="002856B9" w:rsidP="00CF5579">
      <w:pPr>
        <w:jc w:val="both"/>
        <w:rPr>
          <w:rFonts w:ascii="Times New Roman" w:hAnsi="Times New Roman" w:cs="Times New Roman"/>
        </w:rPr>
      </w:pPr>
    </w:p>
    <w:p w14:paraId="3121286B" w14:textId="77777777" w:rsidR="002856B9" w:rsidRDefault="002856B9" w:rsidP="00CF5579">
      <w:pPr>
        <w:jc w:val="both"/>
        <w:rPr>
          <w:rFonts w:ascii="Times New Roman" w:hAnsi="Times New Roman" w:cs="Times New Roman"/>
        </w:rPr>
      </w:pPr>
    </w:p>
    <w:p w14:paraId="60184DC9" w14:textId="77777777" w:rsidR="002856B9" w:rsidRDefault="002856B9" w:rsidP="00CF5579">
      <w:pPr>
        <w:jc w:val="both"/>
        <w:rPr>
          <w:rFonts w:ascii="Times New Roman" w:hAnsi="Times New Roman" w:cs="Times New Roman"/>
        </w:rPr>
      </w:pPr>
    </w:p>
    <w:p w14:paraId="1F6D0BB6" w14:textId="77777777" w:rsidR="002856B9" w:rsidRDefault="002856B9" w:rsidP="00CF5579">
      <w:pPr>
        <w:jc w:val="both"/>
        <w:rPr>
          <w:rFonts w:ascii="Times New Roman" w:hAnsi="Times New Roman" w:cs="Times New Roman"/>
        </w:rPr>
      </w:pPr>
    </w:p>
    <w:p w14:paraId="356709FA" w14:textId="77777777" w:rsidR="002856B9" w:rsidRDefault="002856B9" w:rsidP="00CF5579">
      <w:pPr>
        <w:jc w:val="both"/>
        <w:rPr>
          <w:rFonts w:ascii="Times New Roman" w:hAnsi="Times New Roman" w:cs="Times New Roman"/>
        </w:rPr>
      </w:pPr>
    </w:p>
    <w:p w14:paraId="4CF692E3" w14:textId="77777777" w:rsidR="002856B9" w:rsidRDefault="002856B9" w:rsidP="00CF5579">
      <w:pPr>
        <w:jc w:val="both"/>
        <w:rPr>
          <w:rFonts w:ascii="Times New Roman" w:hAnsi="Times New Roman" w:cs="Times New Roman"/>
        </w:rPr>
      </w:pPr>
    </w:p>
    <w:p w14:paraId="2A6DEADA" w14:textId="220914CD" w:rsidR="002856B9" w:rsidRDefault="00134A19" w:rsidP="00CF5579">
      <w:pPr>
        <w:jc w:val="both"/>
        <w:rPr>
          <w:rFonts w:ascii="Times New Roman" w:hAnsi="Times New Roman" w:cs="Times New Roman"/>
        </w:rPr>
      </w:pPr>
      <w:r>
        <w:rPr>
          <w:noProof/>
          <w:lang w:eastAsia="zh-CN"/>
        </w:rPr>
        <w:drawing>
          <wp:anchor distT="0" distB="0" distL="114300" distR="114300" simplePos="0" relativeHeight="251661312" behindDoc="0" locked="0" layoutInCell="1" allowOverlap="1" wp14:anchorId="6F53DE74" wp14:editId="620D3456">
            <wp:simplePos x="0" y="0"/>
            <wp:positionH relativeFrom="column">
              <wp:posOffset>342900</wp:posOffset>
            </wp:positionH>
            <wp:positionV relativeFrom="paragraph">
              <wp:posOffset>114935</wp:posOffset>
            </wp:positionV>
            <wp:extent cx="5486400" cy="3657600"/>
            <wp:effectExtent l="0" t="0" r="25400" b="25400"/>
            <wp:wrapSquare wrapText="bothSides"/>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5D7859C" w14:textId="2D15CA2F" w:rsidR="002856B9" w:rsidRDefault="002856B9" w:rsidP="00CF5579">
      <w:pPr>
        <w:jc w:val="both"/>
        <w:rPr>
          <w:rFonts w:ascii="Times New Roman" w:hAnsi="Times New Roman" w:cs="Times New Roman"/>
        </w:rPr>
      </w:pPr>
    </w:p>
    <w:p w14:paraId="39219EC4" w14:textId="17D6AF20" w:rsidR="00E844E5" w:rsidRDefault="00E844E5" w:rsidP="00CF5579">
      <w:pPr>
        <w:jc w:val="both"/>
        <w:rPr>
          <w:rFonts w:ascii="Times New Roman" w:hAnsi="Times New Roman" w:cs="Times New Roman"/>
        </w:rPr>
      </w:pPr>
    </w:p>
    <w:p w14:paraId="59D499F2" w14:textId="77777777" w:rsidR="00E844E5" w:rsidRDefault="00E844E5" w:rsidP="00CF5579">
      <w:pPr>
        <w:jc w:val="both"/>
        <w:rPr>
          <w:rFonts w:ascii="Times New Roman" w:hAnsi="Times New Roman" w:cs="Times New Roman"/>
        </w:rPr>
      </w:pPr>
    </w:p>
    <w:p w14:paraId="4C22C376" w14:textId="77777777" w:rsidR="00E844E5" w:rsidRDefault="00E844E5" w:rsidP="00CF5579">
      <w:pPr>
        <w:jc w:val="both"/>
        <w:rPr>
          <w:rFonts w:ascii="Times New Roman" w:hAnsi="Times New Roman" w:cs="Times New Roman"/>
        </w:rPr>
      </w:pPr>
    </w:p>
    <w:p w14:paraId="6CB16AF1" w14:textId="77777777" w:rsidR="00E844E5" w:rsidRDefault="00E844E5" w:rsidP="00CF5579">
      <w:pPr>
        <w:jc w:val="both"/>
        <w:rPr>
          <w:rFonts w:ascii="Times New Roman" w:hAnsi="Times New Roman" w:cs="Times New Roman"/>
        </w:rPr>
      </w:pPr>
    </w:p>
    <w:p w14:paraId="6D60A106" w14:textId="77777777" w:rsidR="00E844E5" w:rsidRDefault="00E844E5" w:rsidP="00CF5579">
      <w:pPr>
        <w:jc w:val="both"/>
        <w:rPr>
          <w:rFonts w:ascii="Times New Roman" w:hAnsi="Times New Roman" w:cs="Times New Roman"/>
        </w:rPr>
      </w:pPr>
    </w:p>
    <w:p w14:paraId="2F0E5E97" w14:textId="77777777" w:rsidR="00E844E5" w:rsidRDefault="00E844E5" w:rsidP="00CF5579">
      <w:pPr>
        <w:jc w:val="both"/>
        <w:rPr>
          <w:rFonts w:ascii="Times New Roman" w:hAnsi="Times New Roman" w:cs="Times New Roman"/>
        </w:rPr>
      </w:pPr>
    </w:p>
    <w:p w14:paraId="554F80A0" w14:textId="77777777" w:rsidR="00E844E5" w:rsidRDefault="00E844E5" w:rsidP="00CF5579">
      <w:pPr>
        <w:jc w:val="both"/>
        <w:rPr>
          <w:rFonts w:ascii="Times New Roman" w:hAnsi="Times New Roman" w:cs="Times New Roman"/>
        </w:rPr>
      </w:pPr>
    </w:p>
    <w:p w14:paraId="660655AF" w14:textId="77777777" w:rsidR="00E844E5" w:rsidRDefault="00E844E5" w:rsidP="00CF5579">
      <w:pPr>
        <w:jc w:val="both"/>
        <w:rPr>
          <w:rFonts w:ascii="Times New Roman" w:hAnsi="Times New Roman" w:cs="Times New Roman"/>
        </w:rPr>
      </w:pPr>
    </w:p>
    <w:p w14:paraId="1C12196E" w14:textId="77777777" w:rsidR="00E844E5" w:rsidRDefault="00E844E5" w:rsidP="00CF5579">
      <w:pPr>
        <w:jc w:val="both"/>
        <w:rPr>
          <w:rFonts w:ascii="Times New Roman" w:hAnsi="Times New Roman" w:cs="Times New Roman"/>
        </w:rPr>
      </w:pPr>
    </w:p>
    <w:p w14:paraId="7D66584A" w14:textId="77777777" w:rsidR="00E844E5" w:rsidRDefault="00E844E5" w:rsidP="00CF5579">
      <w:pPr>
        <w:jc w:val="both"/>
        <w:rPr>
          <w:rFonts w:ascii="Times New Roman" w:hAnsi="Times New Roman" w:cs="Times New Roman"/>
        </w:rPr>
      </w:pPr>
    </w:p>
    <w:p w14:paraId="5A560C16" w14:textId="77777777" w:rsidR="00E844E5" w:rsidRDefault="00E844E5" w:rsidP="00CF5579">
      <w:pPr>
        <w:jc w:val="both"/>
        <w:rPr>
          <w:rFonts w:ascii="Times New Roman" w:hAnsi="Times New Roman" w:cs="Times New Roman"/>
        </w:rPr>
      </w:pPr>
    </w:p>
    <w:p w14:paraId="321A95EA" w14:textId="77777777" w:rsidR="00E844E5" w:rsidRDefault="00E844E5" w:rsidP="00CF5579">
      <w:pPr>
        <w:jc w:val="both"/>
        <w:rPr>
          <w:rFonts w:ascii="Times New Roman" w:hAnsi="Times New Roman" w:cs="Times New Roman"/>
        </w:rPr>
      </w:pPr>
    </w:p>
    <w:p w14:paraId="40F5F764" w14:textId="77777777" w:rsidR="00E844E5" w:rsidRDefault="00E844E5" w:rsidP="00CF5579">
      <w:pPr>
        <w:jc w:val="both"/>
        <w:rPr>
          <w:rFonts w:ascii="Times New Roman" w:hAnsi="Times New Roman" w:cs="Times New Roman"/>
        </w:rPr>
      </w:pPr>
    </w:p>
    <w:p w14:paraId="372098D0" w14:textId="77777777" w:rsidR="00E844E5" w:rsidRDefault="00E844E5" w:rsidP="00CF5579">
      <w:pPr>
        <w:jc w:val="both"/>
        <w:rPr>
          <w:rFonts w:ascii="Times New Roman" w:hAnsi="Times New Roman" w:cs="Times New Roman"/>
        </w:rPr>
      </w:pPr>
    </w:p>
    <w:p w14:paraId="78932319" w14:textId="77777777" w:rsidR="00E844E5" w:rsidRDefault="00E844E5" w:rsidP="00CF5579">
      <w:pPr>
        <w:jc w:val="both"/>
        <w:rPr>
          <w:rFonts w:ascii="Times New Roman" w:hAnsi="Times New Roman" w:cs="Times New Roman"/>
        </w:rPr>
      </w:pPr>
    </w:p>
    <w:p w14:paraId="06F13D34" w14:textId="77777777" w:rsidR="002856B9" w:rsidRDefault="002856B9" w:rsidP="00CF5579">
      <w:pPr>
        <w:jc w:val="both"/>
        <w:rPr>
          <w:rFonts w:ascii="Times New Roman" w:hAnsi="Times New Roman" w:cs="Times New Roman"/>
        </w:rPr>
      </w:pPr>
    </w:p>
    <w:p w14:paraId="21BF1F6F" w14:textId="77777777" w:rsidR="003A72E9" w:rsidRDefault="003A72E9" w:rsidP="00CF5579">
      <w:pPr>
        <w:jc w:val="both"/>
        <w:rPr>
          <w:rFonts w:ascii="Times New Roman" w:hAnsi="Times New Roman" w:cs="Times New Roman"/>
        </w:rPr>
      </w:pPr>
    </w:p>
    <w:p w14:paraId="3C25991A" w14:textId="77777777" w:rsidR="003A72E9" w:rsidRDefault="003A72E9" w:rsidP="00CF5579">
      <w:pPr>
        <w:jc w:val="both"/>
        <w:rPr>
          <w:rFonts w:ascii="Times New Roman" w:hAnsi="Times New Roman" w:cs="Times New Roman"/>
        </w:rPr>
      </w:pPr>
    </w:p>
    <w:p w14:paraId="096F41A1" w14:textId="77777777" w:rsidR="003A72E9" w:rsidRDefault="003A72E9" w:rsidP="00CF5579">
      <w:pPr>
        <w:jc w:val="both"/>
        <w:rPr>
          <w:rFonts w:ascii="Times New Roman" w:hAnsi="Times New Roman" w:cs="Times New Roman"/>
        </w:rPr>
      </w:pPr>
    </w:p>
    <w:p w14:paraId="0C358666" w14:textId="77777777" w:rsidR="003A72E9" w:rsidRDefault="003A72E9" w:rsidP="00CF5579">
      <w:pPr>
        <w:jc w:val="both"/>
        <w:rPr>
          <w:rFonts w:ascii="Times New Roman" w:hAnsi="Times New Roman" w:cs="Times New Roman"/>
        </w:rPr>
      </w:pPr>
    </w:p>
    <w:p w14:paraId="2BEFEA96" w14:textId="77777777" w:rsidR="00134A19" w:rsidRDefault="00491A93" w:rsidP="00CF5579">
      <w:pPr>
        <w:jc w:val="both"/>
        <w:rPr>
          <w:rFonts w:ascii="Times New Roman" w:hAnsi="Times New Roman" w:cs="Times New Roman"/>
        </w:rPr>
      </w:pPr>
      <w:r>
        <w:rPr>
          <w:rFonts w:ascii="Times New Roman" w:hAnsi="Times New Roman" w:cs="Times New Roman"/>
        </w:rPr>
        <w:t xml:space="preserve"> </w:t>
      </w:r>
    </w:p>
    <w:p w14:paraId="74C8C912" w14:textId="09551D37" w:rsidR="00915D4F" w:rsidRDefault="00D8293D" w:rsidP="003A72E9">
      <w:pPr>
        <w:spacing w:line="480" w:lineRule="auto"/>
        <w:jc w:val="both"/>
        <w:rPr>
          <w:rFonts w:ascii="Times New Roman" w:hAnsi="Times New Roman" w:cs="Times New Roman"/>
        </w:rPr>
      </w:pPr>
      <w:r>
        <w:rPr>
          <w:rFonts w:ascii="Times New Roman" w:hAnsi="Times New Roman" w:cs="Times New Roman"/>
        </w:rPr>
        <w:t>It seems that services related to students</w:t>
      </w:r>
      <w:r w:rsidR="007A242B">
        <w:rPr>
          <w:rFonts w:ascii="Times New Roman" w:hAnsi="Times New Roman" w:cs="Times New Roman"/>
        </w:rPr>
        <w:t>'</w:t>
      </w:r>
      <w:r>
        <w:rPr>
          <w:rFonts w:ascii="Times New Roman" w:hAnsi="Times New Roman" w:cs="Times New Roman"/>
        </w:rPr>
        <w:t xml:space="preserve"> degree are </w:t>
      </w:r>
      <w:r w:rsidR="00D82E06">
        <w:rPr>
          <w:rFonts w:ascii="Times New Roman" w:hAnsi="Times New Roman" w:cs="Times New Roman"/>
        </w:rPr>
        <w:t xml:space="preserve">of greater importance for respondents, indicating that </w:t>
      </w:r>
      <w:r w:rsidR="00840BFB">
        <w:rPr>
          <w:rFonts w:ascii="Times New Roman" w:hAnsi="Times New Roman" w:cs="Times New Roman"/>
        </w:rPr>
        <w:t>the</w:t>
      </w:r>
      <w:r w:rsidR="00D82E06">
        <w:rPr>
          <w:rFonts w:ascii="Times New Roman" w:hAnsi="Times New Roman" w:cs="Times New Roman"/>
        </w:rPr>
        <w:t xml:space="preserve">ir </w:t>
      </w:r>
      <w:r w:rsidR="00601084">
        <w:rPr>
          <w:rFonts w:ascii="Times New Roman" w:hAnsi="Times New Roman" w:cs="Times New Roman"/>
        </w:rPr>
        <w:t xml:space="preserve">focus </w:t>
      </w:r>
      <w:r w:rsidR="00D82E06">
        <w:rPr>
          <w:rFonts w:ascii="Times New Roman" w:hAnsi="Times New Roman" w:cs="Times New Roman"/>
        </w:rPr>
        <w:t xml:space="preserve">is </w:t>
      </w:r>
      <w:r w:rsidR="00601084">
        <w:rPr>
          <w:rFonts w:ascii="Times New Roman" w:hAnsi="Times New Roman" w:cs="Times New Roman"/>
        </w:rPr>
        <w:t>primarily on succeeding academic</w:t>
      </w:r>
      <w:r w:rsidR="00D82E06">
        <w:rPr>
          <w:rFonts w:ascii="Times New Roman" w:hAnsi="Times New Roman" w:cs="Times New Roman"/>
        </w:rPr>
        <w:t>ally</w:t>
      </w:r>
      <w:r>
        <w:rPr>
          <w:rFonts w:ascii="Times New Roman" w:hAnsi="Times New Roman" w:cs="Times New Roman"/>
        </w:rPr>
        <w:t>.</w:t>
      </w:r>
      <w:r w:rsidR="00707A6C">
        <w:rPr>
          <w:rFonts w:ascii="Times New Roman" w:hAnsi="Times New Roman" w:cs="Times New Roman"/>
        </w:rPr>
        <w:t xml:space="preserve"> </w:t>
      </w:r>
      <w:r w:rsidR="00DB71A4" w:rsidRPr="008B6EF2">
        <w:rPr>
          <w:rFonts w:ascii="Times New Roman" w:hAnsi="Times New Roman" w:cs="Times New Roman"/>
        </w:rPr>
        <w:t>If students</w:t>
      </w:r>
      <w:r w:rsidR="00CA5A87">
        <w:rPr>
          <w:rFonts w:ascii="Times New Roman" w:hAnsi="Times New Roman" w:cs="Times New Roman"/>
        </w:rPr>
        <w:t xml:space="preserve"> interviewed</w:t>
      </w:r>
      <w:r w:rsidR="00DB71A4" w:rsidRPr="008B6EF2">
        <w:rPr>
          <w:rFonts w:ascii="Times New Roman" w:hAnsi="Times New Roman" w:cs="Times New Roman"/>
        </w:rPr>
        <w:t xml:space="preserve"> respond that they do not feel like they are maximising their time at university, it usually regards their degree such as the use of academic advisors and office hours. Whereas females make large use of their academic advisor (70,6%), not even half of the males </w:t>
      </w:r>
      <w:r w:rsidR="00DB71A4">
        <w:rPr>
          <w:rFonts w:ascii="Times New Roman" w:hAnsi="Times New Roman" w:cs="Times New Roman"/>
        </w:rPr>
        <w:t>surveyed</w:t>
      </w:r>
      <w:r w:rsidR="00DB71A4" w:rsidRPr="008B6EF2">
        <w:rPr>
          <w:rFonts w:ascii="Times New Roman" w:hAnsi="Times New Roman" w:cs="Times New Roman"/>
        </w:rPr>
        <w:t xml:space="preserve"> do</w:t>
      </w:r>
      <w:r w:rsidR="00DB71A4" w:rsidRPr="00B44631">
        <w:rPr>
          <w:rFonts w:ascii="Times New Roman" w:hAnsi="Times New Roman" w:cs="Times New Roman"/>
        </w:rPr>
        <w:t>: they consider blackboard</w:t>
      </w:r>
      <w:r w:rsidR="00DB71A4" w:rsidRPr="008B6EF2">
        <w:rPr>
          <w:rFonts w:ascii="Times New Roman" w:hAnsi="Times New Roman" w:cs="Times New Roman"/>
        </w:rPr>
        <w:t xml:space="preserve"> the most important service. This is shown by a 48% of difference of use between blackboard and the second service used being office hours. In general, BB is 40% more used than academic advisors and the opportunity of office hours. Tuitions fees provide incentives to use services related to the degree chosen in order to do better academically. It comes back to the idea that graduating with a good degree is still what student believes to be the way</w:t>
      </w:r>
      <w:r w:rsidR="00DB71A4">
        <w:rPr>
          <w:rFonts w:ascii="Times New Roman" w:hAnsi="Times New Roman" w:cs="Times New Roman"/>
        </w:rPr>
        <w:t xml:space="preserve"> to become more employable. </w:t>
      </w:r>
      <w:r w:rsidR="00707A6C">
        <w:rPr>
          <w:rFonts w:ascii="Times New Roman" w:hAnsi="Times New Roman" w:cs="Times New Roman"/>
        </w:rPr>
        <w:t xml:space="preserve">Nonetheless, </w:t>
      </w:r>
      <w:r w:rsidR="00D82E06">
        <w:rPr>
          <w:rFonts w:ascii="Times New Roman" w:hAnsi="Times New Roman" w:cs="Times New Roman"/>
        </w:rPr>
        <w:t xml:space="preserve">it is interesting to note that </w:t>
      </w:r>
      <w:r w:rsidR="00707A6C">
        <w:rPr>
          <w:rFonts w:ascii="Times New Roman" w:hAnsi="Times New Roman" w:cs="Times New Roman"/>
        </w:rPr>
        <w:t xml:space="preserve">certain groups </w:t>
      </w:r>
      <w:r w:rsidR="00D82E06">
        <w:rPr>
          <w:rFonts w:ascii="Times New Roman" w:hAnsi="Times New Roman" w:cs="Times New Roman"/>
        </w:rPr>
        <w:t xml:space="preserve">display a </w:t>
      </w:r>
      <w:r w:rsidR="00C74A48">
        <w:rPr>
          <w:rFonts w:ascii="Times New Roman" w:hAnsi="Times New Roman" w:cs="Times New Roman"/>
        </w:rPr>
        <w:t>higher tendency of getting the most of the university.</w:t>
      </w:r>
      <w:r>
        <w:rPr>
          <w:rFonts w:ascii="Times New Roman" w:hAnsi="Times New Roman" w:cs="Times New Roman"/>
        </w:rPr>
        <w:t xml:space="preserve"> </w:t>
      </w:r>
    </w:p>
    <w:p w14:paraId="663C186E" w14:textId="4E0CC5DB" w:rsidR="00E13947" w:rsidRDefault="00C74A48" w:rsidP="003A72E9">
      <w:pPr>
        <w:spacing w:line="480" w:lineRule="auto"/>
        <w:jc w:val="both"/>
        <w:rPr>
          <w:rFonts w:ascii="Times New Roman" w:hAnsi="Times New Roman" w:cs="Times New Roman"/>
        </w:rPr>
      </w:pPr>
      <w:r>
        <w:rPr>
          <w:rFonts w:ascii="Times New Roman" w:hAnsi="Times New Roman" w:cs="Times New Roman"/>
        </w:rPr>
        <w:t>Hence</w:t>
      </w:r>
      <w:r w:rsidR="006751D3" w:rsidRPr="00E13947">
        <w:rPr>
          <w:rFonts w:ascii="Times New Roman" w:hAnsi="Times New Roman" w:cs="Times New Roman"/>
        </w:rPr>
        <w:t xml:space="preserve"> </w:t>
      </w:r>
      <w:r w:rsidR="00CA5A87">
        <w:rPr>
          <w:rFonts w:ascii="Times New Roman" w:hAnsi="Times New Roman" w:cs="Times New Roman"/>
        </w:rPr>
        <w:t xml:space="preserve">participants </w:t>
      </w:r>
      <w:r w:rsidR="006751D3" w:rsidRPr="00E13947">
        <w:rPr>
          <w:rFonts w:ascii="Times New Roman" w:hAnsi="Times New Roman" w:cs="Times New Roman"/>
        </w:rPr>
        <w:t>without a loan take</w:t>
      </w:r>
      <w:r w:rsidR="0053384E">
        <w:rPr>
          <w:rFonts w:ascii="Times New Roman" w:hAnsi="Times New Roman" w:cs="Times New Roman"/>
        </w:rPr>
        <w:t xml:space="preserve"> 15%</w:t>
      </w:r>
      <w:r w:rsidR="006751D3" w:rsidRPr="00E13947">
        <w:rPr>
          <w:rFonts w:ascii="Times New Roman" w:hAnsi="Times New Roman" w:cs="Times New Roman"/>
        </w:rPr>
        <w:t xml:space="preserve"> </w:t>
      </w:r>
      <w:r w:rsidR="00A037BA">
        <w:rPr>
          <w:rFonts w:ascii="Times New Roman" w:hAnsi="Times New Roman" w:cs="Times New Roman"/>
        </w:rPr>
        <w:t xml:space="preserve">more </w:t>
      </w:r>
      <w:r w:rsidR="006751D3" w:rsidRPr="00E13947">
        <w:rPr>
          <w:rFonts w:ascii="Times New Roman" w:hAnsi="Times New Roman" w:cs="Times New Roman"/>
        </w:rPr>
        <w:t>advantage of the services pro</w:t>
      </w:r>
      <w:r w:rsidR="00983226">
        <w:rPr>
          <w:rFonts w:ascii="Times New Roman" w:hAnsi="Times New Roman" w:cs="Times New Roman"/>
        </w:rPr>
        <w:t>vided at the University of Manchester</w:t>
      </w:r>
      <w:r w:rsidR="0053384E">
        <w:rPr>
          <w:rFonts w:ascii="Times New Roman" w:hAnsi="Times New Roman" w:cs="Times New Roman"/>
        </w:rPr>
        <w:t xml:space="preserve"> on average</w:t>
      </w:r>
      <w:r w:rsidR="006751D3" w:rsidRPr="00E13947">
        <w:rPr>
          <w:rFonts w:ascii="Times New Roman" w:hAnsi="Times New Roman" w:cs="Times New Roman"/>
        </w:rPr>
        <w:t>. One of the reason</w:t>
      </w:r>
      <w:r w:rsidR="00DD21FB">
        <w:rPr>
          <w:rFonts w:ascii="Times New Roman" w:hAnsi="Times New Roman" w:cs="Times New Roman"/>
        </w:rPr>
        <w:t>s</w:t>
      </w:r>
      <w:r w:rsidR="006751D3" w:rsidRPr="00E13947">
        <w:rPr>
          <w:rFonts w:ascii="Times New Roman" w:hAnsi="Times New Roman" w:cs="Times New Roman"/>
        </w:rPr>
        <w:t xml:space="preserve"> is related to the fact that</w:t>
      </w:r>
      <w:r w:rsidR="00E13947" w:rsidRPr="00E13947">
        <w:rPr>
          <w:rFonts w:ascii="Times New Roman" w:hAnsi="Times New Roman" w:cs="Times New Roman"/>
        </w:rPr>
        <w:t xml:space="preserve"> half of the students interviewed not on the loan are from the EU and would pay much lower</w:t>
      </w:r>
      <w:r w:rsidR="006751D3" w:rsidRPr="00E13947">
        <w:rPr>
          <w:rFonts w:ascii="Times New Roman" w:hAnsi="Times New Roman" w:cs="Times New Roman"/>
        </w:rPr>
        <w:t xml:space="preserve"> tuition </w:t>
      </w:r>
      <w:r w:rsidR="00E13947" w:rsidRPr="00E13947">
        <w:rPr>
          <w:rFonts w:ascii="Times New Roman" w:hAnsi="Times New Roman" w:cs="Times New Roman"/>
        </w:rPr>
        <w:t xml:space="preserve">fees if they had studied in </w:t>
      </w:r>
      <w:r w:rsidR="00EE5689">
        <w:rPr>
          <w:rFonts w:ascii="Times New Roman" w:hAnsi="Times New Roman" w:cs="Times New Roman"/>
        </w:rPr>
        <w:t>their country of origin.</w:t>
      </w:r>
      <w:r w:rsidR="00DE03A1">
        <w:rPr>
          <w:rFonts w:ascii="Times New Roman" w:hAnsi="Times New Roman" w:cs="Times New Roman"/>
        </w:rPr>
        <w:t xml:space="preserve"> When asked about the effect of tuition fees on their behaviour at, EU students all have the same answer: "back at home I would not have</w:t>
      </w:r>
      <w:r w:rsidR="006C0F6E">
        <w:rPr>
          <w:rFonts w:ascii="Times New Roman" w:hAnsi="Times New Roman" w:cs="Times New Roman"/>
        </w:rPr>
        <w:t xml:space="preserve"> paid for uni. It is extremely expensive to be here so I should make the most of it".</w:t>
      </w:r>
      <w:r w:rsidR="00DE03A1">
        <w:rPr>
          <w:rFonts w:ascii="Times New Roman" w:hAnsi="Times New Roman" w:cs="Times New Roman"/>
        </w:rPr>
        <w:t xml:space="preserve"> </w:t>
      </w:r>
      <w:r w:rsidR="00EE5689">
        <w:rPr>
          <w:rFonts w:ascii="Times New Roman" w:hAnsi="Times New Roman" w:cs="Times New Roman"/>
        </w:rPr>
        <w:t xml:space="preserve"> Thus, s</w:t>
      </w:r>
      <w:r w:rsidR="00E13947" w:rsidRPr="00E13947">
        <w:rPr>
          <w:rFonts w:ascii="Times New Roman" w:hAnsi="Times New Roman" w:cs="Times New Roman"/>
        </w:rPr>
        <w:t xml:space="preserve">tudents without a loan are 12% more active </w:t>
      </w:r>
      <w:r w:rsidR="00EE5689">
        <w:rPr>
          <w:rFonts w:ascii="Times New Roman" w:hAnsi="Times New Roman" w:cs="Times New Roman"/>
        </w:rPr>
        <w:t xml:space="preserve">at university </w:t>
      </w:r>
      <w:r w:rsidR="00E13947" w:rsidRPr="00E13947">
        <w:rPr>
          <w:rFonts w:ascii="Times New Roman" w:hAnsi="Times New Roman" w:cs="Times New Roman"/>
        </w:rPr>
        <w:t>by attending events</w:t>
      </w:r>
      <w:r w:rsidR="00EE5689">
        <w:rPr>
          <w:rFonts w:ascii="Times New Roman" w:hAnsi="Times New Roman" w:cs="Times New Roman"/>
        </w:rPr>
        <w:t xml:space="preserve"> organized by the university</w:t>
      </w:r>
      <w:r w:rsidR="00E13947" w:rsidRPr="00E13947">
        <w:rPr>
          <w:rFonts w:ascii="Times New Roman" w:hAnsi="Times New Roman" w:cs="Times New Roman"/>
        </w:rPr>
        <w:t xml:space="preserve"> and taking advantage of societies.</w:t>
      </w:r>
      <w:r w:rsidR="00EE5689">
        <w:rPr>
          <w:rFonts w:ascii="Times New Roman" w:hAnsi="Times New Roman" w:cs="Times New Roman"/>
        </w:rPr>
        <w:t xml:space="preserve"> </w:t>
      </w:r>
      <w:r w:rsidR="00E42C77">
        <w:rPr>
          <w:rFonts w:ascii="Times New Roman" w:hAnsi="Times New Roman" w:cs="Times New Roman"/>
        </w:rPr>
        <w:t xml:space="preserve">Also, </w:t>
      </w:r>
      <w:r w:rsidR="001F244D">
        <w:rPr>
          <w:rFonts w:ascii="Times New Roman" w:hAnsi="Times New Roman" w:cs="Times New Roman"/>
        </w:rPr>
        <w:t xml:space="preserve">the </w:t>
      </w:r>
      <w:r w:rsidR="00E42C77">
        <w:rPr>
          <w:rFonts w:ascii="Times New Roman" w:hAnsi="Times New Roman" w:cs="Times New Roman"/>
        </w:rPr>
        <w:t>s</w:t>
      </w:r>
      <w:r w:rsidR="00E42C77" w:rsidRPr="00AA2382">
        <w:rPr>
          <w:rFonts w:ascii="Times New Roman" w:hAnsi="Times New Roman" w:cs="Times New Roman"/>
        </w:rPr>
        <w:t>tudy abroad</w:t>
      </w:r>
      <w:r w:rsidR="001F244D">
        <w:rPr>
          <w:rFonts w:ascii="Times New Roman" w:hAnsi="Times New Roman" w:cs="Times New Roman"/>
        </w:rPr>
        <w:t xml:space="preserve"> programme led by the </w:t>
      </w:r>
      <w:r w:rsidR="001D1091">
        <w:rPr>
          <w:rFonts w:ascii="Times New Roman" w:hAnsi="Times New Roman" w:cs="Times New Roman"/>
        </w:rPr>
        <w:t>University of Manchester</w:t>
      </w:r>
      <w:r w:rsidR="001F244D">
        <w:rPr>
          <w:rFonts w:ascii="Times New Roman" w:hAnsi="Times New Roman" w:cs="Times New Roman"/>
        </w:rPr>
        <w:t xml:space="preserve"> and present in certain degre</w:t>
      </w:r>
      <w:r w:rsidR="00B4527B">
        <w:rPr>
          <w:rFonts w:ascii="Times New Roman" w:hAnsi="Times New Roman" w:cs="Times New Roman"/>
        </w:rPr>
        <w:t>e</w:t>
      </w:r>
      <w:r w:rsidR="001F244D">
        <w:rPr>
          <w:rFonts w:ascii="Times New Roman" w:hAnsi="Times New Roman" w:cs="Times New Roman"/>
        </w:rPr>
        <w:t>s</w:t>
      </w:r>
      <w:r w:rsidR="00E42C77" w:rsidRPr="00AA2382">
        <w:rPr>
          <w:rFonts w:ascii="Times New Roman" w:hAnsi="Times New Roman" w:cs="Times New Roman"/>
        </w:rPr>
        <w:t xml:space="preserve"> is 20% more popular amongst students without a loan.</w:t>
      </w:r>
      <w:r w:rsidR="00E42C77">
        <w:rPr>
          <w:rFonts w:ascii="Times New Roman" w:hAnsi="Times New Roman" w:cs="Times New Roman"/>
        </w:rPr>
        <w:t xml:space="preserve"> </w:t>
      </w:r>
      <w:r w:rsidR="00EE5689">
        <w:rPr>
          <w:rFonts w:ascii="Times New Roman" w:hAnsi="Times New Roman" w:cs="Times New Roman"/>
        </w:rPr>
        <w:t>It correlated with the fact that</w:t>
      </w:r>
      <w:r w:rsidR="00E13947">
        <w:rPr>
          <w:rFonts w:ascii="Times New Roman" w:hAnsi="Times New Roman" w:cs="Times New Roman"/>
        </w:rPr>
        <w:t xml:space="preserve"> </w:t>
      </w:r>
      <w:r w:rsidR="00E13947" w:rsidRPr="00E13947">
        <w:rPr>
          <w:rFonts w:ascii="Times New Roman" w:hAnsi="Times New Roman" w:cs="Times New Roman"/>
        </w:rPr>
        <w:t>EU students take</w:t>
      </w:r>
      <w:r w:rsidR="00EE5689">
        <w:rPr>
          <w:rFonts w:ascii="Times New Roman" w:hAnsi="Times New Roman" w:cs="Times New Roman"/>
        </w:rPr>
        <w:t xml:space="preserve"> 15% more</w:t>
      </w:r>
      <w:r w:rsidR="00E13947" w:rsidRPr="00E13947">
        <w:rPr>
          <w:rFonts w:ascii="Times New Roman" w:hAnsi="Times New Roman" w:cs="Times New Roman"/>
        </w:rPr>
        <w:t xml:space="preserve"> advantage of societies </w:t>
      </w:r>
      <w:r w:rsidR="00EE5689">
        <w:rPr>
          <w:rFonts w:ascii="Times New Roman" w:hAnsi="Times New Roman" w:cs="Times New Roman"/>
        </w:rPr>
        <w:t>on average</w:t>
      </w:r>
      <w:r w:rsidR="00DD21FB">
        <w:rPr>
          <w:rFonts w:ascii="Times New Roman" w:hAnsi="Times New Roman" w:cs="Times New Roman"/>
        </w:rPr>
        <w:t xml:space="preserve"> </w:t>
      </w:r>
      <w:r w:rsidR="00096071">
        <w:rPr>
          <w:rFonts w:ascii="Times New Roman" w:hAnsi="Times New Roman" w:cs="Times New Roman"/>
        </w:rPr>
        <w:t xml:space="preserve">and </w:t>
      </w:r>
      <w:r w:rsidR="00096071" w:rsidRPr="00AA2382">
        <w:rPr>
          <w:rFonts w:ascii="Times New Roman" w:hAnsi="Times New Roman" w:cs="Times New Roman"/>
        </w:rPr>
        <w:t xml:space="preserve">are 20% more </w:t>
      </w:r>
      <w:r w:rsidR="00AB35E0">
        <w:rPr>
          <w:rFonts w:ascii="Times New Roman" w:hAnsi="Times New Roman" w:cs="Times New Roman"/>
        </w:rPr>
        <w:t>likely to</w:t>
      </w:r>
      <w:r w:rsidR="00B3433A">
        <w:rPr>
          <w:rFonts w:ascii="Times New Roman" w:hAnsi="Times New Roman" w:cs="Times New Roman"/>
        </w:rPr>
        <w:t xml:space="preserve"> go to talk organized by the U</w:t>
      </w:r>
      <w:r w:rsidR="00096071" w:rsidRPr="00AA2382">
        <w:rPr>
          <w:rFonts w:ascii="Times New Roman" w:hAnsi="Times New Roman" w:cs="Times New Roman"/>
        </w:rPr>
        <w:t>niversity</w:t>
      </w:r>
      <w:r w:rsidR="00B3433A">
        <w:rPr>
          <w:rFonts w:ascii="Times New Roman" w:hAnsi="Times New Roman" w:cs="Times New Roman"/>
        </w:rPr>
        <w:t xml:space="preserve"> of Manchester</w:t>
      </w:r>
      <w:r w:rsidR="00096071" w:rsidRPr="00AA2382">
        <w:rPr>
          <w:rFonts w:ascii="Times New Roman" w:hAnsi="Times New Roman" w:cs="Times New Roman"/>
        </w:rPr>
        <w:t xml:space="preserve"> and work at university.</w:t>
      </w:r>
      <w:r w:rsidR="00784277">
        <w:rPr>
          <w:rFonts w:ascii="Times New Roman" w:hAnsi="Times New Roman" w:cs="Times New Roman"/>
        </w:rPr>
        <w:t xml:space="preserve"> </w:t>
      </w:r>
    </w:p>
    <w:p w14:paraId="030AE6E9" w14:textId="75DFC071" w:rsidR="006751D3" w:rsidRDefault="00784277" w:rsidP="003A72E9">
      <w:pPr>
        <w:spacing w:line="480" w:lineRule="auto"/>
        <w:jc w:val="both"/>
        <w:rPr>
          <w:rFonts w:ascii="Times New Roman" w:hAnsi="Times New Roman" w:cs="Times New Roman"/>
        </w:rPr>
      </w:pPr>
      <w:r w:rsidRPr="006020AF">
        <w:rPr>
          <w:rFonts w:ascii="Times New Roman" w:hAnsi="Times New Roman" w:cs="Times New Roman"/>
        </w:rPr>
        <w:t xml:space="preserve">However, </w:t>
      </w:r>
      <w:r w:rsidR="00B4527B">
        <w:rPr>
          <w:rFonts w:ascii="Times New Roman" w:hAnsi="Times New Roman" w:cs="Times New Roman"/>
        </w:rPr>
        <w:t xml:space="preserve">not </w:t>
      </w:r>
      <w:r w:rsidRPr="006020AF">
        <w:rPr>
          <w:rFonts w:ascii="Times New Roman" w:hAnsi="Times New Roman" w:cs="Times New Roman"/>
        </w:rPr>
        <w:t xml:space="preserve">being on a loan is not the only </w:t>
      </w:r>
      <w:r w:rsidR="00DD6C9F" w:rsidRPr="006020AF">
        <w:rPr>
          <w:rFonts w:ascii="Times New Roman" w:hAnsi="Times New Roman" w:cs="Times New Roman"/>
        </w:rPr>
        <w:t>persuasive variable affecting students' involvement and behaviour as customer</w:t>
      </w:r>
      <w:r w:rsidR="00B4527B">
        <w:rPr>
          <w:rFonts w:ascii="Times New Roman" w:hAnsi="Times New Roman" w:cs="Times New Roman"/>
        </w:rPr>
        <w:t>: degree choices also matter alongside the economic factor.</w:t>
      </w:r>
      <w:r w:rsidR="00DD6C9F" w:rsidRPr="006020AF">
        <w:rPr>
          <w:rFonts w:ascii="Times New Roman" w:hAnsi="Times New Roman" w:cs="Times New Roman"/>
        </w:rPr>
        <w:t xml:space="preserve"> Business students use the career service 40 to 45% more than other humanities students. In average, business students use a lot more of the services provided at university</w:t>
      </w:r>
      <w:r w:rsidR="007E1531" w:rsidRPr="006020AF">
        <w:rPr>
          <w:rFonts w:ascii="Times New Roman" w:hAnsi="Times New Roman" w:cs="Times New Roman"/>
        </w:rPr>
        <w:t xml:space="preserve"> when 90% </w:t>
      </w:r>
      <w:r w:rsidR="007F3ED1">
        <w:rPr>
          <w:rFonts w:ascii="Times New Roman" w:hAnsi="Times New Roman" w:cs="Times New Roman"/>
        </w:rPr>
        <w:t>of them are on a loan. C</w:t>
      </w:r>
      <w:r w:rsidR="007E1531" w:rsidRPr="006020AF">
        <w:rPr>
          <w:rFonts w:ascii="Times New Roman" w:hAnsi="Times New Roman" w:cs="Times New Roman"/>
        </w:rPr>
        <w:t xml:space="preserve">ompared to other humanities degree, business students are more aware of market </w:t>
      </w:r>
      <w:r w:rsidR="00A52E99" w:rsidRPr="006020AF">
        <w:rPr>
          <w:rFonts w:ascii="Times New Roman" w:hAnsi="Times New Roman" w:cs="Times New Roman"/>
        </w:rPr>
        <w:t xml:space="preserve">requirements and fit the customer analogy more. </w:t>
      </w:r>
      <w:r w:rsidR="007F3ED1">
        <w:rPr>
          <w:rFonts w:ascii="Times New Roman" w:hAnsi="Times New Roman" w:cs="Times New Roman"/>
        </w:rPr>
        <w:t>The following quotes</w:t>
      </w:r>
      <w:r w:rsidR="00606F5B">
        <w:rPr>
          <w:rFonts w:ascii="Times New Roman" w:hAnsi="Times New Roman" w:cs="Times New Roman"/>
        </w:rPr>
        <w:t xml:space="preserve"> from students studying business</w:t>
      </w:r>
      <w:r w:rsidR="007F3ED1">
        <w:rPr>
          <w:rFonts w:ascii="Times New Roman" w:hAnsi="Times New Roman" w:cs="Times New Roman"/>
        </w:rPr>
        <w:t xml:space="preserve"> justify their behaviour: </w:t>
      </w:r>
      <w:r w:rsidR="00E4446A" w:rsidRPr="006020AF">
        <w:rPr>
          <w:rFonts w:ascii="Times New Roman" w:hAnsi="Times New Roman" w:cs="Times New Roman"/>
        </w:rPr>
        <w:t>"there</w:t>
      </w:r>
      <w:r w:rsidR="006020AF" w:rsidRPr="006020AF">
        <w:rPr>
          <w:rFonts w:ascii="Times New Roman" w:hAnsi="Times New Roman" w:cs="Times New Roman"/>
        </w:rPr>
        <w:t xml:space="preserve"> is so many people taking my </w:t>
      </w:r>
      <w:r w:rsidR="00E4446A" w:rsidRPr="006020AF">
        <w:rPr>
          <w:rFonts w:ascii="Times New Roman" w:hAnsi="Times New Roman" w:cs="Times New Roman"/>
        </w:rPr>
        <w:t xml:space="preserve">degree and everyone is doing so well. </w:t>
      </w:r>
      <w:r w:rsidR="008812C4" w:rsidRPr="006020AF">
        <w:rPr>
          <w:rFonts w:ascii="Times New Roman" w:hAnsi="Times New Roman" w:cs="Times New Roman"/>
        </w:rPr>
        <w:t>It is though to differentiate between people so it is probably why I have taken so many extracurricular activities".</w:t>
      </w:r>
      <w:r w:rsidR="006020AF" w:rsidRPr="006020AF">
        <w:rPr>
          <w:rFonts w:ascii="Times New Roman" w:hAnsi="Times New Roman" w:cs="Times New Roman"/>
        </w:rPr>
        <w:t xml:space="preserve"> Another </w:t>
      </w:r>
      <w:r w:rsidR="00B3433A">
        <w:rPr>
          <w:rFonts w:ascii="Times New Roman" w:hAnsi="Times New Roman" w:cs="Times New Roman"/>
        </w:rPr>
        <w:t>adds:</w:t>
      </w:r>
      <w:r w:rsidR="006020AF" w:rsidRPr="006020AF">
        <w:rPr>
          <w:rFonts w:ascii="Times New Roman" w:hAnsi="Times New Roman" w:cs="Times New Roman"/>
        </w:rPr>
        <w:t xml:space="preserve"> "This is why I am studying a language as well. Yes uni will help but certain subjects are overcrowded so you need to stand out more".</w:t>
      </w:r>
    </w:p>
    <w:p w14:paraId="2742F88C" w14:textId="3A018B10" w:rsidR="00F93642" w:rsidRPr="00B03942" w:rsidRDefault="00606F5B" w:rsidP="003A72E9">
      <w:pPr>
        <w:spacing w:line="480" w:lineRule="auto"/>
        <w:jc w:val="both"/>
        <w:rPr>
          <w:rFonts w:ascii="Times New Roman" w:hAnsi="Times New Roman" w:cs="Times New Roman"/>
        </w:rPr>
      </w:pPr>
      <w:r>
        <w:rPr>
          <w:rFonts w:ascii="Times New Roman" w:hAnsi="Times New Roman" w:cs="Times New Roman"/>
        </w:rPr>
        <w:t xml:space="preserve">If both those three distinctive groups </w:t>
      </w:r>
      <w:r w:rsidR="009E7776">
        <w:rPr>
          <w:rFonts w:ascii="Times New Roman" w:hAnsi="Times New Roman" w:cs="Times New Roman"/>
        </w:rPr>
        <w:t>do use additional services to enhance their profiles, most students</w:t>
      </w:r>
      <w:r w:rsidR="00BF4C88">
        <w:rPr>
          <w:rFonts w:ascii="Times New Roman" w:hAnsi="Times New Roman" w:cs="Times New Roman"/>
        </w:rPr>
        <w:t xml:space="preserve"> surveyed</w:t>
      </w:r>
      <w:r w:rsidR="009E7776">
        <w:rPr>
          <w:rFonts w:ascii="Times New Roman" w:hAnsi="Times New Roman" w:cs="Times New Roman"/>
        </w:rPr>
        <w:t xml:space="preserve"> still consider their degree to be the most important part of their university years and what they are paying for. </w:t>
      </w:r>
      <w:r w:rsidR="00647EAC">
        <w:rPr>
          <w:rFonts w:ascii="Times New Roman" w:hAnsi="Times New Roman" w:cs="Times New Roman"/>
        </w:rPr>
        <w:t xml:space="preserve">This is </w:t>
      </w:r>
      <w:r w:rsidR="00C74A48">
        <w:rPr>
          <w:rFonts w:ascii="Times New Roman" w:hAnsi="Times New Roman" w:cs="Times New Roman"/>
        </w:rPr>
        <w:t xml:space="preserve">illustrated by the fact that </w:t>
      </w:r>
      <w:r w:rsidR="00647EAC">
        <w:rPr>
          <w:rFonts w:ascii="Times New Roman" w:hAnsi="Times New Roman" w:cs="Times New Roman"/>
        </w:rPr>
        <w:t>services related to enhancing academic performances are 10</w:t>
      </w:r>
      <w:r w:rsidR="00F10B01">
        <w:rPr>
          <w:rFonts w:ascii="Times New Roman" w:hAnsi="Times New Roman" w:cs="Times New Roman"/>
        </w:rPr>
        <w:t xml:space="preserve">% to 40% more used than nonrelated ones. </w:t>
      </w:r>
      <w:r w:rsidR="00BF4B90">
        <w:rPr>
          <w:rFonts w:ascii="Times New Roman" w:hAnsi="Times New Roman" w:cs="Times New Roman"/>
        </w:rPr>
        <w:t>For most students, maximizing their time at university is focused on attending lectures, seminars and handing in assignments on time.</w:t>
      </w:r>
      <w:r w:rsidR="00FE063B">
        <w:rPr>
          <w:rFonts w:ascii="Times New Roman" w:hAnsi="Times New Roman" w:cs="Times New Roman"/>
        </w:rPr>
        <w:t xml:space="preserve"> </w:t>
      </w:r>
      <w:r w:rsidR="00FE063B" w:rsidRPr="0048033E">
        <w:rPr>
          <w:rFonts w:ascii="Times New Roman" w:hAnsi="Times New Roman" w:cs="Times New Roman"/>
        </w:rPr>
        <w:t xml:space="preserve">This relates to the argument expressed </w:t>
      </w:r>
      <w:r w:rsidR="0048033E">
        <w:rPr>
          <w:rFonts w:ascii="Times New Roman" w:hAnsi="Times New Roman" w:cs="Times New Roman"/>
        </w:rPr>
        <w:t xml:space="preserve">above </w:t>
      </w:r>
      <w:r w:rsidR="00FE063B" w:rsidRPr="0048033E">
        <w:rPr>
          <w:rFonts w:ascii="Times New Roman" w:hAnsi="Times New Roman" w:cs="Times New Roman"/>
        </w:rPr>
        <w:t>by Watjatrakul (2014</w:t>
      </w:r>
      <w:r w:rsidR="0048033E">
        <w:rPr>
          <w:rFonts w:ascii="Times New Roman" w:hAnsi="Times New Roman" w:cs="Times New Roman"/>
        </w:rPr>
        <w:t>) mentio</w:t>
      </w:r>
      <w:r w:rsidR="00FE063B" w:rsidRPr="0048033E">
        <w:rPr>
          <w:rFonts w:ascii="Times New Roman" w:hAnsi="Times New Roman" w:cs="Times New Roman"/>
        </w:rPr>
        <w:t xml:space="preserve">ning the desire from students to get more contact </w:t>
      </w:r>
      <w:r w:rsidR="0048033E" w:rsidRPr="0048033E">
        <w:rPr>
          <w:rFonts w:ascii="Times New Roman" w:hAnsi="Times New Roman" w:cs="Times New Roman"/>
        </w:rPr>
        <w:t>hours and support academically considering the quality of education their primary investment.</w:t>
      </w:r>
      <w:r w:rsidR="00FE063B">
        <w:rPr>
          <w:rFonts w:ascii="Times New Roman" w:hAnsi="Times New Roman" w:cs="Times New Roman"/>
          <w:lang w:val="fr-FR"/>
        </w:rPr>
        <w:t xml:space="preserve"> </w:t>
      </w:r>
      <w:r w:rsidR="00BF4B90">
        <w:rPr>
          <w:rFonts w:ascii="Times New Roman" w:hAnsi="Times New Roman" w:cs="Times New Roman"/>
        </w:rPr>
        <w:t xml:space="preserve"> 70% of students interviews mention that "</w:t>
      </w:r>
      <w:r w:rsidR="00EB3AD7">
        <w:rPr>
          <w:rFonts w:ascii="Times New Roman" w:hAnsi="Times New Roman" w:cs="Times New Roman"/>
        </w:rPr>
        <w:t>I could do more, you can always do more" but that "attending lectures and seminars and that is the base that you need: everything else is extra".</w:t>
      </w:r>
      <w:r w:rsidR="008F7B6F">
        <w:rPr>
          <w:rFonts w:ascii="Times New Roman" w:hAnsi="Times New Roman" w:cs="Times New Roman"/>
        </w:rPr>
        <w:t xml:space="preserve"> </w:t>
      </w:r>
    </w:p>
    <w:p w14:paraId="3B8ADF92" w14:textId="77777777" w:rsidR="009854C3" w:rsidRDefault="009854C3" w:rsidP="003A72E9">
      <w:pPr>
        <w:spacing w:line="480" w:lineRule="auto"/>
        <w:jc w:val="both"/>
        <w:rPr>
          <w:rFonts w:ascii="Times New Roman" w:hAnsi="Times New Roman" w:cs="Times New Roman"/>
          <w:lang w:val="fr-FR"/>
        </w:rPr>
      </w:pPr>
    </w:p>
    <w:p w14:paraId="1A4F3F0E" w14:textId="061583B7" w:rsidR="004C0998" w:rsidRPr="00CB00EB" w:rsidRDefault="00CB00EB" w:rsidP="003A72E9">
      <w:pPr>
        <w:spacing w:line="480" w:lineRule="auto"/>
        <w:jc w:val="both"/>
        <w:rPr>
          <w:rFonts w:ascii="Times New Roman" w:hAnsi="Times New Roman" w:cs="Times New Roman"/>
        </w:rPr>
      </w:pPr>
      <w:r w:rsidRPr="00CB00EB">
        <w:rPr>
          <w:rFonts w:ascii="Times New Roman" w:hAnsi="Times New Roman" w:cs="Times New Roman"/>
        </w:rPr>
        <w:t xml:space="preserve">The analysis of hypothesis 2 </w:t>
      </w:r>
      <w:r w:rsidR="00322616">
        <w:rPr>
          <w:rFonts w:ascii="Times New Roman" w:hAnsi="Times New Roman" w:cs="Times New Roman"/>
        </w:rPr>
        <w:t xml:space="preserve">shows that additional services are used to enhance students' </w:t>
      </w:r>
      <w:r w:rsidR="00FF23DB">
        <w:rPr>
          <w:rFonts w:ascii="Times New Roman" w:hAnsi="Times New Roman" w:cs="Times New Roman"/>
        </w:rPr>
        <w:t xml:space="preserve">progress and life at </w:t>
      </w:r>
      <w:r w:rsidR="00AA5F93">
        <w:rPr>
          <w:rFonts w:ascii="Times New Roman" w:hAnsi="Times New Roman" w:cs="Times New Roman"/>
        </w:rPr>
        <w:t>the University of Manchester</w:t>
      </w:r>
      <w:r w:rsidR="00FF23DB">
        <w:rPr>
          <w:rFonts w:ascii="Times New Roman" w:hAnsi="Times New Roman" w:cs="Times New Roman"/>
        </w:rPr>
        <w:t xml:space="preserve">. However, students without a loan to pay for their tuition fees as well as business students are more likely to use additional services outside of their degree in order to make their profile stand out from the crowd. In general, </w:t>
      </w:r>
      <w:r w:rsidR="00EC7568">
        <w:rPr>
          <w:rFonts w:ascii="Times New Roman" w:hAnsi="Times New Roman" w:cs="Times New Roman"/>
        </w:rPr>
        <w:t>participants</w:t>
      </w:r>
      <w:r w:rsidR="00FF23DB">
        <w:rPr>
          <w:rFonts w:ascii="Times New Roman" w:hAnsi="Times New Roman" w:cs="Times New Roman"/>
        </w:rPr>
        <w:t>' focus remains centred on academic success and</w:t>
      </w:r>
      <w:r w:rsidR="008C6C62">
        <w:rPr>
          <w:rFonts w:ascii="Times New Roman" w:hAnsi="Times New Roman" w:cs="Times New Roman"/>
        </w:rPr>
        <w:t xml:space="preserve"> thus their use of </w:t>
      </w:r>
      <w:r w:rsidR="008B6EF2">
        <w:rPr>
          <w:rFonts w:ascii="Times New Roman" w:hAnsi="Times New Roman" w:cs="Times New Roman"/>
        </w:rPr>
        <w:t>university</w:t>
      </w:r>
      <w:r w:rsidR="00644248">
        <w:rPr>
          <w:rFonts w:ascii="Times New Roman" w:hAnsi="Times New Roman" w:cs="Times New Roman"/>
        </w:rPr>
        <w:t xml:space="preserve"> </w:t>
      </w:r>
      <w:r w:rsidR="002427C5">
        <w:rPr>
          <w:rFonts w:ascii="Times New Roman" w:hAnsi="Times New Roman" w:cs="Times New Roman"/>
        </w:rPr>
        <w:t>services is strongly to that</w:t>
      </w:r>
      <w:r w:rsidR="00321A03">
        <w:rPr>
          <w:rFonts w:ascii="Times New Roman" w:hAnsi="Times New Roman" w:cs="Times New Roman"/>
        </w:rPr>
        <w:t xml:space="preserve"> purpose</w:t>
      </w:r>
      <w:r w:rsidR="002427C5">
        <w:rPr>
          <w:rFonts w:ascii="Times New Roman" w:hAnsi="Times New Roman" w:cs="Times New Roman"/>
        </w:rPr>
        <w:t>.</w:t>
      </w:r>
    </w:p>
    <w:p w14:paraId="6D32B5A1" w14:textId="77777777" w:rsidR="004C0998" w:rsidRPr="00CB00EB" w:rsidRDefault="004C0998" w:rsidP="003A72E9">
      <w:pPr>
        <w:spacing w:line="480" w:lineRule="auto"/>
        <w:jc w:val="both"/>
        <w:rPr>
          <w:rFonts w:ascii="Times New Roman" w:hAnsi="Times New Roman" w:cs="Times New Roman"/>
        </w:rPr>
      </w:pPr>
    </w:p>
    <w:p w14:paraId="64FE33F1" w14:textId="253996DF" w:rsidR="00D148F9" w:rsidRPr="003A72E9" w:rsidRDefault="009854C3" w:rsidP="003A72E9">
      <w:pPr>
        <w:spacing w:line="480" w:lineRule="auto"/>
        <w:jc w:val="both"/>
        <w:rPr>
          <w:rFonts w:ascii="Times New Roman" w:hAnsi="Times New Roman" w:cs="Times New Roman"/>
          <w:u w:val="single"/>
        </w:rPr>
      </w:pPr>
      <w:r w:rsidRPr="003A72E9">
        <w:rPr>
          <w:rFonts w:ascii="Times New Roman" w:hAnsi="Times New Roman" w:cs="Times New Roman"/>
          <w:u w:val="single"/>
        </w:rPr>
        <w:t xml:space="preserve">3.3. </w:t>
      </w:r>
      <w:r w:rsidR="00CC400D" w:rsidRPr="003A72E9">
        <w:rPr>
          <w:rFonts w:ascii="Times New Roman" w:hAnsi="Times New Roman" w:cs="Times New Roman"/>
          <w:u w:val="single"/>
        </w:rPr>
        <w:t xml:space="preserve">Higher fees lead students to be more responsive and invested in the quality of teaching and services provided at </w:t>
      </w:r>
      <w:r w:rsidR="00AA5F93">
        <w:rPr>
          <w:rFonts w:ascii="Times New Roman" w:hAnsi="Times New Roman" w:cs="Times New Roman"/>
          <w:u w:val="single"/>
        </w:rPr>
        <w:t>university</w:t>
      </w:r>
      <w:r w:rsidR="00CC400D" w:rsidRPr="003A72E9">
        <w:rPr>
          <w:rFonts w:ascii="Times New Roman" w:hAnsi="Times New Roman" w:cs="Times New Roman"/>
          <w:u w:val="single"/>
        </w:rPr>
        <w:t>.</w:t>
      </w:r>
    </w:p>
    <w:p w14:paraId="55E103A1" w14:textId="1CC66916" w:rsidR="00452817" w:rsidRPr="006F79DE" w:rsidRDefault="00712214" w:rsidP="003A72E9">
      <w:pPr>
        <w:spacing w:line="480" w:lineRule="auto"/>
        <w:jc w:val="both"/>
        <w:rPr>
          <w:rFonts w:ascii="Times New Roman" w:hAnsi="Times New Roman" w:cs="Times New Roman"/>
        </w:rPr>
      </w:pPr>
      <w:r w:rsidRPr="00717350">
        <w:rPr>
          <w:rFonts w:ascii="Times New Roman" w:hAnsi="Times New Roman" w:cs="Times New Roman"/>
        </w:rPr>
        <w:t>From the s</w:t>
      </w:r>
      <w:r w:rsidR="00452817" w:rsidRPr="00717350">
        <w:rPr>
          <w:rFonts w:ascii="Times New Roman" w:hAnsi="Times New Roman" w:cs="Times New Roman"/>
        </w:rPr>
        <w:t>u</w:t>
      </w:r>
      <w:r w:rsidRPr="00717350">
        <w:rPr>
          <w:rFonts w:ascii="Times New Roman" w:hAnsi="Times New Roman" w:cs="Times New Roman"/>
        </w:rPr>
        <w:t>r</w:t>
      </w:r>
      <w:r w:rsidR="00452817" w:rsidRPr="00717350">
        <w:rPr>
          <w:rFonts w:ascii="Times New Roman" w:hAnsi="Times New Roman" w:cs="Times New Roman"/>
        </w:rPr>
        <w:t xml:space="preserve">vey, it can be inferred that students do not </w:t>
      </w:r>
      <w:r w:rsidR="005877A4" w:rsidRPr="00717350">
        <w:rPr>
          <w:rFonts w:ascii="Times New Roman" w:hAnsi="Times New Roman" w:cs="Times New Roman"/>
        </w:rPr>
        <w:t>particular</w:t>
      </w:r>
      <w:r w:rsidR="005877A4">
        <w:rPr>
          <w:rFonts w:ascii="Times New Roman" w:hAnsi="Times New Roman" w:cs="Times New Roman"/>
        </w:rPr>
        <w:t>ly</w:t>
      </w:r>
      <w:r w:rsidR="00452817" w:rsidRPr="00717350">
        <w:rPr>
          <w:rFonts w:ascii="Times New Roman" w:hAnsi="Times New Roman" w:cs="Times New Roman"/>
        </w:rPr>
        <w:t xml:space="preserve"> </w:t>
      </w:r>
      <w:r w:rsidRPr="00717350">
        <w:rPr>
          <w:rFonts w:ascii="Times New Roman" w:hAnsi="Times New Roman" w:cs="Times New Roman"/>
        </w:rPr>
        <w:t>act as customer</w:t>
      </w:r>
      <w:r w:rsidR="00717350" w:rsidRPr="00717350">
        <w:rPr>
          <w:rFonts w:ascii="Times New Roman" w:hAnsi="Times New Roman" w:cs="Times New Roman"/>
        </w:rPr>
        <w:t xml:space="preserve"> regarding this a</w:t>
      </w:r>
      <w:r w:rsidR="001431D8">
        <w:rPr>
          <w:rFonts w:ascii="Times New Roman" w:hAnsi="Times New Roman" w:cs="Times New Roman"/>
        </w:rPr>
        <w:t>spect. Course Unit surveys and S</w:t>
      </w:r>
      <w:r w:rsidR="00717350" w:rsidRPr="00717350">
        <w:rPr>
          <w:rFonts w:ascii="Times New Roman" w:hAnsi="Times New Roman" w:cs="Times New Roman"/>
        </w:rPr>
        <w:t xml:space="preserve">tudents' </w:t>
      </w:r>
      <w:r w:rsidR="001431D8">
        <w:rPr>
          <w:rFonts w:ascii="Times New Roman" w:hAnsi="Times New Roman" w:cs="Times New Roman"/>
        </w:rPr>
        <w:t>R</w:t>
      </w:r>
      <w:r w:rsidR="001C1B29" w:rsidRPr="00717350">
        <w:rPr>
          <w:rFonts w:ascii="Times New Roman" w:hAnsi="Times New Roman" w:cs="Times New Roman"/>
        </w:rPr>
        <w:t>epresentatives</w:t>
      </w:r>
      <w:r w:rsidR="001C1B29">
        <w:rPr>
          <w:rFonts w:ascii="Times New Roman" w:hAnsi="Times New Roman" w:cs="Times New Roman"/>
        </w:rPr>
        <w:t xml:space="preserve"> are only used </w:t>
      </w:r>
      <w:r w:rsidR="00AD2BBA">
        <w:rPr>
          <w:rFonts w:ascii="Times New Roman" w:hAnsi="Times New Roman" w:cs="Times New Roman"/>
        </w:rPr>
        <w:t xml:space="preserve">by </w:t>
      </w:r>
      <w:r w:rsidR="001C1B29">
        <w:rPr>
          <w:rFonts w:ascii="Times New Roman" w:hAnsi="Times New Roman" w:cs="Times New Roman"/>
        </w:rPr>
        <w:t xml:space="preserve">46% and 13% of </w:t>
      </w:r>
      <w:r w:rsidR="00AD2BBA">
        <w:rPr>
          <w:rFonts w:ascii="Times New Roman" w:hAnsi="Times New Roman" w:cs="Times New Roman"/>
        </w:rPr>
        <w:t>respondents</w:t>
      </w:r>
      <w:r w:rsidR="00AD2BBA" w:rsidRPr="00AD2BBA">
        <w:rPr>
          <w:rFonts w:ascii="Times New Roman" w:hAnsi="Times New Roman" w:cs="Times New Roman"/>
        </w:rPr>
        <w:t xml:space="preserve"> </w:t>
      </w:r>
      <w:r w:rsidR="00AD2BBA">
        <w:rPr>
          <w:rFonts w:ascii="Times New Roman" w:hAnsi="Times New Roman" w:cs="Times New Roman"/>
        </w:rPr>
        <w:t>respectively</w:t>
      </w:r>
      <w:r w:rsidR="001C1B29">
        <w:rPr>
          <w:rFonts w:ascii="Times New Roman" w:hAnsi="Times New Roman" w:cs="Times New Roman"/>
        </w:rPr>
        <w:t xml:space="preserve">. Academic advisors and office </w:t>
      </w:r>
      <w:r w:rsidR="00DB3BD4">
        <w:rPr>
          <w:rFonts w:ascii="Times New Roman" w:hAnsi="Times New Roman" w:cs="Times New Roman"/>
        </w:rPr>
        <w:t>hours are slightly more popular</w:t>
      </w:r>
      <w:r w:rsidR="00717350" w:rsidRPr="00717350">
        <w:rPr>
          <w:rFonts w:ascii="Times New Roman" w:hAnsi="Times New Roman" w:cs="Times New Roman"/>
        </w:rPr>
        <w:t xml:space="preserve"> </w:t>
      </w:r>
      <w:r w:rsidR="000A69A8">
        <w:rPr>
          <w:rFonts w:ascii="Times New Roman" w:hAnsi="Times New Roman" w:cs="Times New Roman"/>
        </w:rPr>
        <w:t xml:space="preserve">with 58% and 56% of use by students. Also, the Students' Union elections are relatively popular with 33% of students getting involved. </w:t>
      </w:r>
      <w:r w:rsidR="007257BD" w:rsidRPr="007257BD">
        <w:rPr>
          <w:rFonts w:ascii="Times New Roman" w:hAnsi="Times New Roman" w:cs="Times New Roman"/>
        </w:rPr>
        <w:t xml:space="preserve">Moreover, course surveys are 20% more likely to be completed by students who are on a loan however student representatives are 15% more used amongst students without a loan. </w:t>
      </w:r>
    </w:p>
    <w:p w14:paraId="439E7ECF" w14:textId="48D46036" w:rsidR="006B25F1" w:rsidRDefault="006B25F1" w:rsidP="003A72E9">
      <w:pPr>
        <w:spacing w:line="480" w:lineRule="auto"/>
        <w:jc w:val="both"/>
        <w:rPr>
          <w:rFonts w:ascii="Times New Roman" w:hAnsi="Times New Roman" w:cs="Times New Roman"/>
        </w:rPr>
      </w:pPr>
      <w:r>
        <w:rPr>
          <w:rFonts w:ascii="Times New Roman" w:hAnsi="Times New Roman" w:cs="Times New Roman"/>
        </w:rPr>
        <w:t xml:space="preserve">One of the reasons for this seems to be that students </w:t>
      </w:r>
      <w:r w:rsidR="006F79DE">
        <w:rPr>
          <w:rFonts w:ascii="Times New Roman" w:hAnsi="Times New Roman" w:cs="Times New Roman"/>
        </w:rPr>
        <w:t>are not fully aware in details of what to</w:t>
      </w:r>
      <w:r>
        <w:rPr>
          <w:rFonts w:ascii="Times New Roman" w:hAnsi="Times New Roman" w:cs="Times New Roman"/>
        </w:rPr>
        <w:t xml:space="preserve"> expect </w:t>
      </w:r>
      <w:r w:rsidR="001431D8">
        <w:rPr>
          <w:rFonts w:ascii="Times New Roman" w:hAnsi="Times New Roman" w:cs="Times New Roman"/>
        </w:rPr>
        <w:t>from the U</w:t>
      </w:r>
      <w:r w:rsidR="001709AF">
        <w:rPr>
          <w:rFonts w:ascii="Times New Roman" w:hAnsi="Times New Roman" w:cs="Times New Roman"/>
        </w:rPr>
        <w:t>niversity</w:t>
      </w:r>
      <w:r w:rsidR="00AA5F93">
        <w:rPr>
          <w:rFonts w:ascii="Times New Roman" w:hAnsi="Times New Roman" w:cs="Times New Roman"/>
        </w:rPr>
        <w:t xml:space="preserve"> of Manchester</w:t>
      </w:r>
      <w:r w:rsidR="001709AF">
        <w:rPr>
          <w:rFonts w:ascii="Times New Roman" w:hAnsi="Times New Roman" w:cs="Times New Roman"/>
        </w:rPr>
        <w:t xml:space="preserve"> or the degree they apply for. Students focus on the fact that </w:t>
      </w:r>
      <w:r w:rsidR="001431D8">
        <w:rPr>
          <w:rFonts w:ascii="Times New Roman" w:hAnsi="Times New Roman" w:cs="Times New Roman"/>
        </w:rPr>
        <w:t>the U</w:t>
      </w:r>
      <w:r w:rsidR="00EC68AD">
        <w:rPr>
          <w:rFonts w:ascii="Times New Roman" w:hAnsi="Times New Roman" w:cs="Times New Roman"/>
        </w:rPr>
        <w:t>niversity</w:t>
      </w:r>
      <w:r w:rsidR="001431D8">
        <w:rPr>
          <w:rFonts w:ascii="Times New Roman" w:hAnsi="Times New Roman" w:cs="Times New Roman"/>
        </w:rPr>
        <w:t xml:space="preserve"> of Manchester</w:t>
      </w:r>
      <w:r w:rsidR="00EC68AD">
        <w:rPr>
          <w:rFonts w:ascii="Times New Roman" w:hAnsi="Times New Roman" w:cs="Times New Roman"/>
        </w:rPr>
        <w:t xml:space="preserve"> "</w:t>
      </w:r>
      <w:r w:rsidR="001709AF">
        <w:rPr>
          <w:rFonts w:ascii="Times New Roman" w:hAnsi="Times New Roman" w:cs="Times New Roman"/>
        </w:rPr>
        <w:t>was supposed to have a g</w:t>
      </w:r>
      <w:r w:rsidR="00483AC6">
        <w:rPr>
          <w:rFonts w:ascii="Times New Roman" w:hAnsi="Times New Roman" w:cs="Times New Roman"/>
        </w:rPr>
        <w:t>ood reputation and that was it"</w:t>
      </w:r>
      <w:r w:rsidR="00EC68AD">
        <w:rPr>
          <w:rFonts w:ascii="Times New Roman" w:hAnsi="Times New Roman" w:cs="Times New Roman"/>
        </w:rPr>
        <w:t xml:space="preserve"> or that "there would be</w:t>
      </w:r>
      <w:r w:rsidR="00880BF5">
        <w:rPr>
          <w:rFonts w:ascii="Times New Roman" w:hAnsi="Times New Roman" w:cs="Times New Roman"/>
        </w:rPr>
        <w:t xml:space="preserve"> a lot of social opportunities"</w:t>
      </w:r>
      <w:r w:rsidR="00483AC6">
        <w:rPr>
          <w:rFonts w:ascii="Times New Roman" w:hAnsi="Times New Roman" w:cs="Times New Roman"/>
        </w:rPr>
        <w:t>. If students did have</w:t>
      </w:r>
      <w:r w:rsidR="006F79DE">
        <w:rPr>
          <w:rFonts w:ascii="Times New Roman" w:hAnsi="Times New Roman" w:cs="Times New Roman"/>
        </w:rPr>
        <w:t xml:space="preserve"> precise</w:t>
      </w:r>
      <w:r w:rsidR="00483AC6">
        <w:rPr>
          <w:rFonts w:ascii="Times New Roman" w:hAnsi="Times New Roman" w:cs="Times New Roman"/>
        </w:rPr>
        <w:t xml:space="preserve"> expectations, they</w:t>
      </w:r>
      <w:r w:rsidR="00880BF5">
        <w:rPr>
          <w:rFonts w:ascii="Times New Roman" w:hAnsi="Times New Roman" w:cs="Times New Roman"/>
        </w:rPr>
        <w:t xml:space="preserve"> mostly</w:t>
      </w:r>
      <w:r w:rsidR="00483AC6">
        <w:rPr>
          <w:rFonts w:ascii="Times New Roman" w:hAnsi="Times New Roman" w:cs="Times New Roman"/>
        </w:rPr>
        <w:t xml:space="preserve"> regarded vague assumptions </w:t>
      </w:r>
      <w:r w:rsidR="00880BF5">
        <w:rPr>
          <w:rFonts w:ascii="Times New Roman" w:hAnsi="Times New Roman" w:cs="Times New Roman"/>
        </w:rPr>
        <w:t xml:space="preserve">linked to their degree </w:t>
      </w:r>
      <w:r w:rsidR="00483AC6">
        <w:rPr>
          <w:rFonts w:ascii="Times New Roman" w:hAnsi="Times New Roman" w:cs="Times New Roman"/>
        </w:rPr>
        <w:t>about the number of contact hours</w:t>
      </w:r>
      <w:r w:rsidR="001B0F99">
        <w:rPr>
          <w:rFonts w:ascii="Times New Roman" w:hAnsi="Times New Roman" w:cs="Times New Roman"/>
        </w:rPr>
        <w:t>, which is mostly overestimated as well as</w:t>
      </w:r>
      <w:r w:rsidR="00483AC6">
        <w:rPr>
          <w:rFonts w:ascii="Times New Roman" w:hAnsi="Times New Roman" w:cs="Times New Roman"/>
        </w:rPr>
        <w:t xml:space="preserve"> infrastructures such as the library and study spaces</w:t>
      </w:r>
      <w:r w:rsidR="00880BF5">
        <w:rPr>
          <w:rFonts w:ascii="Times New Roman" w:hAnsi="Times New Roman" w:cs="Times New Roman"/>
        </w:rPr>
        <w:t>.</w:t>
      </w:r>
      <w:r w:rsidR="00B12E09">
        <w:rPr>
          <w:rFonts w:ascii="Times New Roman" w:hAnsi="Times New Roman" w:cs="Times New Roman"/>
        </w:rPr>
        <w:t xml:space="preserve"> When they first appl</w:t>
      </w:r>
      <w:r w:rsidR="004150A2">
        <w:rPr>
          <w:rFonts w:ascii="Times New Roman" w:hAnsi="Times New Roman" w:cs="Times New Roman"/>
        </w:rPr>
        <w:t>ied</w:t>
      </w:r>
      <w:r w:rsidR="00B12E09">
        <w:rPr>
          <w:rFonts w:ascii="Times New Roman" w:hAnsi="Times New Roman" w:cs="Times New Roman"/>
        </w:rPr>
        <w:t xml:space="preserve"> to a certain degree, most "did not look that deeply into it. I looked at the course description so that was the main thing". </w:t>
      </w:r>
      <w:r w:rsidR="00CA208E">
        <w:rPr>
          <w:rFonts w:ascii="Times New Roman" w:hAnsi="Times New Roman" w:cs="Times New Roman"/>
        </w:rPr>
        <w:t>Something each student mentioned is the flexibility of being able to choose modules early on allowing them to focus on aspects they are most interested in.</w:t>
      </w:r>
      <w:r w:rsidR="000A0362" w:rsidRPr="000A0362">
        <w:rPr>
          <w:rFonts w:ascii="Times New Roman" w:hAnsi="Times New Roman" w:cs="Times New Roman"/>
        </w:rPr>
        <w:t xml:space="preserve"> </w:t>
      </w:r>
      <w:r w:rsidR="000A0362" w:rsidRPr="00AA2382">
        <w:rPr>
          <w:rFonts w:ascii="Times New Roman" w:hAnsi="Times New Roman" w:cs="Times New Roman"/>
        </w:rPr>
        <w:t>The structure and method of teaching are only important to students coming from higher economic background</w:t>
      </w:r>
      <w:r w:rsidR="000A0362">
        <w:rPr>
          <w:rFonts w:ascii="Times New Roman" w:hAnsi="Times New Roman" w:cs="Times New Roman"/>
        </w:rPr>
        <w:t xml:space="preserve"> thus are </w:t>
      </w:r>
      <w:r w:rsidR="00D84009">
        <w:rPr>
          <w:rFonts w:ascii="Times New Roman" w:hAnsi="Times New Roman" w:cs="Times New Roman"/>
        </w:rPr>
        <w:t>criteria</w:t>
      </w:r>
      <w:r w:rsidR="000A0362">
        <w:rPr>
          <w:rFonts w:ascii="Times New Roman" w:hAnsi="Times New Roman" w:cs="Times New Roman"/>
        </w:rPr>
        <w:t xml:space="preserve"> 10% more popular among students coming from the EU.</w:t>
      </w:r>
    </w:p>
    <w:p w14:paraId="04DA2744" w14:textId="55911DF2" w:rsidR="00A23CDF" w:rsidRDefault="00F52B34" w:rsidP="003A72E9">
      <w:pPr>
        <w:spacing w:line="480" w:lineRule="auto"/>
        <w:jc w:val="both"/>
        <w:rPr>
          <w:rFonts w:ascii="Times New Roman" w:hAnsi="Times New Roman" w:cs="Times New Roman"/>
        </w:rPr>
      </w:pPr>
      <w:r>
        <w:rPr>
          <w:rFonts w:ascii="Times New Roman" w:hAnsi="Times New Roman" w:cs="Times New Roman"/>
        </w:rPr>
        <w:t xml:space="preserve">Another reason can be explained by the fact that students </w:t>
      </w:r>
      <w:r w:rsidR="004150A2">
        <w:rPr>
          <w:rFonts w:ascii="Times New Roman" w:hAnsi="Times New Roman" w:cs="Times New Roman"/>
        </w:rPr>
        <w:t>appear</w:t>
      </w:r>
      <w:r>
        <w:rPr>
          <w:rFonts w:ascii="Times New Roman" w:hAnsi="Times New Roman" w:cs="Times New Roman"/>
        </w:rPr>
        <w:t xml:space="preserve"> satisfied with the quality of teaching. Although they deplore the difference of contact hours between degrees </w:t>
      </w:r>
      <w:r w:rsidR="00B170EA">
        <w:rPr>
          <w:rFonts w:ascii="Times New Roman" w:hAnsi="Times New Roman" w:cs="Times New Roman"/>
        </w:rPr>
        <w:t>when</w:t>
      </w:r>
      <w:r>
        <w:rPr>
          <w:rFonts w:ascii="Times New Roman" w:hAnsi="Times New Roman" w:cs="Times New Roman"/>
        </w:rPr>
        <w:t xml:space="preserve"> tuition fees are the same</w:t>
      </w:r>
      <w:r w:rsidR="00961260">
        <w:rPr>
          <w:rFonts w:ascii="Times New Roman" w:hAnsi="Times New Roman" w:cs="Times New Roman"/>
        </w:rPr>
        <w:t xml:space="preserve">, </w:t>
      </w:r>
      <w:r w:rsidR="00E70874">
        <w:rPr>
          <w:rFonts w:ascii="Times New Roman" w:hAnsi="Times New Roman" w:cs="Times New Roman"/>
        </w:rPr>
        <w:t xml:space="preserve">80% of student </w:t>
      </w:r>
      <w:r w:rsidR="00644248">
        <w:rPr>
          <w:rFonts w:ascii="Times New Roman" w:hAnsi="Times New Roman" w:cs="Times New Roman"/>
        </w:rPr>
        <w:t>surveyed</w:t>
      </w:r>
      <w:r w:rsidR="00961260">
        <w:rPr>
          <w:rFonts w:ascii="Times New Roman" w:hAnsi="Times New Roman" w:cs="Times New Roman"/>
        </w:rPr>
        <w:t xml:space="preserve"> value the quality of lecturers and the fact that they are approachable. Nonetheless, a </w:t>
      </w:r>
      <w:r w:rsidR="006121B4">
        <w:rPr>
          <w:rFonts w:ascii="Times New Roman" w:hAnsi="Times New Roman" w:cs="Times New Roman"/>
        </w:rPr>
        <w:t>decent</w:t>
      </w:r>
      <w:r w:rsidR="00961260">
        <w:rPr>
          <w:rFonts w:ascii="Times New Roman" w:hAnsi="Times New Roman" w:cs="Times New Roman"/>
        </w:rPr>
        <w:t xml:space="preserve"> education seems to coincide with a good passing </w:t>
      </w:r>
      <w:r w:rsidR="006121B4">
        <w:rPr>
          <w:rFonts w:ascii="Times New Roman" w:hAnsi="Times New Roman" w:cs="Times New Roman"/>
        </w:rPr>
        <w:t>rate,</w:t>
      </w:r>
      <w:r w:rsidR="009C54E3">
        <w:rPr>
          <w:rFonts w:ascii="Times New Roman" w:hAnsi="Times New Roman" w:cs="Times New Roman"/>
        </w:rPr>
        <w:t xml:space="preserve"> as</w:t>
      </w:r>
      <w:r w:rsidR="00961260">
        <w:rPr>
          <w:rFonts w:ascii="Times New Roman" w:hAnsi="Times New Roman" w:cs="Times New Roman"/>
        </w:rPr>
        <w:t xml:space="preserve"> the customer analogy seems to imply</w:t>
      </w:r>
      <w:r w:rsidR="009C54E3">
        <w:rPr>
          <w:rFonts w:ascii="Times New Roman" w:hAnsi="Times New Roman" w:cs="Times New Roman"/>
        </w:rPr>
        <w:t>.</w:t>
      </w:r>
      <w:r w:rsidR="00961260">
        <w:rPr>
          <w:rFonts w:ascii="Times New Roman" w:hAnsi="Times New Roman" w:cs="Times New Roman"/>
        </w:rPr>
        <w:t xml:space="preserve"> </w:t>
      </w:r>
      <w:r w:rsidR="004517D1">
        <w:rPr>
          <w:rFonts w:ascii="Times New Roman" w:hAnsi="Times New Roman" w:cs="Times New Roman"/>
        </w:rPr>
        <w:t>"Students do well on the course so it means that teaching methods are good"</w:t>
      </w:r>
      <w:r w:rsidR="00896F74">
        <w:rPr>
          <w:rFonts w:ascii="Times New Roman" w:hAnsi="Times New Roman" w:cs="Times New Roman"/>
        </w:rPr>
        <w:t xml:space="preserve"> mentioned a student</w:t>
      </w:r>
      <w:r w:rsidR="006121B4">
        <w:rPr>
          <w:rFonts w:ascii="Times New Roman" w:hAnsi="Times New Roman" w:cs="Times New Roman"/>
        </w:rPr>
        <w:t xml:space="preserve"> interviewed</w:t>
      </w:r>
      <w:r w:rsidR="00896F74">
        <w:rPr>
          <w:rFonts w:ascii="Times New Roman" w:hAnsi="Times New Roman" w:cs="Times New Roman"/>
        </w:rPr>
        <w:t xml:space="preserve">. Another </w:t>
      </w:r>
      <w:r w:rsidR="00B53109">
        <w:rPr>
          <w:rFonts w:ascii="Times New Roman" w:hAnsi="Times New Roman" w:cs="Times New Roman"/>
        </w:rPr>
        <w:t>mentioned,</w:t>
      </w:r>
      <w:r w:rsidR="00896F74">
        <w:rPr>
          <w:rFonts w:ascii="Times New Roman" w:hAnsi="Times New Roman" w:cs="Times New Roman"/>
        </w:rPr>
        <w:t xml:space="preserve"> "when a group of us has done badly, it is down to the lecturer but when I do badly on my own, it is my fault</w:t>
      </w:r>
      <w:r w:rsidR="00B53109">
        <w:rPr>
          <w:rFonts w:ascii="Times New Roman" w:hAnsi="Times New Roman" w:cs="Times New Roman"/>
        </w:rPr>
        <w:t>. We actually complained once</w:t>
      </w:r>
      <w:r w:rsidR="00896F74">
        <w:rPr>
          <w:rFonts w:ascii="Times New Roman" w:hAnsi="Times New Roman" w:cs="Times New Roman"/>
        </w:rPr>
        <w:t>". It shows</w:t>
      </w:r>
      <w:r w:rsidR="00B53109">
        <w:rPr>
          <w:rFonts w:ascii="Times New Roman" w:hAnsi="Times New Roman" w:cs="Times New Roman"/>
        </w:rPr>
        <w:t xml:space="preserve"> that </w:t>
      </w:r>
      <w:r w:rsidR="006121B4">
        <w:rPr>
          <w:rFonts w:ascii="Times New Roman" w:hAnsi="Times New Roman" w:cs="Times New Roman"/>
        </w:rPr>
        <w:t>participants</w:t>
      </w:r>
      <w:r w:rsidR="00B53109">
        <w:rPr>
          <w:rFonts w:ascii="Times New Roman" w:hAnsi="Times New Roman" w:cs="Times New Roman"/>
        </w:rPr>
        <w:t xml:space="preserve"> do judge the quality of the t</w:t>
      </w:r>
      <w:r w:rsidR="001E4500">
        <w:rPr>
          <w:rFonts w:ascii="Times New Roman" w:hAnsi="Times New Roman" w:cs="Times New Roman"/>
        </w:rPr>
        <w:t xml:space="preserve">eaching they are provided with </w:t>
      </w:r>
      <w:r w:rsidR="00B53109">
        <w:rPr>
          <w:rFonts w:ascii="Times New Roman" w:hAnsi="Times New Roman" w:cs="Times New Roman"/>
        </w:rPr>
        <w:t>depending on how much they succeed</w:t>
      </w:r>
      <w:r w:rsidR="001E4500">
        <w:rPr>
          <w:rFonts w:ascii="Times New Roman" w:hAnsi="Times New Roman" w:cs="Times New Roman"/>
        </w:rPr>
        <w:t>.</w:t>
      </w:r>
      <w:r w:rsidR="00A23CDF">
        <w:rPr>
          <w:rFonts w:ascii="Times New Roman" w:hAnsi="Times New Roman" w:cs="Times New Roman"/>
        </w:rPr>
        <w:t xml:space="preserve"> </w:t>
      </w:r>
      <w:r w:rsidR="000E7406">
        <w:rPr>
          <w:rFonts w:ascii="Times New Roman" w:hAnsi="Times New Roman" w:cs="Times New Roman"/>
        </w:rPr>
        <w:t xml:space="preserve">This is also a criterion that prospective students take into consideration. Apart from employability, students interviewed mentioned having looked at student satisfaction ranking tables rather than academic ones as </w:t>
      </w:r>
      <w:r w:rsidR="004150A2">
        <w:rPr>
          <w:rFonts w:ascii="Times New Roman" w:hAnsi="Times New Roman" w:cs="Times New Roman"/>
        </w:rPr>
        <w:t>the later one</w:t>
      </w:r>
      <w:r w:rsidR="000E7406">
        <w:rPr>
          <w:rFonts w:ascii="Times New Roman" w:hAnsi="Times New Roman" w:cs="Times New Roman"/>
        </w:rPr>
        <w:t xml:space="preserve"> tend to rely on research potential which students do not deem relevant at the undergraduate level</w:t>
      </w:r>
      <w:r w:rsidR="00693F1E">
        <w:rPr>
          <w:rFonts w:ascii="Times New Roman" w:hAnsi="Times New Roman" w:cs="Times New Roman"/>
        </w:rPr>
        <w:t xml:space="preserve">. So, also they do not seem to relay their opinions through channels </w:t>
      </w:r>
      <w:r w:rsidR="00690C67">
        <w:rPr>
          <w:rFonts w:ascii="Times New Roman" w:hAnsi="Times New Roman" w:cs="Times New Roman"/>
        </w:rPr>
        <w:t xml:space="preserve">run by the university, they do impact the university image </w:t>
      </w:r>
      <w:r w:rsidR="00A75C76">
        <w:rPr>
          <w:rFonts w:ascii="Times New Roman" w:hAnsi="Times New Roman" w:cs="Times New Roman"/>
        </w:rPr>
        <w:t xml:space="preserve">by giving their feedback </w:t>
      </w:r>
      <w:r w:rsidR="00690C67">
        <w:rPr>
          <w:rFonts w:ascii="Times New Roman" w:hAnsi="Times New Roman" w:cs="Times New Roman"/>
        </w:rPr>
        <w:t>and thus the university would be more likely to adapt itself to students' needs.</w:t>
      </w:r>
    </w:p>
    <w:p w14:paraId="66870E59" w14:textId="77777777" w:rsidR="00C92933" w:rsidRDefault="00C92933" w:rsidP="003A72E9">
      <w:pPr>
        <w:spacing w:line="480" w:lineRule="auto"/>
        <w:jc w:val="both"/>
        <w:rPr>
          <w:rFonts w:ascii="Times New Roman" w:hAnsi="Times New Roman" w:cs="Times New Roman"/>
        </w:rPr>
      </w:pPr>
    </w:p>
    <w:p w14:paraId="7776C5A9" w14:textId="480918FD" w:rsidR="00F90B8A" w:rsidRDefault="00AD5864" w:rsidP="003A72E9">
      <w:pPr>
        <w:spacing w:line="480" w:lineRule="auto"/>
        <w:jc w:val="both"/>
        <w:rPr>
          <w:rFonts w:ascii="Times New Roman" w:hAnsi="Times New Roman" w:cs="Times New Roman"/>
        </w:rPr>
      </w:pPr>
      <w:r>
        <w:rPr>
          <w:rFonts w:ascii="Times New Roman" w:hAnsi="Times New Roman" w:cs="Times New Roman"/>
        </w:rPr>
        <w:t xml:space="preserve">Students </w:t>
      </w:r>
      <w:r w:rsidR="00E72B4B">
        <w:rPr>
          <w:rFonts w:ascii="Times New Roman" w:hAnsi="Times New Roman" w:cs="Times New Roman"/>
        </w:rPr>
        <w:t xml:space="preserve">do not seem to be particular responsive neither invested in terms of actively providing feedback </w:t>
      </w:r>
      <w:r w:rsidR="00EA4666">
        <w:rPr>
          <w:rFonts w:ascii="Times New Roman" w:hAnsi="Times New Roman" w:cs="Times New Roman"/>
        </w:rPr>
        <w:t>in order to improve the quality of teaching they are getting. One of the reasons for that is because from the start</w:t>
      </w:r>
      <w:r w:rsidR="006121B4">
        <w:rPr>
          <w:rFonts w:ascii="Times New Roman" w:hAnsi="Times New Roman" w:cs="Times New Roman"/>
        </w:rPr>
        <w:t>,</w:t>
      </w:r>
      <w:r w:rsidR="00EA4666">
        <w:rPr>
          <w:rFonts w:ascii="Times New Roman" w:hAnsi="Times New Roman" w:cs="Times New Roman"/>
        </w:rPr>
        <w:t xml:space="preserve"> </w:t>
      </w:r>
      <w:r w:rsidR="0094381E">
        <w:rPr>
          <w:rFonts w:ascii="Times New Roman" w:hAnsi="Times New Roman" w:cs="Times New Roman"/>
        </w:rPr>
        <w:t>students do not know exactly what to expect and thus only general ex</w:t>
      </w:r>
      <w:r w:rsidR="00FA3677">
        <w:rPr>
          <w:rFonts w:ascii="Times New Roman" w:hAnsi="Times New Roman" w:cs="Times New Roman"/>
        </w:rPr>
        <w:t xml:space="preserve">pectations have to be met by </w:t>
      </w:r>
      <w:r w:rsidR="006121B4">
        <w:rPr>
          <w:rFonts w:ascii="Times New Roman" w:hAnsi="Times New Roman" w:cs="Times New Roman"/>
        </w:rPr>
        <w:t>the University of Manchester</w:t>
      </w:r>
      <w:r w:rsidR="00FA3677">
        <w:rPr>
          <w:rFonts w:ascii="Times New Roman" w:hAnsi="Times New Roman" w:cs="Times New Roman"/>
        </w:rPr>
        <w:t xml:space="preserve">. An additional </w:t>
      </w:r>
      <w:r w:rsidR="001A0B24">
        <w:rPr>
          <w:rFonts w:ascii="Times New Roman" w:hAnsi="Times New Roman" w:cs="Times New Roman"/>
        </w:rPr>
        <w:t xml:space="preserve">one </w:t>
      </w:r>
      <w:r w:rsidR="00FA3677">
        <w:rPr>
          <w:rFonts w:ascii="Times New Roman" w:hAnsi="Times New Roman" w:cs="Times New Roman"/>
        </w:rPr>
        <w:t xml:space="preserve">seem to be that students are satisfied with the education they are provided with for the price they </w:t>
      </w:r>
      <w:r w:rsidR="00412F21">
        <w:rPr>
          <w:rFonts w:ascii="Times New Roman" w:hAnsi="Times New Roman" w:cs="Times New Roman"/>
        </w:rPr>
        <w:t>are paying</w:t>
      </w:r>
      <w:r w:rsidR="00FA3677">
        <w:rPr>
          <w:rFonts w:ascii="Times New Roman" w:hAnsi="Times New Roman" w:cs="Times New Roman"/>
        </w:rPr>
        <w:t xml:space="preserve"> and thus do not feel the need to heavily use feedback channels</w:t>
      </w:r>
      <w:r w:rsidR="00BC5D3A">
        <w:rPr>
          <w:rFonts w:ascii="Times New Roman" w:hAnsi="Times New Roman" w:cs="Times New Roman"/>
        </w:rPr>
        <w:t xml:space="preserve"> such as course surveys or students representative.</w:t>
      </w:r>
      <w:r w:rsidR="00BC7214">
        <w:rPr>
          <w:rFonts w:ascii="Times New Roman" w:hAnsi="Times New Roman" w:cs="Times New Roman"/>
        </w:rPr>
        <w:t xml:space="preserve"> Finally, students seem to </w:t>
      </w:r>
      <w:r w:rsidR="00817F61">
        <w:rPr>
          <w:rFonts w:ascii="Times New Roman" w:hAnsi="Times New Roman" w:cs="Times New Roman"/>
        </w:rPr>
        <w:t>base</w:t>
      </w:r>
      <w:r w:rsidR="00BC7214">
        <w:rPr>
          <w:rFonts w:ascii="Times New Roman" w:hAnsi="Times New Roman" w:cs="Times New Roman"/>
        </w:rPr>
        <w:t xml:space="preserve"> themselves on the university's reputation </w:t>
      </w:r>
      <w:r w:rsidR="00755232">
        <w:rPr>
          <w:rFonts w:ascii="Times New Roman" w:hAnsi="Times New Roman" w:cs="Times New Roman"/>
        </w:rPr>
        <w:t>which students</w:t>
      </w:r>
      <w:r w:rsidR="00817F61">
        <w:rPr>
          <w:rFonts w:ascii="Times New Roman" w:hAnsi="Times New Roman" w:cs="Times New Roman"/>
        </w:rPr>
        <w:t>'</w:t>
      </w:r>
      <w:r w:rsidR="00755232">
        <w:rPr>
          <w:rFonts w:ascii="Times New Roman" w:hAnsi="Times New Roman" w:cs="Times New Roman"/>
        </w:rPr>
        <w:t xml:space="preserve"> opinion contribute to rather than </w:t>
      </w:r>
      <w:r w:rsidR="00817F61">
        <w:rPr>
          <w:rFonts w:ascii="Times New Roman" w:hAnsi="Times New Roman" w:cs="Times New Roman"/>
        </w:rPr>
        <w:t xml:space="preserve">critical </w:t>
      </w:r>
      <w:r w:rsidR="00755232">
        <w:rPr>
          <w:rFonts w:ascii="Times New Roman" w:hAnsi="Times New Roman" w:cs="Times New Roman"/>
        </w:rPr>
        <w:t xml:space="preserve">research </w:t>
      </w:r>
      <w:r w:rsidR="0010443E">
        <w:rPr>
          <w:rFonts w:ascii="Times New Roman" w:hAnsi="Times New Roman" w:cs="Times New Roman"/>
        </w:rPr>
        <w:t xml:space="preserve">that could lead to them expressing feedback later. Consequently, respondents </w:t>
      </w:r>
      <w:r w:rsidR="00817F61">
        <w:rPr>
          <w:rFonts w:ascii="Times New Roman" w:hAnsi="Times New Roman" w:cs="Times New Roman"/>
        </w:rPr>
        <w:t xml:space="preserve">do not express </w:t>
      </w:r>
      <w:r w:rsidR="0010443E">
        <w:rPr>
          <w:rFonts w:ascii="Times New Roman" w:hAnsi="Times New Roman" w:cs="Times New Roman"/>
        </w:rPr>
        <w:t>a behaviour</w:t>
      </w:r>
      <w:r w:rsidR="00817F61">
        <w:rPr>
          <w:rFonts w:ascii="Times New Roman" w:hAnsi="Times New Roman" w:cs="Times New Roman"/>
        </w:rPr>
        <w:t xml:space="preserve"> of customer</w:t>
      </w:r>
      <w:r w:rsidR="0010443E">
        <w:rPr>
          <w:rFonts w:ascii="Times New Roman" w:hAnsi="Times New Roman" w:cs="Times New Roman"/>
        </w:rPr>
        <w:t xml:space="preserve"> in this manner</w:t>
      </w:r>
      <w:r w:rsidR="00817F61">
        <w:rPr>
          <w:rFonts w:ascii="Times New Roman" w:hAnsi="Times New Roman" w:cs="Times New Roman"/>
        </w:rPr>
        <w:t xml:space="preserve">. </w:t>
      </w:r>
    </w:p>
    <w:p w14:paraId="20107D1A" w14:textId="77777777" w:rsidR="00AB70F5" w:rsidRPr="003A72E9" w:rsidRDefault="00AB70F5" w:rsidP="003A72E9">
      <w:pPr>
        <w:spacing w:line="480" w:lineRule="auto"/>
        <w:jc w:val="both"/>
        <w:rPr>
          <w:rFonts w:ascii="Times New Roman" w:hAnsi="Times New Roman" w:cs="Times New Roman"/>
        </w:rPr>
      </w:pPr>
    </w:p>
    <w:p w14:paraId="013F8672" w14:textId="3250027E" w:rsidR="00CF5579" w:rsidRPr="002949F0" w:rsidRDefault="00E516CD" w:rsidP="003A72E9">
      <w:pPr>
        <w:spacing w:line="480" w:lineRule="auto"/>
        <w:jc w:val="both"/>
        <w:rPr>
          <w:rFonts w:ascii="Times New Roman" w:hAnsi="Times New Roman" w:cs="Times New Roman"/>
          <w:b/>
        </w:rPr>
      </w:pPr>
      <w:r w:rsidRPr="00E516CD">
        <w:rPr>
          <w:rFonts w:ascii="Times New Roman" w:hAnsi="Times New Roman" w:cs="Times New Roman"/>
          <w:b/>
        </w:rPr>
        <w:t>Discussion</w:t>
      </w:r>
    </w:p>
    <w:p w14:paraId="052B7786" w14:textId="4325CD50" w:rsidR="007A242B" w:rsidRDefault="00B749FB" w:rsidP="003A72E9">
      <w:pPr>
        <w:spacing w:line="480" w:lineRule="auto"/>
        <w:jc w:val="both"/>
        <w:rPr>
          <w:rFonts w:ascii="Times New Roman" w:hAnsi="Times New Roman" w:cs="Times New Roman"/>
        </w:rPr>
      </w:pPr>
      <w:r>
        <w:rPr>
          <w:rFonts w:ascii="Times New Roman" w:hAnsi="Times New Roman" w:cs="Times New Roman"/>
        </w:rPr>
        <w:t xml:space="preserve">Results obtained </w:t>
      </w:r>
      <w:r w:rsidR="007D59CA">
        <w:rPr>
          <w:rFonts w:ascii="Times New Roman" w:hAnsi="Times New Roman" w:cs="Times New Roman"/>
        </w:rPr>
        <w:t>through th</w:t>
      </w:r>
      <w:r w:rsidR="004150A2">
        <w:rPr>
          <w:rFonts w:ascii="Times New Roman" w:hAnsi="Times New Roman" w:cs="Times New Roman"/>
        </w:rPr>
        <w:t>is</w:t>
      </w:r>
      <w:r w:rsidR="007D59CA">
        <w:rPr>
          <w:rFonts w:ascii="Times New Roman" w:hAnsi="Times New Roman" w:cs="Times New Roman"/>
        </w:rPr>
        <w:t xml:space="preserve"> study </w:t>
      </w:r>
      <w:r w:rsidR="00BA1D06">
        <w:rPr>
          <w:rFonts w:ascii="Times New Roman" w:hAnsi="Times New Roman" w:cs="Times New Roman"/>
        </w:rPr>
        <w:t xml:space="preserve">of each hypothesis are influenced </w:t>
      </w:r>
      <w:r w:rsidR="007F21D7">
        <w:rPr>
          <w:rFonts w:ascii="Times New Roman" w:hAnsi="Times New Roman" w:cs="Times New Roman"/>
        </w:rPr>
        <w:t>by students' opinion of fees. However, t</w:t>
      </w:r>
      <w:r w:rsidR="00206C42">
        <w:rPr>
          <w:rFonts w:ascii="Times New Roman" w:hAnsi="Times New Roman" w:cs="Times New Roman"/>
        </w:rPr>
        <w:t xml:space="preserve">he biggest reason </w:t>
      </w:r>
      <w:r w:rsidR="007F21D7">
        <w:rPr>
          <w:rFonts w:ascii="Times New Roman" w:hAnsi="Times New Roman" w:cs="Times New Roman"/>
        </w:rPr>
        <w:t xml:space="preserve">as to </w:t>
      </w:r>
      <w:r w:rsidR="00206C42">
        <w:rPr>
          <w:rFonts w:ascii="Times New Roman" w:hAnsi="Times New Roman" w:cs="Times New Roman"/>
        </w:rPr>
        <w:t xml:space="preserve">why students </w:t>
      </w:r>
      <w:r w:rsidR="00C261A7">
        <w:rPr>
          <w:rFonts w:ascii="Times New Roman" w:hAnsi="Times New Roman" w:cs="Times New Roman"/>
        </w:rPr>
        <w:t xml:space="preserve">do not </w:t>
      </w:r>
      <w:r w:rsidR="007B2986">
        <w:rPr>
          <w:rFonts w:ascii="Times New Roman" w:hAnsi="Times New Roman" w:cs="Times New Roman"/>
        </w:rPr>
        <w:t>act as the customers they could be</w:t>
      </w:r>
      <w:r w:rsidR="00C65EFD">
        <w:rPr>
          <w:rFonts w:ascii="Times New Roman" w:hAnsi="Times New Roman" w:cs="Times New Roman"/>
        </w:rPr>
        <w:t>,</w:t>
      </w:r>
      <w:r w:rsidR="007B2986">
        <w:rPr>
          <w:rFonts w:ascii="Times New Roman" w:hAnsi="Times New Roman" w:cs="Times New Roman"/>
        </w:rPr>
        <w:t xml:space="preserve"> </w:t>
      </w:r>
      <w:r w:rsidR="00C7263A">
        <w:rPr>
          <w:rFonts w:ascii="Times New Roman" w:hAnsi="Times New Roman" w:cs="Times New Roman"/>
        </w:rPr>
        <w:t>is that</w:t>
      </w:r>
      <w:r w:rsidR="00206C42">
        <w:rPr>
          <w:rFonts w:ascii="Times New Roman" w:hAnsi="Times New Roman" w:cs="Times New Roman"/>
        </w:rPr>
        <w:t xml:space="preserve"> most do not actually realise the amount that they are paying. </w:t>
      </w:r>
      <w:r w:rsidR="00C65EFD">
        <w:rPr>
          <w:rFonts w:ascii="Times New Roman" w:hAnsi="Times New Roman" w:cs="Times New Roman"/>
        </w:rPr>
        <w:t xml:space="preserve">It is most obvious among students who are on a loan however students paying their tuition fees directly cannot still be considered as receptive. </w:t>
      </w:r>
      <w:r w:rsidR="00072558">
        <w:rPr>
          <w:rFonts w:ascii="Times New Roman" w:hAnsi="Times New Roman" w:cs="Times New Roman"/>
        </w:rPr>
        <w:t xml:space="preserve">As previously mentioned, </w:t>
      </w:r>
      <w:r w:rsidR="00134E13">
        <w:rPr>
          <w:rFonts w:ascii="Times New Roman" w:hAnsi="Times New Roman" w:cs="Times New Roman"/>
        </w:rPr>
        <w:t>students are first considered as customers because they purchase a service</w:t>
      </w:r>
      <w:r w:rsidR="003A2C52">
        <w:rPr>
          <w:rFonts w:ascii="Times New Roman" w:hAnsi="Times New Roman" w:cs="Times New Roman"/>
        </w:rPr>
        <w:t xml:space="preserve"> (</w:t>
      </w:r>
      <w:r w:rsidR="003A2C52" w:rsidRPr="009F7926">
        <w:rPr>
          <w:rFonts w:ascii="Times New Roman" w:hAnsi="Times New Roman" w:cs="Times New Roman"/>
          <w:lang w:val="fr-FR"/>
        </w:rPr>
        <w:t>Kanji and Tamb, 1999; Eagle and Brennan, 2007; Bennett, 2003</w:t>
      </w:r>
      <w:r w:rsidR="003A2C52">
        <w:rPr>
          <w:rFonts w:ascii="Times New Roman" w:hAnsi="Times New Roman" w:cs="Times New Roman"/>
          <w:lang w:val="fr-FR"/>
        </w:rPr>
        <w:t>).</w:t>
      </w:r>
      <w:r w:rsidR="00134E13">
        <w:rPr>
          <w:rFonts w:ascii="Times New Roman" w:hAnsi="Times New Roman" w:cs="Times New Roman"/>
        </w:rPr>
        <w:t xml:space="preserve"> </w:t>
      </w:r>
      <w:r w:rsidR="00206C42">
        <w:rPr>
          <w:rFonts w:ascii="Times New Roman" w:hAnsi="Times New Roman" w:cs="Times New Roman"/>
        </w:rPr>
        <w:t xml:space="preserve">The following quotes from students' interviews illustrate the point: "Because it is a loan and anything that comes with a loan you don't appreciate the true value of it", "I think that people that take loans have blindfolds over their eyes and don't realize the interests that you pay on it. People are not aware of the implications". These quotes reflect two reasons why loan are preventing students from acting as real customers. First, students </w:t>
      </w:r>
      <w:r w:rsidR="00335D7E">
        <w:rPr>
          <w:rFonts w:ascii="Times New Roman" w:hAnsi="Times New Roman" w:cs="Times New Roman"/>
        </w:rPr>
        <w:t xml:space="preserve">interviewed </w:t>
      </w:r>
      <w:r w:rsidR="00206C42">
        <w:rPr>
          <w:rFonts w:ascii="Times New Roman" w:hAnsi="Times New Roman" w:cs="Times New Roman"/>
        </w:rPr>
        <w:t xml:space="preserve">mention that "I don't see the money coming out of my bank account" as tuition fees are directly paid from the government to the university. Every year, students apply for student a finance, which takes not even 10 minutes to complete online. During they whole time at university, </w:t>
      </w:r>
      <w:r w:rsidR="00335D7E">
        <w:rPr>
          <w:rFonts w:ascii="Times New Roman" w:hAnsi="Times New Roman" w:cs="Times New Roman"/>
        </w:rPr>
        <w:t>participants</w:t>
      </w:r>
      <w:r w:rsidR="00206C42">
        <w:rPr>
          <w:rFonts w:ascii="Times New Roman" w:hAnsi="Times New Roman" w:cs="Times New Roman"/>
        </w:rPr>
        <w:t xml:space="preserve"> do not feel like they are in debt at all. Even after they start paying it back, students </w:t>
      </w:r>
      <w:r w:rsidR="00335D7E">
        <w:rPr>
          <w:rFonts w:ascii="Times New Roman" w:hAnsi="Times New Roman" w:cs="Times New Roman"/>
        </w:rPr>
        <w:t xml:space="preserve">interviewed </w:t>
      </w:r>
      <w:r w:rsidR="00206C42">
        <w:rPr>
          <w:rFonts w:ascii="Times New Roman" w:hAnsi="Times New Roman" w:cs="Times New Roman"/>
        </w:rPr>
        <w:t>do not consider like "proper debt or anything: it is not scary in the sense that they are not gonna take your degree if you cannot pay it back". Since they do actually feel like they are actively paying for their education, they do not feel the pressure to make the most of university in every sense of the term and act as a customer. The second quote reveals that students</w:t>
      </w:r>
      <w:r w:rsidR="00335D7E">
        <w:rPr>
          <w:rFonts w:ascii="Times New Roman" w:hAnsi="Times New Roman" w:cs="Times New Roman"/>
        </w:rPr>
        <w:t xml:space="preserve"> interviewed</w:t>
      </w:r>
      <w:r w:rsidR="00206C42">
        <w:rPr>
          <w:rFonts w:ascii="Times New Roman" w:hAnsi="Times New Roman" w:cs="Times New Roman"/>
        </w:rPr>
        <w:t xml:space="preserve"> are not aware of the conditions</w:t>
      </w:r>
      <w:r w:rsidR="00335D7E">
        <w:rPr>
          <w:rFonts w:ascii="Times New Roman" w:hAnsi="Times New Roman" w:cs="Times New Roman"/>
        </w:rPr>
        <w:t xml:space="preserve"> implied in the loan</w:t>
      </w:r>
      <w:r w:rsidR="00206C42">
        <w:rPr>
          <w:rFonts w:ascii="Times New Roman" w:hAnsi="Times New Roman" w:cs="Times New Roman"/>
        </w:rPr>
        <w:t xml:space="preserve">. Some reveal not worry about being in debt because "I had the loan explained to me so it was not a big thing: I knew you were not crippled and there is no interests on it" or that they were not worried about it now but "later on when I need to get a job and because they are making so many changes like an amount of interests which was not there before". The interest rate although a bit lower than market value has always been a condition on a student loan since the rise of tuition fees in 2012 and does change every first of September </w:t>
      </w:r>
      <w:r w:rsidR="00206C42" w:rsidRPr="005F51C4">
        <w:rPr>
          <w:rFonts w:ascii="Times New Roman" w:hAnsi="Times New Roman" w:cs="Times New Roman"/>
        </w:rPr>
        <w:t>(</w:t>
      </w:r>
      <w:r w:rsidR="005F51C4" w:rsidRPr="005F51C4">
        <w:rPr>
          <w:rFonts w:ascii="Times New Roman" w:hAnsi="Times New Roman" w:cs="Times New Roman"/>
          <w:lang w:val="fr-FR"/>
        </w:rPr>
        <w:t>Student Finance England, 2016</w:t>
      </w:r>
      <w:r w:rsidR="00206C42">
        <w:rPr>
          <w:rFonts w:ascii="Times New Roman" w:hAnsi="Times New Roman" w:cs="Times New Roman"/>
        </w:rPr>
        <w:t xml:space="preserve">). This shows that </w:t>
      </w:r>
      <w:r w:rsidR="00F75430">
        <w:rPr>
          <w:rFonts w:ascii="Times New Roman" w:hAnsi="Times New Roman" w:cs="Times New Roman"/>
        </w:rPr>
        <w:t>undergraduates</w:t>
      </w:r>
      <w:r w:rsidR="00206C42">
        <w:rPr>
          <w:rFonts w:ascii="Times New Roman" w:hAnsi="Times New Roman" w:cs="Times New Roman"/>
        </w:rPr>
        <w:t xml:space="preserve"> </w:t>
      </w:r>
      <w:r w:rsidR="00F75430">
        <w:rPr>
          <w:rFonts w:ascii="Times New Roman" w:hAnsi="Times New Roman" w:cs="Times New Roman"/>
        </w:rPr>
        <w:t xml:space="preserve">interviewed </w:t>
      </w:r>
      <w:r w:rsidR="00206C42">
        <w:rPr>
          <w:rFonts w:ascii="Times New Roman" w:hAnsi="Times New Roman" w:cs="Times New Roman"/>
        </w:rPr>
        <w:t xml:space="preserve">are not fully aware of the conditions in which they purchase their educations and thus are </w:t>
      </w:r>
      <w:r w:rsidR="00206C42" w:rsidRPr="00332EF1">
        <w:rPr>
          <w:rFonts w:ascii="Times New Roman" w:hAnsi="Times New Roman" w:cs="Times New Roman"/>
        </w:rPr>
        <w:t>not fully</w:t>
      </w:r>
      <w:r w:rsidR="00206C42">
        <w:rPr>
          <w:rFonts w:ascii="Times New Roman" w:hAnsi="Times New Roman" w:cs="Times New Roman"/>
        </w:rPr>
        <w:t xml:space="preserve"> </w:t>
      </w:r>
      <w:r w:rsidR="00332EF1">
        <w:rPr>
          <w:rFonts w:ascii="Times New Roman" w:hAnsi="Times New Roman" w:cs="Times New Roman"/>
        </w:rPr>
        <w:t>able to rationalize</w:t>
      </w:r>
      <w:r w:rsidR="00206C42">
        <w:rPr>
          <w:rFonts w:ascii="Times New Roman" w:hAnsi="Times New Roman" w:cs="Times New Roman"/>
        </w:rPr>
        <w:t xml:space="preserve"> as a customer would.</w:t>
      </w:r>
      <w:r w:rsidR="006700EE">
        <w:rPr>
          <w:rFonts w:ascii="Times New Roman" w:hAnsi="Times New Roman" w:cs="Times New Roman"/>
        </w:rPr>
        <w:t xml:space="preserve"> This could change due to the pressure of a higher number of students</w:t>
      </w:r>
      <w:r w:rsidR="001E545D">
        <w:rPr>
          <w:rFonts w:ascii="Times New Roman" w:hAnsi="Times New Roman" w:cs="Times New Roman"/>
        </w:rPr>
        <w:t>,</w:t>
      </w:r>
      <w:r w:rsidR="006700EE">
        <w:rPr>
          <w:rFonts w:ascii="Times New Roman" w:hAnsi="Times New Roman" w:cs="Times New Roman"/>
        </w:rPr>
        <w:t xml:space="preserve"> which keeps rising </w:t>
      </w:r>
      <w:r w:rsidR="006D42B4">
        <w:rPr>
          <w:rFonts w:ascii="Times New Roman" w:hAnsi="Times New Roman" w:cs="Times New Roman"/>
        </w:rPr>
        <w:t xml:space="preserve">and could then encourage students </w:t>
      </w:r>
      <w:r w:rsidR="001E545D">
        <w:rPr>
          <w:rFonts w:ascii="Times New Roman" w:hAnsi="Times New Roman" w:cs="Times New Roman"/>
        </w:rPr>
        <w:t xml:space="preserve">to make more rational choices based </w:t>
      </w:r>
      <w:r w:rsidR="007254A6">
        <w:rPr>
          <w:rFonts w:ascii="Times New Roman" w:hAnsi="Times New Roman" w:cs="Times New Roman"/>
        </w:rPr>
        <w:t>on</w:t>
      </w:r>
      <w:r w:rsidR="001E545D">
        <w:rPr>
          <w:rFonts w:ascii="Times New Roman" w:hAnsi="Times New Roman" w:cs="Times New Roman"/>
        </w:rPr>
        <w:t xml:space="preserve"> possible outcomes. </w:t>
      </w:r>
    </w:p>
    <w:p w14:paraId="249B3F5C" w14:textId="5CC0A988" w:rsidR="00660073" w:rsidRDefault="00070F50" w:rsidP="003A72E9">
      <w:pPr>
        <w:spacing w:line="480" w:lineRule="auto"/>
        <w:jc w:val="both"/>
        <w:rPr>
          <w:rFonts w:ascii="Times New Roman" w:hAnsi="Times New Roman" w:cs="Times New Roman"/>
        </w:rPr>
      </w:pPr>
      <w:r>
        <w:rPr>
          <w:rFonts w:ascii="Times New Roman" w:hAnsi="Times New Roman" w:cs="Times New Roman"/>
        </w:rPr>
        <w:t>Moreover</w:t>
      </w:r>
      <w:r w:rsidR="00F92C74">
        <w:rPr>
          <w:rFonts w:ascii="Times New Roman" w:hAnsi="Times New Roman" w:cs="Times New Roman"/>
        </w:rPr>
        <w:t>, t</w:t>
      </w:r>
      <w:r w:rsidR="00660073">
        <w:rPr>
          <w:rFonts w:ascii="Times New Roman" w:hAnsi="Times New Roman" w:cs="Times New Roman"/>
        </w:rPr>
        <w:t>he results found in this study are subject to certain limitations. First, because of the size of the sample and the sampling strategy used to select participants, it is not truly representative of University of Manchester</w:t>
      </w:r>
      <w:r w:rsidR="0065709A" w:rsidRPr="0065709A">
        <w:rPr>
          <w:rFonts w:ascii="Times New Roman" w:hAnsi="Times New Roman" w:cs="Times New Roman"/>
        </w:rPr>
        <w:t xml:space="preserve"> </w:t>
      </w:r>
      <w:r w:rsidR="0065709A">
        <w:rPr>
          <w:rFonts w:ascii="Times New Roman" w:hAnsi="Times New Roman" w:cs="Times New Roman"/>
        </w:rPr>
        <w:t>students' population</w:t>
      </w:r>
      <w:r w:rsidR="00660073">
        <w:rPr>
          <w:rFonts w:ascii="Times New Roman" w:hAnsi="Times New Roman" w:cs="Times New Roman"/>
        </w:rPr>
        <w:t xml:space="preserve">. </w:t>
      </w:r>
    </w:p>
    <w:p w14:paraId="7744D679" w14:textId="5E0FE64A" w:rsidR="00F35538" w:rsidRDefault="00F35538" w:rsidP="003A72E9">
      <w:pPr>
        <w:spacing w:line="480" w:lineRule="auto"/>
        <w:jc w:val="both"/>
        <w:rPr>
          <w:rFonts w:ascii="Times New Roman" w:hAnsi="Times New Roman" w:cs="Times New Roman"/>
        </w:rPr>
      </w:pPr>
      <w:r>
        <w:rPr>
          <w:rFonts w:ascii="Times New Roman" w:hAnsi="Times New Roman" w:cs="Times New Roman"/>
        </w:rPr>
        <w:t xml:space="preserve">Secondly, </w:t>
      </w:r>
      <w:r w:rsidR="00450356">
        <w:rPr>
          <w:rFonts w:ascii="Times New Roman" w:hAnsi="Times New Roman" w:cs="Times New Roman"/>
        </w:rPr>
        <w:t>the results obtained cannot be generalized to the total undergraduate student population studying in the UK</w:t>
      </w:r>
      <w:r w:rsidR="00B64C02">
        <w:rPr>
          <w:rFonts w:ascii="Times New Roman" w:hAnsi="Times New Roman" w:cs="Times New Roman"/>
        </w:rPr>
        <w:t xml:space="preserve"> neither to the </w:t>
      </w:r>
      <w:r w:rsidR="00665C85">
        <w:rPr>
          <w:rFonts w:ascii="Times New Roman" w:hAnsi="Times New Roman" w:cs="Times New Roman"/>
        </w:rPr>
        <w:t>students'</w:t>
      </w:r>
      <w:r w:rsidR="00B64C02">
        <w:rPr>
          <w:rFonts w:ascii="Times New Roman" w:hAnsi="Times New Roman" w:cs="Times New Roman"/>
        </w:rPr>
        <w:t xml:space="preserve"> population of any other university. </w:t>
      </w:r>
    </w:p>
    <w:p w14:paraId="72DA8330" w14:textId="32EE66F4" w:rsidR="00660073" w:rsidRDefault="00665C85" w:rsidP="003A72E9">
      <w:pPr>
        <w:spacing w:line="480" w:lineRule="auto"/>
        <w:jc w:val="both"/>
        <w:rPr>
          <w:rFonts w:ascii="Times New Roman" w:hAnsi="Times New Roman" w:cs="Times New Roman"/>
          <w:lang w:val="fr-FR"/>
        </w:rPr>
      </w:pPr>
      <w:r>
        <w:rPr>
          <w:rFonts w:ascii="Times New Roman" w:hAnsi="Times New Roman" w:cs="Times New Roman"/>
        </w:rPr>
        <w:t xml:space="preserve">Thirdly, this study has only taken into account the </w:t>
      </w:r>
      <w:r w:rsidR="00705F43">
        <w:rPr>
          <w:rFonts w:ascii="Times New Roman" w:hAnsi="Times New Roman" w:cs="Times New Roman"/>
        </w:rPr>
        <w:t>behaviour of students</w:t>
      </w:r>
      <w:r w:rsidR="0086474C">
        <w:rPr>
          <w:rFonts w:ascii="Times New Roman" w:hAnsi="Times New Roman" w:cs="Times New Roman"/>
        </w:rPr>
        <w:t xml:space="preserve"> when studying the customer analogy </w:t>
      </w:r>
      <w:r w:rsidR="006941A5">
        <w:rPr>
          <w:rFonts w:ascii="Times New Roman" w:hAnsi="Times New Roman" w:cs="Times New Roman"/>
        </w:rPr>
        <w:t>within the</w:t>
      </w:r>
      <w:r w:rsidR="0086474C">
        <w:rPr>
          <w:rFonts w:ascii="Times New Roman" w:hAnsi="Times New Roman" w:cs="Times New Roman"/>
        </w:rPr>
        <w:t xml:space="preserve"> higher education environment. </w:t>
      </w:r>
      <w:r w:rsidR="003A1D31">
        <w:rPr>
          <w:rFonts w:ascii="Times New Roman" w:hAnsi="Times New Roman" w:cs="Times New Roman"/>
        </w:rPr>
        <w:t xml:space="preserve">However, other actors such </w:t>
      </w:r>
      <w:r w:rsidR="00727BFC">
        <w:rPr>
          <w:rFonts w:ascii="Times New Roman" w:hAnsi="Times New Roman" w:cs="Times New Roman"/>
        </w:rPr>
        <w:t xml:space="preserve">as </w:t>
      </w:r>
      <w:r w:rsidR="003A1D31">
        <w:rPr>
          <w:rFonts w:ascii="Times New Roman" w:hAnsi="Times New Roman" w:cs="Times New Roman"/>
        </w:rPr>
        <w:t xml:space="preserve">relatives, </w:t>
      </w:r>
      <w:r w:rsidR="000B4718">
        <w:rPr>
          <w:rFonts w:ascii="Times New Roman" w:hAnsi="Times New Roman" w:cs="Times New Roman"/>
        </w:rPr>
        <w:t xml:space="preserve">university </w:t>
      </w:r>
      <w:r w:rsidR="003A1D31">
        <w:rPr>
          <w:rFonts w:ascii="Times New Roman" w:hAnsi="Times New Roman" w:cs="Times New Roman"/>
        </w:rPr>
        <w:t>staff</w:t>
      </w:r>
      <w:r w:rsidR="001270BE">
        <w:rPr>
          <w:rFonts w:ascii="Times New Roman" w:hAnsi="Times New Roman" w:cs="Times New Roman"/>
        </w:rPr>
        <w:t xml:space="preserve">, the British government should also be included </w:t>
      </w:r>
      <w:r w:rsidR="00DA706E">
        <w:rPr>
          <w:rFonts w:ascii="Times New Roman" w:hAnsi="Times New Roman" w:cs="Times New Roman"/>
        </w:rPr>
        <w:t xml:space="preserve">in the study of </w:t>
      </w:r>
      <w:r w:rsidR="00071BCE">
        <w:rPr>
          <w:rFonts w:ascii="Times New Roman" w:hAnsi="Times New Roman" w:cs="Times New Roman"/>
        </w:rPr>
        <w:t>the customer analogy</w:t>
      </w:r>
      <w:r w:rsidR="00DA706E">
        <w:rPr>
          <w:rFonts w:ascii="Times New Roman" w:hAnsi="Times New Roman" w:cs="Times New Roman"/>
        </w:rPr>
        <w:t xml:space="preserve"> because they </w:t>
      </w:r>
      <w:r w:rsidR="00C9510D">
        <w:rPr>
          <w:rFonts w:ascii="Times New Roman" w:hAnsi="Times New Roman" w:cs="Times New Roman"/>
        </w:rPr>
        <w:t xml:space="preserve">might also be themselves considered </w:t>
      </w:r>
      <w:r w:rsidR="00071BCE">
        <w:rPr>
          <w:rFonts w:ascii="Times New Roman" w:hAnsi="Times New Roman" w:cs="Times New Roman"/>
        </w:rPr>
        <w:t>as such</w:t>
      </w:r>
      <w:r w:rsidR="00C9510D">
        <w:rPr>
          <w:rFonts w:ascii="Times New Roman" w:hAnsi="Times New Roman" w:cs="Times New Roman"/>
        </w:rPr>
        <w:t xml:space="preserve">. In fact, </w:t>
      </w:r>
      <w:r w:rsidR="00411353">
        <w:rPr>
          <w:rFonts w:ascii="Times New Roman" w:hAnsi="Times New Roman" w:cs="Times New Roman"/>
        </w:rPr>
        <w:t>anyone contributing towards the cost of entering higher education can be s</w:t>
      </w:r>
      <w:r w:rsidR="00883DA8">
        <w:rPr>
          <w:rFonts w:ascii="Times New Roman" w:hAnsi="Times New Roman" w:cs="Times New Roman"/>
        </w:rPr>
        <w:t>ubje</w:t>
      </w:r>
      <w:r w:rsidR="001A6ACC">
        <w:rPr>
          <w:rFonts w:ascii="Times New Roman" w:hAnsi="Times New Roman" w:cs="Times New Roman"/>
        </w:rPr>
        <w:t xml:space="preserve">ct to the customer </w:t>
      </w:r>
      <w:r w:rsidR="00071BCE">
        <w:rPr>
          <w:rFonts w:ascii="Times New Roman" w:hAnsi="Times New Roman" w:cs="Times New Roman"/>
        </w:rPr>
        <w:t>concept</w:t>
      </w:r>
      <w:r w:rsidR="001A6ACC">
        <w:rPr>
          <w:rFonts w:ascii="Times New Roman" w:hAnsi="Times New Roman" w:cs="Times New Roman"/>
        </w:rPr>
        <w:t xml:space="preserve"> and thus their concerns should be included. This has been </w:t>
      </w:r>
      <w:r w:rsidR="00796815">
        <w:rPr>
          <w:rFonts w:ascii="Times New Roman" w:hAnsi="Times New Roman" w:cs="Times New Roman"/>
        </w:rPr>
        <w:t>highlighted</w:t>
      </w:r>
      <w:r w:rsidR="005B569C">
        <w:rPr>
          <w:rFonts w:ascii="Times New Roman" w:hAnsi="Times New Roman" w:cs="Times New Roman"/>
        </w:rPr>
        <w:t xml:space="preserve"> by a few studies done on </w:t>
      </w:r>
      <w:r w:rsidR="00796815">
        <w:rPr>
          <w:rFonts w:ascii="Times New Roman" w:hAnsi="Times New Roman" w:cs="Times New Roman"/>
        </w:rPr>
        <w:t>the student-as-</w:t>
      </w:r>
      <w:r w:rsidR="00D865F4">
        <w:rPr>
          <w:rFonts w:ascii="Times New Roman" w:hAnsi="Times New Roman" w:cs="Times New Roman"/>
        </w:rPr>
        <w:t xml:space="preserve">customer </w:t>
      </w:r>
      <w:r w:rsidR="00BA18AC">
        <w:rPr>
          <w:rFonts w:ascii="Times New Roman" w:hAnsi="Times New Roman" w:cs="Times New Roman"/>
        </w:rPr>
        <w:t>notion</w:t>
      </w:r>
      <w:r w:rsidR="00AC4C28">
        <w:rPr>
          <w:rFonts w:ascii="Times New Roman" w:hAnsi="Times New Roman" w:cs="Times New Roman"/>
        </w:rPr>
        <w:t xml:space="preserve"> </w:t>
      </w:r>
      <w:r w:rsidR="00AC4C28" w:rsidRPr="00B20292">
        <w:rPr>
          <w:rFonts w:ascii="Times New Roman" w:hAnsi="Times New Roman" w:cs="Times New Roman"/>
        </w:rPr>
        <w:t>(</w:t>
      </w:r>
      <w:r w:rsidR="00AC4C28" w:rsidRPr="00B20292">
        <w:rPr>
          <w:rFonts w:ascii="Times New Roman" w:hAnsi="Times New Roman" w:cs="Times New Roman"/>
          <w:lang w:val="fr-FR"/>
        </w:rPr>
        <w:t>Eagle and Brennan, 2007</w:t>
      </w:r>
      <w:r w:rsidR="00B20292" w:rsidRPr="00B20292">
        <w:rPr>
          <w:rFonts w:ascii="Times New Roman" w:hAnsi="Times New Roman" w:cs="Times New Roman"/>
          <w:lang w:val="fr-FR"/>
        </w:rPr>
        <w:t>).</w:t>
      </w:r>
    </w:p>
    <w:p w14:paraId="38078F3F" w14:textId="77777777" w:rsidR="00727BFC" w:rsidRDefault="00727BFC" w:rsidP="003A72E9">
      <w:pPr>
        <w:spacing w:line="480" w:lineRule="auto"/>
        <w:jc w:val="both"/>
        <w:rPr>
          <w:rFonts w:ascii="Times New Roman" w:hAnsi="Times New Roman" w:cs="Times New Roman"/>
          <w:b/>
        </w:rPr>
      </w:pPr>
    </w:p>
    <w:p w14:paraId="2289E619" w14:textId="77777777" w:rsidR="00F90B8A" w:rsidRDefault="00F90B8A" w:rsidP="003A72E9">
      <w:pPr>
        <w:spacing w:line="480" w:lineRule="auto"/>
        <w:jc w:val="both"/>
        <w:rPr>
          <w:rFonts w:ascii="Times New Roman" w:hAnsi="Times New Roman" w:cs="Times New Roman"/>
          <w:b/>
        </w:rPr>
      </w:pPr>
    </w:p>
    <w:p w14:paraId="1F4D10BF" w14:textId="77777777" w:rsidR="00F90B8A" w:rsidRDefault="00F90B8A" w:rsidP="003A72E9">
      <w:pPr>
        <w:spacing w:line="480" w:lineRule="auto"/>
        <w:jc w:val="both"/>
        <w:rPr>
          <w:rFonts w:ascii="Times New Roman" w:hAnsi="Times New Roman" w:cs="Times New Roman"/>
          <w:b/>
        </w:rPr>
      </w:pPr>
    </w:p>
    <w:p w14:paraId="59EE6B04" w14:textId="7C71A069" w:rsidR="004524A5" w:rsidRPr="003A72E9" w:rsidRDefault="00E516CD" w:rsidP="003A72E9">
      <w:pPr>
        <w:spacing w:line="480" w:lineRule="auto"/>
        <w:jc w:val="both"/>
        <w:rPr>
          <w:rFonts w:ascii="Times New Roman" w:hAnsi="Times New Roman" w:cs="Times New Roman"/>
          <w:b/>
        </w:rPr>
      </w:pPr>
      <w:r w:rsidRPr="00E516CD">
        <w:rPr>
          <w:rFonts w:ascii="Times New Roman" w:hAnsi="Times New Roman" w:cs="Times New Roman"/>
          <w:b/>
        </w:rPr>
        <w:t>Conclusion</w:t>
      </w:r>
      <w:r w:rsidR="00CF2340">
        <w:rPr>
          <w:rFonts w:ascii="Times New Roman" w:hAnsi="Times New Roman" w:cs="Times New Roman"/>
          <w:b/>
        </w:rPr>
        <w:t xml:space="preserve"> </w:t>
      </w:r>
    </w:p>
    <w:p w14:paraId="0014EEBD" w14:textId="7E149EF9" w:rsidR="00FB04B0" w:rsidRDefault="00221450" w:rsidP="003A72E9">
      <w:pPr>
        <w:spacing w:line="480" w:lineRule="auto"/>
        <w:jc w:val="both"/>
        <w:rPr>
          <w:rFonts w:ascii="Times New Roman" w:hAnsi="Times New Roman" w:cs="Times New Roman"/>
        </w:rPr>
      </w:pPr>
      <w:r>
        <w:rPr>
          <w:rFonts w:ascii="Times New Roman" w:hAnsi="Times New Roman" w:cs="Times New Roman"/>
        </w:rPr>
        <w:t xml:space="preserve">The customer concept has been greatly </w:t>
      </w:r>
      <w:r w:rsidR="00D72DCE">
        <w:rPr>
          <w:rFonts w:ascii="Times New Roman" w:hAnsi="Times New Roman" w:cs="Times New Roman"/>
        </w:rPr>
        <w:t>applied to students and the now so-called mar</w:t>
      </w:r>
      <w:r w:rsidR="00E55A58">
        <w:rPr>
          <w:rFonts w:ascii="Times New Roman" w:hAnsi="Times New Roman" w:cs="Times New Roman"/>
        </w:rPr>
        <w:t>ket of higher education. A deep</w:t>
      </w:r>
      <w:r w:rsidR="00D72DCE">
        <w:rPr>
          <w:rFonts w:ascii="Times New Roman" w:hAnsi="Times New Roman" w:cs="Times New Roman"/>
        </w:rPr>
        <w:t xml:space="preserve"> review of the literature allowed the formulation of three </w:t>
      </w:r>
      <w:r w:rsidR="00802BCC">
        <w:rPr>
          <w:rFonts w:ascii="Times New Roman" w:hAnsi="Times New Roman" w:cs="Times New Roman"/>
        </w:rPr>
        <w:t>hypotheses</w:t>
      </w:r>
      <w:r w:rsidR="00D72DCE">
        <w:rPr>
          <w:rFonts w:ascii="Times New Roman" w:hAnsi="Times New Roman" w:cs="Times New Roman"/>
        </w:rPr>
        <w:t xml:space="preserve"> in order to estimate if students c</w:t>
      </w:r>
      <w:r w:rsidR="00AB556E">
        <w:rPr>
          <w:rFonts w:ascii="Times New Roman" w:hAnsi="Times New Roman" w:cs="Times New Roman"/>
        </w:rPr>
        <w:t>an be considered as customers</w:t>
      </w:r>
      <w:r w:rsidR="00020A36">
        <w:rPr>
          <w:rFonts w:ascii="Times New Roman" w:hAnsi="Times New Roman" w:cs="Times New Roman"/>
        </w:rPr>
        <w:t xml:space="preserve"> making rational choices when going to university as a consequence of higher tuition fees. </w:t>
      </w:r>
      <w:r w:rsidR="00E55A58">
        <w:rPr>
          <w:rFonts w:ascii="Times New Roman" w:hAnsi="Times New Roman" w:cs="Times New Roman"/>
        </w:rPr>
        <w:t xml:space="preserve">The first one </w:t>
      </w:r>
      <w:r w:rsidR="00802BCC">
        <w:rPr>
          <w:rFonts w:ascii="Times New Roman" w:hAnsi="Times New Roman" w:cs="Times New Roman"/>
        </w:rPr>
        <w:t>assumes</w:t>
      </w:r>
      <w:r w:rsidR="00F72B9F">
        <w:rPr>
          <w:rFonts w:ascii="Times New Roman" w:hAnsi="Times New Roman" w:cs="Times New Roman"/>
        </w:rPr>
        <w:t xml:space="preserve"> that students behave as customer if</w:t>
      </w:r>
      <w:r w:rsidR="00802BCC">
        <w:rPr>
          <w:rFonts w:ascii="Times New Roman" w:hAnsi="Times New Roman" w:cs="Times New Roman"/>
        </w:rPr>
        <w:t xml:space="preserve"> </w:t>
      </w:r>
      <w:r w:rsidR="00F72B9F">
        <w:rPr>
          <w:rFonts w:ascii="Times New Roman" w:hAnsi="Times New Roman" w:cs="Times New Roman"/>
        </w:rPr>
        <w:t>their</w:t>
      </w:r>
      <w:r w:rsidR="00842E3E">
        <w:rPr>
          <w:rFonts w:ascii="Times New Roman" w:hAnsi="Times New Roman" w:cs="Times New Roman"/>
        </w:rPr>
        <w:t xml:space="preserve"> </w:t>
      </w:r>
      <w:r w:rsidR="00096706">
        <w:rPr>
          <w:rFonts w:ascii="Times New Roman" w:hAnsi="Times New Roman" w:cs="Times New Roman"/>
        </w:rPr>
        <w:t>choice of institution and degree</w:t>
      </w:r>
      <w:r w:rsidR="00842E3E">
        <w:rPr>
          <w:rFonts w:ascii="Times New Roman" w:hAnsi="Times New Roman" w:cs="Times New Roman"/>
        </w:rPr>
        <w:t xml:space="preserve"> </w:t>
      </w:r>
      <w:r w:rsidR="00096706">
        <w:rPr>
          <w:rFonts w:ascii="Times New Roman" w:hAnsi="Times New Roman" w:cs="Times New Roman"/>
        </w:rPr>
        <w:t>are led b</w:t>
      </w:r>
      <w:r w:rsidR="00F72B9F">
        <w:rPr>
          <w:rFonts w:ascii="Times New Roman" w:hAnsi="Times New Roman" w:cs="Times New Roman"/>
        </w:rPr>
        <w:t xml:space="preserve">y the desire to get a return on </w:t>
      </w:r>
      <w:r w:rsidR="00096706">
        <w:rPr>
          <w:rFonts w:ascii="Times New Roman" w:hAnsi="Times New Roman" w:cs="Times New Roman"/>
        </w:rPr>
        <w:t xml:space="preserve">their original investment. It seems to be </w:t>
      </w:r>
      <w:r w:rsidR="00803561">
        <w:rPr>
          <w:rFonts w:ascii="Times New Roman" w:hAnsi="Times New Roman" w:cs="Times New Roman"/>
        </w:rPr>
        <w:t xml:space="preserve">the case when choosing which university to apply to as students are seen to mostly care </w:t>
      </w:r>
      <w:r w:rsidR="00B67D0A">
        <w:rPr>
          <w:rFonts w:ascii="Times New Roman" w:hAnsi="Times New Roman" w:cs="Times New Roman"/>
        </w:rPr>
        <w:t xml:space="preserve">about the quality of education they are being provided </w:t>
      </w:r>
      <w:r w:rsidR="00372986">
        <w:rPr>
          <w:rFonts w:ascii="Times New Roman" w:hAnsi="Times New Roman" w:cs="Times New Roman"/>
        </w:rPr>
        <w:t>as well as the rate of employability of graduated students.</w:t>
      </w:r>
      <w:r w:rsidR="00F72B9F">
        <w:rPr>
          <w:rFonts w:ascii="Times New Roman" w:hAnsi="Times New Roman" w:cs="Times New Roman"/>
        </w:rPr>
        <w:t xml:space="preserve"> However, reasons for choosing a particular degrees resides mainly in the interest that students have in a particular subject. This seems to relate to what had been emphasized in the literature: students believe that </w:t>
      </w:r>
      <w:r w:rsidR="003823B2">
        <w:rPr>
          <w:rFonts w:ascii="Times New Roman" w:hAnsi="Times New Roman" w:cs="Times New Roman"/>
        </w:rPr>
        <w:t>obtaining a degree from a good university no matter the subject</w:t>
      </w:r>
      <w:r w:rsidR="00970985">
        <w:rPr>
          <w:rFonts w:ascii="Times New Roman" w:hAnsi="Times New Roman" w:cs="Times New Roman"/>
        </w:rPr>
        <w:t xml:space="preserve"> studied</w:t>
      </w:r>
      <w:r w:rsidR="003823B2">
        <w:rPr>
          <w:rFonts w:ascii="Times New Roman" w:hAnsi="Times New Roman" w:cs="Times New Roman"/>
        </w:rPr>
        <w:t xml:space="preserve"> is enough to get good job prospects.</w:t>
      </w:r>
      <w:r w:rsidR="006661B3">
        <w:rPr>
          <w:rFonts w:ascii="Times New Roman" w:hAnsi="Times New Roman" w:cs="Times New Roman"/>
        </w:rPr>
        <w:t xml:space="preserve"> Aside of the general trend, gen</w:t>
      </w:r>
      <w:r w:rsidR="00CF5579">
        <w:rPr>
          <w:rFonts w:ascii="Times New Roman" w:hAnsi="Times New Roman" w:cs="Times New Roman"/>
        </w:rPr>
        <w:t>der and the degree studied seem</w:t>
      </w:r>
      <w:r w:rsidR="006661B3">
        <w:rPr>
          <w:rFonts w:ascii="Times New Roman" w:hAnsi="Times New Roman" w:cs="Times New Roman"/>
        </w:rPr>
        <w:t xml:space="preserve"> to make a certain difference </w:t>
      </w:r>
      <w:r w:rsidR="00CF5579">
        <w:rPr>
          <w:rFonts w:ascii="Times New Roman" w:hAnsi="Times New Roman" w:cs="Times New Roman"/>
        </w:rPr>
        <w:t xml:space="preserve">in students' behaviour </w:t>
      </w:r>
      <w:r w:rsidR="006661B3">
        <w:rPr>
          <w:rFonts w:ascii="Times New Roman" w:hAnsi="Times New Roman" w:cs="Times New Roman"/>
        </w:rPr>
        <w:t>as male and business students</w:t>
      </w:r>
      <w:r w:rsidR="00CF5579">
        <w:rPr>
          <w:rFonts w:ascii="Times New Roman" w:hAnsi="Times New Roman" w:cs="Times New Roman"/>
        </w:rPr>
        <w:t xml:space="preserve"> seem to fit better the customer analogy</w:t>
      </w:r>
      <w:r w:rsidR="00C66A04">
        <w:rPr>
          <w:rFonts w:ascii="Times New Roman" w:hAnsi="Times New Roman" w:cs="Times New Roman"/>
        </w:rPr>
        <w:t xml:space="preserve"> in prioritizing career prospects</w:t>
      </w:r>
      <w:r w:rsidR="00CF5579">
        <w:rPr>
          <w:rFonts w:ascii="Times New Roman" w:hAnsi="Times New Roman" w:cs="Times New Roman"/>
        </w:rPr>
        <w:t>.</w:t>
      </w:r>
      <w:r w:rsidR="00C66A04">
        <w:rPr>
          <w:rFonts w:ascii="Times New Roman" w:hAnsi="Times New Roman" w:cs="Times New Roman"/>
        </w:rPr>
        <w:t xml:space="preserve"> </w:t>
      </w:r>
      <w:r w:rsidR="00C66A04" w:rsidRPr="00420CF8">
        <w:rPr>
          <w:rFonts w:ascii="Times New Roman" w:hAnsi="Times New Roman" w:cs="Times New Roman"/>
        </w:rPr>
        <w:t xml:space="preserve">The second hypothesis regarded the use of additional services by students in order to enhance their profile </w:t>
      </w:r>
      <w:r w:rsidR="00420CF8" w:rsidRPr="00420CF8">
        <w:rPr>
          <w:rFonts w:ascii="Times New Roman" w:hAnsi="Times New Roman" w:cs="Times New Roman"/>
        </w:rPr>
        <w:t>and stand out when entering</w:t>
      </w:r>
      <w:r w:rsidR="00C66A04" w:rsidRPr="00420CF8">
        <w:rPr>
          <w:rFonts w:ascii="Times New Roman" w:hAnsi="Times New Roman" w:cs="Times New Roman"/>
        </w:rPr>
        <w:t xml:space="preserve"> the job market</w:t>
      </w:r>
      <w:r w:rsidR="00E76BCB" w:rsidRPr="00420CF8">
        <w:rPr>
          <w:rFonts w:ascii="Times New Roman" w:hAnsi="Times New Roman" w:cs="Times New Roman"/>
        </w:rPr>
        <w:t>.</w:t>
      </w:r>
      <w:r w:rsidR="00E76BCB">
        <w:rPr>
          <w:rFonts w:ascii="Times New Roman" w:hAnsi="Times New Roman" w:cs="Times New Roman"/>
        </w:rPr>
        <w:t xml:space="preserve"> The results indicated that students do take advantage of services provided by </w:t>
      </w:r>
      <w:r w:rsidR="00BA18AC">
        <w:rPr>
          <w:rFonts w:ascii="Times New Roman" w:hAnsi="Times New Roman" w:cs="Times New Roman"/>
        </w:rPr>
        <w:t>the University of Manchester</w:t>
      </w:r>
      <w:r w:rsidR="00E76BCB">
        <w:rPr>
          <w:rFonts w:ascii="Times New Roman" w:hAnsi="Times New Roman" w:cs="Times New Roman"/>
        </w:rPr>
        <w:t xml:space="preserve"> notably students without loan and business students. Still, the general </w:t>
      </w:r>
      <w:r w:rsidR="00980772">
        <w:rPr>
          <w:rFonts w:ascii="Times New Roman" w:hAnsi="Times New Roman" w:cs="Times New Roman"/>
        </w:rPr>
        <w:t xml:space="preserve">tendency indicates that students valorise primarily </w:t>
      </w:r>
      <w:r w:rsidR="00AA5BEE">
        <w:rPr>
          <w:rFonts w:ascii="Times New Roman" w:hAnsi="Times New Roman" w:cs="Times New Roman"/>
        </w:rPr>
        <w:t>their degree when purchasing a higher education and consequently are more likely to use services directly related to their success in academic matters.</w:t>
      </w:r>
      <w:r w:rsidR="003142E7">
        <w:rPr>
          <w:rFonts w:ascii="Times New Roman" w:hAnsi="Times New Roman" w:cs="Times New Roman"/>
        </w:rPr>
        <w:t xml:space="preserve"> Finally, student can be considered as customer </w:t>
      </w:r>
      <w:r w:rsidR="00F806EF">
        <w:rPr>
          <w:rFonts w:ascii="Times New Roman" w:hAnsi="Times New Roman" w:cs="Times New Roman"/>
        </w:rPr>
        <w:t>if they can give feedback on the product they purchase and get involved in the improvement of certain aspects of it. According to this paper, students cannot be considered responsive in terms of using available channel</w:t>
      </w:r>
      <w:r w:rsidR="00ED4BBA">
        <w:rPr>
          <w:rFonts w:ascii="Times New Roman" w:hAnsi="Times New Roman" w:cs="Times New Roman"/>
        </w:rPr>
        <w:t>s to communicate their feedback. It is either attributed to the fact that students are not fully aware of what university entails before starting their degree and have thus no</w:t>
      </w:r>
      <w:r w:rsidR="00077A78">
        <w:rPr>
          <w:rFonts w:ascii="Times New Roman" w:hAnsi="Times New Roman" w:cs="Times New Roman"/>
        </w:rPr>
        <w:t xml:space="preserve"> precise expectations on which they could base their feedback. The second reason regards the fact that students seem to be </w:t>
      </w:r>
      <w:r w:rsidR="000F5111">
        <w:rPr>
          <w:rFonts w:ascii="Times New Roman" w:hAnsi="Times New Roman" w:cs="Times New Roman"/>
        </w:rPr>
        <w:t>satisfied</w:t>
      </w:r>
      <w:r w:rsidR="0065709A">
        <w:rPr>
          <w:rFonts w:ascii="Times New Roman" w:hAnsi="Times New Roman" w:cs="Times New Roman"/>
        </w:rPr>
        <w:t xml:space="preserve"> </w:t>
      </w:r>
      <w:r w:rsidR="00077A78">
        <w:rPr>
          <w:rFonts w:ascii="Times New Roman" w:hAnsi="Times New Roman" w:cs="Times New Roman"/>
        </w:rPr>
        <w:t>with the quality of teaching they are getting and do not feel the need to be active in its improvement. In conclusion, this article argues that students can be considered customers on certain aspects such as the choice of the institution. However, in order for the c</w:t>
      </w:r>
      <w:r w:rsidR="006E6046">
        <w:rPr>
          <w:rFonts w:ascii="Times New Roman" w:hAnsi="Times New Roman" w:cs="Times New Roman"/>
        </w:rPr>
        <w:t>ustomer analogy to be applied correctly, students would need to be more critical of the services they are purchasing and also be more aware of the job market requirement in order to do more extracurricular activities</w:t>
      </w:r>
      <w:r w:rsidR="000A1700">
        <w:rPr>
          <w:rFonts w:ascii="Times New Roman" w:hAnsi="Times New Roman" w:cs="Times New Roman"/>
        </w:rPr>
        <w:t xml:space="preserve">. The discussion tries to bring up reasons for which higher tuitions have not led </w:t>
      </w:r>
      <w:r w:rsidR="002F6093">
        <w:rPr>
          <w:rFonts w:ascii="Times New Roman" w:hAnsi="Times New Roman" w:cs="Times New Roman"/>
        </w:rPr>
        <w:t>to students committing fully to the customer behaviour. The article suggest that one point brought up by the literature saying that students cannot act as customer because they are not the one actually affording the cost of their studies seems to be correct. Most students enro</w:t>
      </w:r>
      <w:r w:rsidR="00A71EEC">
        <w:rPr>
          <w:rFonts w:ascii="Times New Roman" w:hAnsi="Times New Roman" w:cs="Times New Roman"/>
        </w:rPr>
        <w:t xml:space="preserve">lled at university are on a loan by the British government under certain conditions of repayment. </w:t>
      </w:r>
      <w:r w:rsidR="00513795">
        <w:rPr>
          <w:rFonts w:ascii="Times New Roman" w:hAnsi="Times New Roman" w:cs="Times New Roman"/>
        </w:rPr>
        <w:t>Due to the fact that</w:t>
      </w:r>
      <w:r w:rsidR="00A71EEC">
        <w:rPr>
          <w:rFonts w:ascii="Times New Roman" w:hAnsi="Times New Roman" w:cs="Times New Roman"/>
        </w:rPr>
        <w:t xml:space="preserve"> they never have any contact with the amount of money paid to </w:t>
      </w:r>
      <w:r w:rsidR="00BC47F2">
        <w:rPr>
          <w:rFonts w:ascii="Times New Roman" w:hAnsi="Times New Roman" w:cs="Times New Roman"/>
        </w:rPr>
        <w:t xml:space="preserve">the University of Manchester </w:t>
      </w:r>
      <w:r w:rsidR="008660B4">
        <w:rPr>
          <w:rFonts w:ascii="Times New Roman" w:hAnsi="Times New Roman" w:cs="Times New Roman"/>
        </w:rPr>
        <w:t>for their tuition fees</w:t>
      </w:r>
      <w:r w:rsidR="00310D74">
        <w:rPr>
          <w:rFonts w:ascii="Times New Roman" w:hAnsi="Times New Roman" w:cs="Times New Roman"/>
        </w:rPr>
        <w:t xml:space="preserve"> and are not fully aware of the details attached to the loans</w:t>
      </w:r>
      <w:r w:rsidR="008660B4">
        <w:rPr>
          <w:rFonts w:ascii="Times New Roman" w:hAnsi="Times New Roman" w:cs="Times New Roman"/>
        </w:rPr>
        <w:t xml:space="preserve">, they do </w:t>
      </w:r>
      <w:r w:rsidR="00310D74">
        <w:rPr>
          <w:rFonts w:ascii="Times New Roman" w:hAnsi="Times New Roman" w:cs="Times New Roman"/>
        </w:rPr>
        <w:t xml:space="preserve">not </w:t>
      </w:r>
      <w:r w:rsidR="008660B4">
        <w:rPr>
          <w:rFonts w:ascii="Times New Roman" w:hAnsi="Times New Roman" w:cs="Times New Roman"/>
        </w:rPr>
        <w:t>realize the cost of their higher education.</w:t>
      </w:r>
      <w:r w:rsidR="00084F12">
        <w:rPr>
          <w:rFonts w:ascii="Times New Roman" w:hAnsi="Times New Roman" w:cs="Times New Roman"/>
        </w:rPr>
        <w:t xml:space="preserve"> Hence, they cannot make</w:t>
      </w:r>
      <w:r w:rsidR="00310D74">
        <w:rPr>
          <w:rFonts w:ascii="Times New Roman" w:hAnsi="Times New Roman" w:cs="Times New Roman"/>
        </w:rPr>
        <w:t xml:space="preserve"> </w:t>
      </w:r>
      <w:r w:rsidR="00CC2C5A">
        <w:rPr>
          <w:rFonts w:ascii="Times New Roman" w:hAnsi="Times New Roman" w:cs="Times New Roman"/>
        </w:rPr>
        <w:t>decision</w:t>
      </w:r>
      <w:r w:rsidR="00084F12">
        <w:rPr>
          <w:rFonts w:ascii="Times New Roman" w:hAnsi="Times New Roman" w:cs="Times New Roman"/>
        </w:rPr>
        <w:t xml:space="preserve"> that can be considered</w:t>
      </w:r>
      <w:r w:rsidR="00310D74">
        <w:rPr>
          <w:rFonts w:ascii="Times New Roman" w:hAnsi="Times New Roman" w:cs="Times New Roman"/>
        </w:rPr>
        <w:t xml:space="preserve"> rational. </w:t>
      </w:r>
    </w:p>
    <w:p w14:paraId="7698E4F7" w14:textId="78E2F15A" w:rsidR="000F5111" w:rsidRDefault="004571EF" w:rsidP="003A72E9">
      <w:pPr>
        <w:spacing w:line="480" w:lineRule="auto"/>
        <w:jc w:val="both"/>
        <w:rPr>
          <w:rFonts w:ascii="Times New Roman" w:hAnsi="Times New Roman" w:cs="Times New Roman"/>
        </w:rPr>
      </w:pPr>
      <w:r>
        <w:rPr>
          <w:rFonts w:ascii="Times New Roman" w:hAnsi="Times New Roman" w:cs="Times New Roman"/>
        </w:rPr>
        <w:t>This paper has studied the extent to which students at the University at Manchester</w:t>
      </w:r>
      <w:r w:rsidR="000E6890">
        <w:rPr>
          <w:rFonts w:ascii="Times New Roman" w:hAnsi="Times New Roman" w:cs="Times New Roman"/>
        </w:rPr>
        <w:t xml:space="preserve"> can be considered as customers when pursuing university</w:t>
      </w:r>
      <w:r w:rsidR="00375829">
        <w:rPr>
          <w:rFonts w:ascii="Times New Roman" w:hAnsi="Times New Roman" w:cs="Times New Roman"/>
        </w:rPr>
        <w:t xml:space="preserve"> as a consequence of higher tuition fees</w:t>
      </w:r>
      <w:r w:rsidR="000E6890">
        <w:rPr>
          <w:rFonts w:ascii="Times New Roman" w:hAnsi="Times New Roman" w:cs="Times New Roman"/>
        </w:rPr>
        <w:t xml:space="preserve">. It would be interesting to study </w:t>
      </w:r>
      <w:r w:rsidR="006E26ED">
        <w:rPr>
          <w:rFonts w:ascii="Times New Roman" w:hAnsi="Times New Roman" w:cs="Times New Roman"/>
        </w:rPr>
        <w:t>how much the environment and activities surrounding the university affect students' choice</w:t>
      </w:r>
      <w:r w:rsidR="00CC2C5A">
        <w:rPr>
          <w:rFonts w:ascii="Times New Roman" w:hAnsi="Times New Roman" w:cs="Times New Roman"/>
        </w:rPr>
        <w:t>s</w:t>
      </w:r>
      <w:r w:rsidR="006E26ED">
        <w:rPr>
          <w:rFonts w:ascii="Times New Roman" w:hAnsi="Times New Roman" w:cs="Times New Roman"/>
        </w:rPr>
        <w:t xml:space="preserve"> as well. This study has been focused on services provided by </w:t>
      </w:r>
      <w:r w:rsidR="00CC2C5A">
        <w:rPr>
          <w:rFonts w:ascii="Times New Roman" w:hAnsi="Times New Roman" w:cs="Times New Roman"/>
        </w:rPr>
        <w:t>the U</w:t>
      </w:r>
      <w:r w:rsidR="006E26ED">
        <w:rPr>
          <w:rFonts w:ascii="Times New Roman" w:hAnsi="Times New Roman" w:cs="Times New Roman"/>
        </w:rPr>
        <w:t xml:space="preserve">niversity </w:t>
      </w:r>
      <w:r w:rsidR="00CC2C5A">
        <w:rPr>
          <w:rFonts w:ascii="Times New Roman" w:hAnsi="Times New Roman" w:cs="Times New Roman"/>
        </w:rPr>
        <w:t xml:space="preserve">of Manchester </w:t>
      </w:r>
      <w:r w:rsidR="006E26ED">
        <w:rPr>
          <w:rFonts w:ascii="Times New Roman" w:hAnsi="Times New Roman" w:cs="Times New Roman"/>
        </w:rPr>
        <w:t xml:space="preserve">on site and mostly related to students' life within the institution </w:t>
      </w:r>
      <w:r w:rsidR="00CC2C5A">
        <w:rPr>
          <w:rFonts w:ascii="Times New Roman" w:hAnsi="Times New Roman" w:cs="Times New Roman"/>
        </w:rPr>
        <w:t>campus</w:t>
      </w:r>
      <w:r w:rsidR="006E26ED">
        <w:rPr>
          <w:rFonts w:ascii="Times New Roman" w:hAnsi="Times New Roman" w:cs="Times New Roman"/>
        </w:rPr>
        <w:t xml:space="preserve">. However, halls of residence and the social </w:t>
      </w:r>
      <w:r w:rsidR="006C05AD">
        <w:rPr>
          <w:rFonts w:ascii="Times New Roman" w:hAnsi="Times New Roman" w:cs="Times New Roman"/>
        </w:rPr>
        <w:t>atmosphere</w:t>
      </w:r>
      <w:r w:rsidR="006E26ED">
        <w:rPr>
          <w:rFonts w:ascii="Times New Roman" w:hAnsi="Times New Roman" w:cs="Times New Roman"/>
        </w:rPr>
        <w:t xml:space="preserve"> </w:t>
      </w:r>
      <w:r w:rsidR="006C05AD">
        <w:rPr>
          <w:rFonts w:ascii="Times New Roman" w:hAnsi="Times New Roman" w:cs="Times New Roman"/>
        </w:rPr>
        <w:t>around it for instance</w:t>
      </w:r>
      <w:r w:rsidR="006E26ED">
        <w:rPr>
          <w:rFonts w:ascii="Times New Roman" w:hAnsi="Times New Roman" w:cs="Times New Roman"/>
        </w:rPr>
        <w:t xml:space="preserve"> </w:t>
      </w:r>
      <w:r w:rsidR="006C05AD">
        <w:rPr>
          <w:rFonts w:ascii="Times New Roman" w:hAnsi="Times New Roman" w:cs="Times New Roman"/>
        </w:rPr>
        <w:t>contribute to student</w:t>
      </w:r>
      <w:r w:rsidR="00CC2C5A">
        <w:rPr>
          <w:rFonts w:ascii="Times New Roman" w:hAnsi="Times New Roman" w:cs="Times New Roman"/>
        </w:rPr>
        <w:t>s' attitude to university and would be worth investigating.</w:t>
      </w:r>
    </w:p>
    <w:p w14:paraId="4A5A6D97" w14:textId="77777777" w:rsidR="00056499" w:rsidRDefault="00056499" w:rsidP="003A72E9">
      <w:pPr>
        <w:spacing w:line="480" w:lineRule="auto"/>
        <w:jc w:val="both"/>
        <w:rPr>
          <w:rFonts w:ascii="Times New Roman" w:hAnsi="Times New Roman" w:cs="Times New Roman"/>
        </w:rPr>
      </w:pPr>
    </w:p>
    <w:p w14:paraId="501E9D96" w14:textId="77777777" w:rsidR="00442314" w:rsidRDefault="00442314" w:rsidP="003A72E9">
      <w:pPr>
        <w:spacing w:line="480" w:lineRule="auto"/>
        <w:rPr>
          <w:rFonts w:ascii="Times" w:hAnsi="Times" w:cs="Times"/>
          <w:b/>
          <w:lang w:val="fr-FR"/>
        </w:rPr>
      </w:pPr>
      <w:r>
        <w:rPr>
          <w:rFonts w:ascii="Times" w:hAnsi="Times" w:cs="Times"/>
          <w:b/>
          <w:lang w:val="fr-FR"/>
        </w:rPr>
        <w:br w:type="page"/>
      </w:r>
    </w:p>
    <w:p w14:paraId="5FB6267F" w14:textId="2FA10A8D" w:rsidR="00F42862" w:rsidRDefault="00F42862" w:rsidP="003A72E9">
      <w:pPr>
        <w:spacing w:line="480" w:lineRule="auto"/>
        <w:rPr>
          <w:rFonts w:ascii="Times" w:hAnsi="Times" w:cs="Times"/>
          <w:b/>
          <w:lang w:val="fr-FR"/>
        </w:rPr>
      </w:pPr>
      <w:r w:rsidRPr="00A75F67">
        <w:rPr>
          <w:rFonts w:ascii="Times" w:hAnsi="Times" w:cs="Times"/>
          <w:b/>
          <w:lang w:val="fr-FR"/>
        </w:rPr>
        <w:t>Bibliography</w:t>
      </w:r>
    </w:p>
    <w:p w14:paraId="304C3F27" w14:textId="77777777" w:rsidR="002D225D" w:rsidRPr="002D225D" w:rsidRDefault="002D225D" w:rsidP="003A72E9">
      <w:pPr>
        <w:spacing w:line="480" w:lineRule="auto"/>
        <w:rPr>
          <w:rFonts w:ascii="Times" w:hAnsi="Times" w:cs="Times"/>
          <w:lang w:val="fr-FR"/>
        </w:rPr>
      </w:pPr>
    </w:p>
    <w:p w14:paraId="50C440DA" w14:textId="3013C8D2" w:rsidR="00F42862" w:rsidRPr="00A75D4A" w:rsidRDefault="00DC269D" w:rsidP="003A72E9">
      <w:pPr>
        <w:widowControl w:val="0"/>
        <w:autoSpaceDE w:val="0"/>
        <w:autoSpaceDN w:val="0"/>
        <w:adjustRightInd w:val="0"/>
        <w:spacing w:after="240" w:line="480" w:lineRule="auto"/>
        <w:rPr>
          <w:rFonts w:ascii="Times New Roman" w:hAnsi="Times New Roman" w:cs="Times New Roman"/>
          <w:lang w:val="fr-FR"/>
        </w:rPr>
      </w:pPr>
      <w:r>
        <w:rPr>
          <w:rFonts w:ascii="Times New Roman" w:hAnsi="Times New Roman" w:cs="Times New Roman"/>
          <w:lang w:val="fr-FR"/>
        </w:rPr>
        <w:t>Bennett, R. (2003). "</w:t>
      </w:r>
      <w:r w:rsidR="00F42862" w:rsidRPr="00A75D4A">
        <w:rPr>
          <w:rFonts w:ascii="Times New Roman" w:hAnsi="Times New Roman" w:cs="Times New Roman"/>
          <w:lang w:val="fr-FR"/>
        </w:rPr>
        <w:t>Determinants of undergraduate student drop out rates in a univers</w:t>
      </w:r>
      <w:r>
        <w:rPr>
          <w:rFonts w:ascii="Times New Roman" w:hAnsi="Times New Roman" w:cs="Times New Roman"/>
          <w:lang w:val="fr-FR"/>
        </w:rPr>
        <w:t>ity business studies department"</w:t>
      </w:r>
      <w:r w:rsidR="00F42862" w:rsidRPr="00A75D4A">
        <w:rPr>
          <w:rFonts w:ascii="Times New Roman" w:hAnsi="Times New Roman" w:cs="Times New Roman"/>
          <w:lang w:val="fr-FR"/>
        </w:rPr>
        <w:t xml:space="preserve">, Journal of Further and Higher Education, Vol. 27 No. 2, pp. 123-39. </w:t>
      </w:r>
    </w:p>
    <w:p w14:paraId="489AA83A" w14:textId="2EAFD3A5" w:rsidR="00F42862" w:rsidRPr="00A75D4A" w:rsidRDefault="00F42862" w:rsidP="003A72E9">
      <w:pPr>
        <w:widowControl w:val="0"/>
        <w:autoSpaceDE w:val="0"/>
        <w:autoSpaceDN w:val="0"/>
        <w:adjustRightInd w:val="0"/>
        <w:spacing w:after="240" w:line="480" w:lineRule="auto"/>
        <w:rPr>
          <w:rFonts w:ascii="Times New Roman" w:hAnsi="Times New Roman" w:cs="Times New Roman"/>
          <w:lang w:val="fr-FR"/>
        </w:rPr>
      </w:pPr>
      <w:r w:rsidRPr="00A75D4A">
        <w:rPr>
          <w:rFonts w:ascii="Times New Roman" w:hAnsi="Times New Roman" w:cs="Times New Roman"/>
          <w:lang w:val="fr-FR"/>
        </w:rPr>
        <w:t>Chonko, L.B., Tan</w:t>
      </w:r>
      <w:r w:rsidR="00E31D97" w:rsidRPr="00A75D4A">
        <w:rPr>
          <w:rFonts w:ascii="Times New Roman" w:hAnsi="Times New Roman" w:cs="Times New Roman"/>
          <w:lang w:val="fr-FR"/>
        </w:rPr>
        <w:t>ner, J.F. and Davis, R. (2002). "</w:t>
      </w:r>
      <w:r w:rsidRPr="00A75D4A">
        <w:rPr>
          <w:rFonts w:ascii="Times New Roman" w:hAnsi="Times New Roman" w:cs="Times New Roman"/>
          <w:lang w:val="fr-FR"/>
        </w:rPr>
        <w:t>What are they thinking? Students’ ex</w:t>
      </w:r>
      <w:r w:rsidR="00E31D97" w:rsidRPr="00A75D4A">
        <w:rPr>
          <w:rFonts w:ascii="Times New Roman" w:hAnsi="Times New Roman" w:cs="Times New Roman"/>
          <w:lang w:val="fr-FR"/>
        </w:rPr>
        <w:t>pectations and self-assessments"</w:t>
      </w:r>
      <w:r w:rsidRPr="00A75D4A">
        <w:rPr>
          <w:rFonts w:ascii="Times New Roman" w:hAnsi="Times New Roman" w:cs="Times New Roman"/>
          <w:lang w:val="fr-FR"/>
        </w:rPr>
        <w:t xml:space="preserve">, Journal of Education for Business, Vol. 77 No. 5, pp. 271-81. </w:t>
      </w:r>
    </w:p>
    <w:p w14:paraId="2D115984" w14:textId="6FEFE4B8" w:rsidR="00F42862" w:rsidRPr="00A75D4A" w:rsidRDefault="00F42862" w:rsidP="003A72E9">
      <w:pPr>
        <w:widowControl w:val="0"/>
        <w:autoSpaceDE w:val="0"/>
        <w:autoSpaceDN w:val="0"/>
        <w:adjustRightInd w:val="0"/>
        <w:spacing w:after="240" w:line="480" w:lineRule="auto"/>
        <w:rPr>
          <w:rFonts w:ascii="Times New Roman" w:hAnsi="Times New Roman" w:cs="Times New Roman"/>
          <w:lang w:val="fr-FR"/>
        </w:rPr>
      </w:pPr>
      <w:r w:rsidRPr="00A75D4A">
        <w:rPr>
          <w:rFonts w:ascii="Times New Roman" w:hAnsi="Times New Roman" w:cs="Times New Roman"/>
          <w:lang w:val="fr-FR"/>
        </w:rPr>
        <w:t>Clays</w:t>
      </w:r>
      <w:r w:rsidR="00E31D97" w:rsidRPr="00A75D4A">
        <w:rPr>
          <w:rFonts w:ascii="Times New Roman" w:hAnsi="Times New Roman" w:cs="Times New Roman"/>
          <w:lang w:val="fr-FR"/>
        </w:rPr>
        <w:t>on, D.E. and Haley, D.A. (2005). "</w:t>
      </w:r>
      <w:r w:rsidRPr="00A75D4A">
        <w:rPr>
          <w:rFonts w:ascii="Times New Roman" w:hAnsi="Times New Roman" w:cs="Times New Roman"/>
          <w:lang w:val="fr-FR"/>
        </w:rPr>
        <w:t>Marketing models in education: students as c</w:t>
      </w:r>
      <w:r w:rsidR="00E31D97" w:rsidRPr="00A75D4A">
        <w:rPr>
          <w:rFonts w:ascii="Times New Roman" w:hAnsi="Times New Roman" w:cs="Times New Roman"/>
          <w:lang w:val="fr-FR"/>
        </w:rPr>
        <w:t>ustomers, products, or partners"</w:t>
      </w:r>
      <w:r w:rsidRPr="00A75D4A">
        <w:rPr>
          <w:rFonts w:ascii="Times New Roman" w:hAnsi="Times New Roman" w:cs="Times New Roman"/>
          <w:lang w:val="fr-FR"/>
        </w:rPr>
        <w:t xml:space="preserve">, Marketing Education Review, Vol. 15 No. 1, pp. 1-10. </w:t>
      </w:r>
    </w:p>
    <w:p w14:paraId="0DA3DE12" w14:textId="7DE5B223"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Collini, S. (2010)</w:t>
      </w:r>
      <w:r w:rsidR="00CC2C5A">
        <w:rPr>
          <w:rFonts w:ascii="Times New Roman" w:hAnsi="Times New Roman" w:cs="Times New Roman"/>
          <w:lang w:val="fr-FR"/>
        </w:rPr>
        <w:t>.</w:t>
      </w:r>
      <w:r w:rsidRPr="00A75D4A">
        <w:rPr>
          <w:rFonts w:ascii="Times New Roman" w:hAnsi="Times New Roman" w:cs="Times New Roman"/>
          <w:lang w:val="fr-FR"/>
        </w:rPr>
        <w:t xml:space="preserve"> </w:t>
      </w:r>
      <w:r w:rsidRPr="00A75D4A">
        <w:rPr>
          <w:rFonts w:ascii="Times New Roman" w:hAnsi="Times New Roman" w:cs="Times New Roman"/>
          <w:i/>
          <w:iCs/>
          <w:lang w:val="fr-FR"/>
        </w:rPr>
        <w:t>LRB · Stefan Collini · Browne’s gamble: The future of the universities</w:t>
      </w:r>
      <w:r w:rsidRPr="00A75D4A">
        <w:rPr>
          <w:rFonts w:ascii="Times New Roman" w:hAnsi="Times New Roman" w:cs="Times New Roman"/>
          <w:lang w:val="fr-FR"/>
        </w:rPr>
        <w:t>.</w:t>
      </w:r>
      <w:r w:rsidR="00DC269D">
        <w:rPr>
          <w:rFonts w:ascii="Times New Roman" w:hAnsi="Times New Roman" w:cs="Times New Roman"/>
          <w:lang w:val="fr-FR"/>
        </w:rPr>
        <w:t xml:space="preserve"> </w:t>
      </w:r>
      <w:r w:rsidR="0010589F">
        <w:rPr>
          <w:rFonts w:ascii="Times New Roman" w:hAnsi="Times New Roman" w:cs="Times New Roman"/>
          <w:lang w:val="fr-FR"/>
        </w:rPr>
        <w:t>Available at:</w:t>
      </w:r>
    </w:p>
    <w:p w14:paraId="628B0618" w14:textId="0D071BE5" w:rsidR="00F42862" w:rsidRPr="0010589F" w:rsidRDefault="0044218C" w:rsidP="003A72E9">
      <w:pPr>
        <w:widowControl w:val="0"/>
        <w:autoSpaceDE w:val="0"/>
        <w:autoSpaceDN w:val="0"/>
        <w:adjustRightInd w:val="0"/>
        <w:spacing w:line="480" w:lineRule="auto"/>
        <w:rPr>
          <w:rFonts w:ascii="Times New Roman" w:hAnsi="Times New Roman" w:cs="Times New Roman"/>
          <w:lang w:val="fr-FR"/>
        </w:rPr>
      </w:pPr>
      <w:hyperlink r:id="rId13" w:history="1">
        <w:r w:rsidR="00F42862" w:rsidRPr="00A75D4A">
          <w:rPr>
            <w:rStyle w:val="Hyperlink"/>
            <w:rFonts w:ascii="Times New Roman" w:hAnsi="Times New Roman" w:cs="Times New Roman"/>
            <w:color w:val="auto"/>
            <w:lang w:val="fr-FR"/>
          </w:rPr>
          <w:t>http://www.lrb.co.uk/v32/n21/stefan-collini/brownes-gamble</w:t>
        </w:r>
      </w:hyperlink>
      <w:r w:rsidR="0010589F">
        <w:rPr>
          <w:rStyle w:val="Hyperlink"/>
          <w:rFonts w:ascii="Times New Roman" w:hAnsi="Times New Roman" w:cs="Times New Roman"/>
          <w:color w:val="auto"/>
          <w:lang w:val="fr-FR"/>
        </w:rPr>
        <w:t xml:space="preserve"> </w:t>
      </w:r>
      <w:r w:rsidR="0010589F" w:rsidRPr="0010589F">
        <w:rPr>
          <w:rStyle w:val="Hyperlink"/>
          <w:rFonts w:ascii="Times New Roman" w:hAnsi="Times New Roman" w:cs="Times New Roman"/>
          <w:color w:val="auto"/>
          <w:u w:val="none"/>
          <w:lang w:val="fr-FR"/>
        </w:rPr>
        <w:t>(accessed: 25/04/2016)</w:t>
      </w:r>
      <w:r w:rsidR="0010589F">
        <w:rPr>
          <w:rStyle w:val="Hyperlink"/>
          <w:rFonts w:ascii="Times New Roman" w:hAnsi="Times New Roman" w:cs="Times New Roman"/>
          <w:color w:val="auto"/>
          <w:u w:val="none"/>
          <w:lang w:val="fr-FR"/>
        </w:rPr>
        <w:t>.</w:t>
      </w:r>
    </w:p>
    <w:p w14:paraId="0A75B158"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602142A7" w14:textId="062E7E53"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Eagle, L. and Brennan, R. (2007)</w:t>
      </w:r>
      <w:r w:rsidR="00E31D97" w:rsidRPr="00A75D4A">
        <w:rPr>
          <w:rFonts w:ascii="Times New Roman" w:hAnsi="Times New Roman" w:cs="Times New Roman"/>
          <w:lang w:val="fr-FR"/>
        </w:rPr>
        <w:t>. "</w:t>
      </w:r>
      <w:r w:rsidRPr="00A75D4A">
        <w:rPr>
          <w:rFonts w:ascii="Times New Roman" w:hAnsi="Times New Roman" w:cs="Times New Roman"/>
          <w:lang w:val="fr-FR"/>
        </w:rPr>
        <w:t>Are students customers?</w:t>
      </w:r>
      <w:r w:rsidR="00E31D97" w:rsidRPr="00A75D4A">
        <w:rPr>
          <w:rFonts w:ascii="Times New Roman" w:hAnsi="Times New Roman" w:cs="Times New Roman"/>
          <w:lang w:val="fr-FR"/>
        </w:rPr>
        <w:t xml:space="preserve"> TQM and marketing perspectives"</w:t>
      </w:r>
      <w:r w:rsidRPr="00A75D4A">
        <w:rPr>
          <w:rFonts w:ascii="Times New Roman" w:hAnsi="Times New Roman" w:cs="Times New Roman"/>
          <w:lang w:val="fr-FR"/>
        </w:rPr>
        <w:t xml:space="preserve">, </w:t>
      </w:r>
      <w:r w:rsidRPr="00A75D4A">
        <w:rPr>
          <w:rFonts w:ascii="Times New Roman" w:hAnsi="Times New Roman" w:cs="Times New Roman"/>
          <w:i/>
          <w:iCs/>
          <w:lang w:val="fr-FR"/>
        </w:rPr>
        <w:t>Quality Assurance in Education</w:t>
      </w:r>
      <w:r w:rsidRPr="00A75D4A">
        <w:rPr>
          <w:rFonts w:ascii="Times New Roman" w:hAnsi="Times New Roman" w:cs="Times New Roman"/>
          <w:lang w:val="fr-FR"/>
        </w:rPr>
        <w:t>, 15(1), pp. 44–60.</w:t>
      </w:r>
    </w:p>
    <w:p w14:paraId="7706D7A8"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5C8C43D0" w14:textId="251AC682" w:rsidR="00F42862" w:rsidRPr="00A75D4A" w:rsidRDefault="00F42862" w:rsidP="003A72E9">
      <w:pPr>
        <w:widowControl w:val="0"/>
        <w:autoSpaceDE w:val="0"/>
        <w:autoSpaceDN w:val="0"/>
        <w:adjustRightInd w:val="0"/>
        <w:spacing w:after="240" w:line="480" w:lineRule="auto"/>
        <w:rPr>
          <w:rFonts w:ascii="Times New Roman" w:hAnsi="Times New Roman" w:cs="Times New Roman"/>
          <w:lang w:val="fr-FR"/>
        </w:rPr>
      </w:pPr>
      <w:r w:rsidRPr="00A75D4A">
        <w:rPr>
          <w:rFonts w:ascii="Times New Roman" w:hAnsi="Times New Roman" w:cs="Times New Roman"/>
          <w:lang w:val="fr-FR"/>
        </w:rPr>
        <w:t>Emery, C.,</w:t>
      </w:r>
      <w:r w:rsidR="00E31D97" w:rsidRPr="00A75D4A">
        <w:rPr>
          <w:rFonts w:ascii="Times New Roman" w:hAnsi="Times New Roman" w:cs="Times New Roman"/>
          <w:lang w:val="fr-FR"/>
        </w:rPr>
        <w:t xml:space="preserve"> Kramer, T. and Tian, R. (2001). "</w:t>
      </w:r>
      <w:r w:rsidRPr="00A75D4A">
        <w:rPr>
          <w:rFonts w:ascii="Times New Roman" w:hAnsi="Times New Roman" w:cs="Times New Roman"/>
          <w:lang w:val="fr-FR"/>
        </w:rPr>
        <w:t>Customers vs products: adopting an effectiv</w:t>
      </w:r>
      <w:r w:rsidR="00E31D97" w:rsidRPr="00A75D4A">
        <w:rPr>
          <w:rFonts w:ascii="Times New Roman" w:hAnsi="Times New Roman" w:cs="Times New Roman"/>
          <w:lang w:val="fr-FR"/>
        </w:rPr>
        <w:t>e approach to business students"</w:t>
      </w:r>
      <w:r w:rsidRPr="00A75D4A">
        <w:rPr>
          <w:rFonts w:ascii="Times New Roman" w:hAnsi="Times New Roman" w:cs="Times New Roman"/>
          <w:lang w:val="fr-FR"/>
        </w:rPr>
        <w:t xml:space="preserve">, Quality Assurance in Education, Vol. 9 No. 2, pp. 110-15. </w:t>
      </w:r>
    </w:p>
    <w:p w14:paraId="0C125F1A"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37D7286F" w14:textId="0C50BD4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Geven, K. (2015)</w:t>
      </w:r>
      <w:r w:rsidR="00E31D97" w:rsidRPr="00A75D4A">
        <w:rPr>
          <w:rFonts w:ascii="Times New Roman" w:hAnsi="Times New Roman" w:cs="Times New Roman"/>
          <w:lang w:val="fr-FR"/>
        </w:rPr>
        <w:t>. "</w:t>
      </w:r>
      <w:r w:rsidRPr="00A75D4A">
        <w:rPr>
          <w:rFonts w:ascii="Times New Roman" w:hAnsi="Times New Roman" w:cs="Times New Roman"/>
          <w:lang w:val="fr-FR"/>
        </w:rPr>
        <w:t>How Did the Latest Increase in Fees in England Affect St</w:t>
      </w:r>
      <w:r w:rsidR="00E31D97" w:rsidRPr="00A75D4A">
        <w:rPr>
          <w:rFonts w:ascii="Times New Roman" w:hAnsi="Times New Roman" w:cs="Times New Roman"/>
          <w:lang w:val="fr-FR"/>
        </w:rPr>
        <w:t>udent Enrolment and Inequality?"</w:t>
      </w:r>
      <w:r w:rsidRPr="00A75D4A">
        <w:rPr>
          <w:rFonts w:ascii="Times New Roman" w:hAnsi="Times New Roman" w:cs="Times New Roman"/>
          <w:lang w:val="fr-FR"/>
        </w:rPr>
        <w:t xml:space="preserve">, </w:t>
      </w:r>
      <w:r w:rsidRPr="00A75D4A">
        <w:rPr>
          <w:rFonts w:ascii="Times New Roman" w:hAnsi="Times New Roman" w:cs="Times New Roman"/>
          <w:i/>
          <w:iCs/>
          <w:lang w:val="fr-FR"/>
        </w:rPr>
        <w:t>The European Higher Education Area</w:t>
      </w:r>
      <w:r w:rsidR="008F5AAE">
        <w:rPr>
          <w:rFonts w:ascii="Times New Roman" w:hAnsi="Times New Roman" w:cs="Times New Roman"/>
          <w:lang w:val="fr-FR"/>
        </w:rPr>
        <w:t xml:space="preserve">, </w:t>
      </w:r>
      <w:r w:rsidRPr="00A75D4A">
        <w:rPr>
          <w:rFonts w:ascii="Times New Roman" w:hAnsi="Times New Roman" w:cs="Times New Roman"/>
          <w:lang w:val="fr-FR"/>
        </w:rPr>
        <w:t>pp. 479–500.</w:t>
      </w:r>
    </w:p>
    <w:p w14:paraId="543708CF"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5E59C8E9" w14:textId="07F6A940"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Harrison, A. (2012)</w:t>
      </w:r>
      <w:r w:rsidR="00E31D97" w:rsidRPr="00A75D4A">
        <w:rPr>
          <w:rFonts w:ascii="Times New Roman" w:hAnsi="Times New Roman" w:cs="Times New Roman"/>
          <w:lang w:val="fr-FR"/>
        </w:rPr>
        <w:t>.</w:t>
      </w:r>
      <w:r w:rsidRPr="00A75D4A">
        <w:rPr>
          <w:rFonts w:ascii="Times New Roman" w:hAnsi="Times New Roman" w:cs="Times New Roman"/>
          <w:lang w:val="fr-FR"/>
        </w:rPr>
        <w:t xml:space="preserve"> </w:t>
      </w:r>
      <w:r w:rsidRPr="00A75D4A">
        <w:rPr>
          <w:rFonts w:ascii="Times New Roman" w:hAnsi="Times New Roman" w:cs="Times New Roman"/>
          <w:i/>
          <w:iCs/>
          <w:lang w:val="fr-FR"/>
        </w:rPr>
        <w:t>University tuition fees ‘affecting applications’ says panel</w:t>
      </w:r>
      <w:r w:rsidRPr="00A75D4A">
        <w:rPr>
          <w:rFonts w:ascii="Times New Roman" w:hAnsi="Times New Roman" w:cs="Times New Roman"/>
          <w:lang w:val="fr-FR"/>
        </w:rPr>
        <w:t>. Available at: http://www.bbc.</w:t>
      </w:r>
      <w:r w:rsidR="0010589F">
        <w:rPr>
          <w:rFonts w:ascii="Times New Roman" w:hAnsi="Times New Roman" w:cs="Times New Roman"/>
          <w:lang w:val="fr-FR"/>
        </w:rPr>
        <w:t>co.uk/news/education-19182000 (accessed: 12/10/</w:t>
      </w:r>
      <w:r w:rsidRPr="00A75D4A">
        <w:rPr>
          <w:rFonts w:ascii="Times New Roman" w:hAnsi="Times New Roman" w:cs="Times New Roman"/>
          <w:lang w:val="fr-FR"/>
        </w:rPr>
        <w:t>2015).</w:t>
      </w:r>
    </w:p>
    <w:p w14:paraId="357D7913"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299A8CFE" w14:textId="7C8C672D" w:rsidR="00F42862" w:rsidRPr="00A75D4A" w:rsidRDefault="0010589F" w:rsidP="003A72E9">
      <w:pPr>
        <w:widowControl w:val="0"/>
        <w:autoSpaceDE w:val="0"/>
        <w:autoSpaceDN w:val="0"/>
        <w:adjustRightInd w:val="0"/>
        <w:spacing w:line="480" w:lineRule="auto"/>
        <w:rPr>
          <w:rFonts w:ascii="Times New Roman" w:hAnsi="Times New Roman" w:cs="Times New Roman"/>
          <w:lang w:val="fr-FR"/>
        </w:rPr>
      </w:pPr>
      <w:r>
        <w:rPr>
          <w:rFonts w:ascii="Times New Roman" w:hAnsi="Times New Roman" w:cs="Times New Roman"/>
          <w:lang w:val="fr-FR"/>
        </w:rPr>
        <w:t xml:space="preserve">The Telegraph </w:t>
      </w:r>
      <w:r w:rsidR="00F42862" w:rsidRPr="00A75D4A">
        <w:rPr>
          <w:rFonts w:ascii="Times New Roman" w:hAnsi="Times New Roman" w:cs="Times New Roman"/>
          <w:lang w:val="fr-FR"/>
        </w:rPr>
        <w:t>(2014)</w:t>
      </w:r>
      <w:r w:rsidR="00E31D97" w:rsidRPr="00A75D4A">
        <w:rPr>
          <w:rFonts w:ascii="Times New Roman" w:hAnsi="Times New Roman" w:cs="Times New Roman"/>
          <w:lang w:val="fr-FR"/>
        </w:rPr>
        <w:t>.</w:t>
      </w:r>
      <w:r w:rsidR="00F42862" w:rsidRPr="00A75D4A">
        <w:rPr>
          <w:rFonts w:ascii="Times New Roman" w:hAnsi="Times New Roman" w:cs="Times New Roman"/>
          <w:lang w:val="fr-FR"/>
        </w:rPr>
        <w:t xml:space="preserve"> </w:t>
      </w:r>
      <w:r w:rsidRPr="00A75D4A">
        <w:rPr>
          <w:rFonts w:ascii="Times New Roman" w:hAnsi="Times New Roman" w:cs="Times New Roman"/>
          <w:i/>
          <w:iCs/>
          <w:lang w:val="fr-FR"/>
        </w:rPr>
        <w:t>How have tu</w:t>
      </w:r>
      <w:r>
        <w:rPr>
          <w:rFonts w:ascii="Times New Roman" w:hAnsi="Times New Roman" w:cs="Times New Roman"/>
          <w:i/>
          <w:iCs/>
          <w:lang w:val="fr-FR"/>
        </w:rPr>
        <w:t xml:space="preserve">ition fees affected students? </w:t>
      </w:r>
      <w:r w:rsidR="00F42862" w:rsidRPr="00A75D4A">
        <w:rPr>
          <w:rFonts w:ascii="Times New Roman" w:hAnsi="Times New Roman" w:cs="Times New Roman"/>
          <w:lang w:val="fr-FR"/>
        </w:rPr>
        <w:t>Available at: http://www.telegraph.co.uk/education/universityeducation/10734733/How-have-tuitio</w:t>
      </w:r>
      <w:r>
        <w:rPr>
          <w:rFonts w:ascii="Times New Roman" w:hAnsi="Times New Roman" w:cs="Times New Roman"/>
          <w:lang w:val="fr-FR"/>
        </w:rPr>
        <w:t>n-fees-affected-students.html (accessed: 12/10/</w:t>
      </w:r>
      <w:r w:rsidR="00F42862" w:rsidRPr="00A75D4A">
        <w:rPr>
          <w:rFonts w:ascii="Times New Roman" w:hAnsi="Times New Roman" w:cs="Times New Roman"/>
          <w:lang w:val="fr-FR"/>
        </w:rPr>
        <w:t>2015).</w:t>
      </w:r>
    </w:p>
    <w:p w14:paraId="291FC3DE"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096D19ED" w14:textId="6C309DE8" w:rsidR="00F42862" w:rsidRPr="00A75D4A" w:rsidRDefault="00F42862" w:rsidP="003A72E9">
      <w:pPr>
        <w:widowControl w:val="0"/>
        <w:autoSpaceDE w:val="0"/>
        <w:autoSpaceDN w:val="0"/>
        <w:adjustRightInd w:val="0"/>
        <w:spacing w:after="240" w:line="480" w:lineRule="auto"/>
        <w:rPr>
          <w:rFonts w:ascii="Times New Roman" w:hAnsi="Times New Roman" w:cs="Times New Roman"/>
          <w:lang w:val="fr-FR"/>
        </w:rPr>
      </w:pPr>
      <w:r w:rsidRPr="00A75D4A">
        <w:rPr>
          <w:rFonts w:ascii="Times New Roman" w:hAnsi="Times New Roman" w:cs="Times New Roman"/>
          <w:lang w:val="fr-FR"/>
        </w:rPr>
        <w:t>Kanji, G.K. and Tam</w:t>
      </w:r>
      <w:r w:rsidR="00E31D97" w:rsidRPr="00A75D4A">
        <w:rPr>
          <w:rFonts w:ascii="Times New Roman" w:hAnsi="Times New Roman" w:cs="Times New Roman"/>
          <w:lang w:val="fr-FR"/>
        </w:rPr>
        <w:t>bi, M.A. (1999. "</w:t>
      </w:r>
      <w:r w:rsidRPr="00A75D4A">
        <w:rPr>
          <w:rFonts w:ascii="Times New Roman" w:hAnsi="Times New Roman" w:cs="Times New Roman"/>
          <w:lang w:val="fr-FR"/>
        </w:rPr>
        <w:t>Total quality management in U</w:t>
      </w:r>
      <w:r w:rsidR="00E31D97" w:rsidRPr="00A75D4A">
        <w:rPr>
          <w:rFonts w:ascii="Times New Roman" w:hAnsi="Times New Roman" w:cs="Times New Roman"/>
          <w:lang w:val="fr-FR"/>
        </w:rPr>
        <w:t>K higher education institutions"</w:t>
      </w:r>
      <w:r w:rsidRPr="00A75D4A">
        <w:rPr>
          <w:rFonts w:ascii="Times New Roman" w:hAnsi="Times New Roman" w:cs="Times New Roman"/>
          <w:lang w:val="fr-FR"/>
        </w:rPr>
        <w:t xml:space="preserve">, Total Quality Management, Vol. 10 No. 1, pp. 129-53. </w:t>
      </w:r>
    </w:p>
    <w:p w14:paraId="39885C16" w14:textId="221B6D0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Pennell, H. and West, A. (2005)</w:t>
      </w:r>
      <w:r w:rsidR="00E31D97" w:rsidRPr="00A75D4A">
        <w:rPr>
          <w:rFonts w:ascii="Times New Roman" w:hAnsi="Times New Roman" w:cs="Times New Roman"/>
          <w:lang w:val="fr-FR"/>
        </w:rPr>
        <w:t>. "</w:t>
      </w:r>
      <w:r w:rsidRPr="00A75D4A">
        <w:rPr>
          <w:rFonts w:ascii="Times New Roman" w:hAnsi="Times New Roman" w:cs="Times New Roman"/>
          <w:lang w:val="fr-FR"/>
        </w:rPr>
        <w:t>The Impact of Increased Fees on Participation</w:t>
      </w:r>
      <w:r w:rsidR="00E31D97" w:rsidRPr="00A75D4A">
        <w:rPr>
          <w:rFonts w:ascii="Times New Roman" w:hAnsi="Times New Roman" w:cs="Times New Roman"/>
          <w:lang w:val="fr-FR"/>
        </w:rPr>
        <w:t xml:space="preserve"> in Higher Education in England"</w:t>
      </w:r>
      <w:r w:rsidRPr="00A75D4A">
        <w:rPr>
          <w:rFonts w:ascii="Times New Roman" w:hAnsi="Times New Roman" w:cs="Times New Roman"/>
          <w:lang w:val="fr-FR"/>
        </w:rPr>
        <w:t xml:space="preserve">, </w:t>
      </w:r>
      <w:r w:rsidRPr="00A75D4A">
        <w:rPr>
          <w:rFonts w:ascii="Times New Roman" w:hAnsi="Times New Roman" w:cs="Times New Roman"/>
          <w:i/>
          <w:iCs/>
          <w:lang w:val="fr-FR"/>
        </w:rPr>
        <w:t>Higher Education Quarterly</w:t>
      </w:r>
      <w:r w:rsidRPr="00A75D4A">
        <w:rPr>
          <w:rFonts w:ascii="Times New Roman" w:hAnsi="Times New Roman" w:cs="Times New Roman"/>
          <w:lang w:val="fr-FR"/>
        </w:rPr>
        <w:t xml:space="preserve">, 59(2), pp. 127–137. </w:t>
      </w:r>
    </w:p>
    <w:p w14:paraId="3F417A4E"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4DFDD2A9" w14:textId="4B751FE8"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Posner, R.A. (2002)</w:t>
      </w:r>
      <w:r w:rsidR="00E31D97" w:rsidRPr="00A75D4A">
        <w:rPr>
          <w:rFonts w:ascii="Times New Roman" w:hAnsi="Times New Roman" w:cs="Times New Roman"/>
          <w:lang w:val="fr-FR"/>
        </w:rPr>
        <w:t>.</w:t>
      </w:r>
      <w:r w:rsidRPr="00A75D4A">
        <w:rPr>
          <w:rFonts w:ascii="Times New Roman" w:hAnsi="Times New Roman" w:cs="Times New Roman"/>
          <w:lang w:val="fr-FR"/>
        </w:rPr>
        <w:t xml:space="preserve"> </w:t>
      </w:r>
      <w:r w:rsidRPr="00A75D4A">
        <w:rPr>
          <w:rFonts w:ascii="Times New Roman" w:hAnsi="Times New Roman" w:cs="Times New Roman"/>
          <w:i/>
          <w:iCs/>
          <w:lang w:val="fr-FR"/>
        </w:rPr>
        <w:t>The university as business</w:t>
      </w:r>
      <w:r w:rsidRPr="00A75D4A">
        <w:rPr>
          <w:rFonts w:ascii="Times New Roman" w:hAnsi="Times New Roman" w:cs="Times New Roman"/>
          <w:lang w:val="fr-FR"/>
        </w:rPr>
        <w:t>. Available at: http://www.theatlantic.com/magazine/archive/2002/06/the-u</w:t>
      </w:r>
      <w:r w:rsidR="00A16AE5" w:rsidRPr="00A75D4A">
        <w:rPr>
          <w:rFonts w:ascii="Times New Roman" w:hAnsi="Times New Roman" w:cs="Times New Roman"/>
          <w:lang w:val="fr-FR"/>
        </w:rPr>
        <w:t>niversity-as-business/376623/ (accessed: 16/04/</w:t>
      </w:r>
      <w:r w:rsidRPr="00A75D4A">
        <w:rPr>
          <w:rFonts w:ascii="Times New Roman" w:hAnsi="Times New Roman" w:cs="Times New Roman"/>
          <w:lang w:val="fr-FR"/>
        </w:rPr>
        <w:t>2016).</w:t>
      </w:r>
    </w:p>
    <w:p w14:paraId="1D876C72"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6F581D17" w14:textId="23C689D2"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Snare, C.E. (1997)</w:t>
      </w:r>
      <w:r w:rsidR="00E31D97" w:rsidRPr="00A75D4A">
        <w:rPr>
          <w:rFonts w:ascii="Times New Roman" w:hAnsi="Times New Roman" w:cs="Times New Roman"/>
          <w:lang w:val="fr-FR"/>
        </w:rPr>
        <w:t>. "</w:t>
      </w:r>
      <w:r w:rsidRPr="00A75D4A">
        <w:rPr>
          <w:rFonts w:ascii="Times New Roman" w:hAnsi="Times New Roman" w:cs="Times New Roman"/>
          <w:lang w:val="fr-FR"/>
        </w:rPr>
        <w:t>Implications of co</w:t>
      </w:r>
      <w:r w:rsidR="00E31D97" w:rsidRPr="00A75D4A">
        <w:rPr>
          <w:rFonts w:ascii="Times New Roman" w:hAnsi="Times New Roman" w:cs="Times New Roman"/>
          <w:lang w:val="fr-FR"/>
        </w:rPr>
        <w:t>nsidering students as consumers"</w:t>
      </w:r>
      <w:r w:rsidRPr="00A75D4A">
        <w:rPr>
          <w:rFonts w:ascii="Times New Roman" w:hAnsi="Times New Roman" w:cs="Times New Roman"/>
          <w:lang w:val="fr-FR"/>
        </w:rPr>
        <w:t xml:space="preserve">, </w:t>
      </w:r>
      <w:r w:rsidRPr="00A75D4A">
        <w:rPr>
          <w:rFonts w:ascii="Times New Roman" w:hAnsi="Times New Roman" w:cs="Times New Roman"/>
          <w:i/>
          <w:iCs/>
          <w:lang w:val="fr-FR"/>
        </w:rPr>
        <w:t>College Teaching</w:t>
      </w:r>
      <w:r w:rsidRPr="00A75D4A">
        <w:rPr>
          <w:rFonts w:ascii="Times New Roman" w:hAnsi="Times New Roman" w:cs="Times New Roman"/>
          <w:lang w:val="fr-FR"/>
        </w:rPr>
        <w:t>, 45(4), pp. 122–122.</w:t>
      </w:r>
    </w:p>
    <w:p w14:paraId="2260E6BB"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7A8052A5" w14:textId="5497F370"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Soo, K.T. and Elliott, C. (2010)</w:t>
      </w:r>
      <w:r w:rsidR="00A16AE5" w:rsidRPr="00A75D4A">
        <w:rPr>
          <w:rFonts w:ascii="Times New Roman" w:hAnsi="Times New Roman" w:cs="Times New Roman"/>
          <w:lang w:val="fr-FR"/>
        </w:rPr>
        <w:t>. "</w:t>
      </w:r>
      <w:r w:rsidRPr="00A75D4A">
        <w:rPr>
          <w:rFonts w:ascii="Times New Roman" w:hAnsi="Times New Roman" w:cs="Times New Roman"/>
          <w:lang w:val="fr-FR"/>
        </w:rPr>
        <w:t xml:space="preserve">Does price matter? Overseas </w:t>
      </w:r>
      <w:r w:rsidR="00A16AE5" w:rsidRPr="00A75D4A">
        <w:rPr>
          <w:rFonts w:ascii="Times New Roman" w:hAnsi="Times New Roman" w:cs="Times New Roman"/>
          <w:lang w:val="fr-FR"/>
        </w:rPr>
        <w:t>students in UK higher education"</w:t>
      </w:r>
      <w:r w:rsidRPr="00A75D4A">
        <w:rPr>
          <w:rFonts w:ascii="Times New Roman" w:hAnsi="Times New Roman" w:cs="Times New Roman"/>
          <w:lang w:val="fr-FR"/>
        </w:rPr>
        <w:t xml:space="preserve">, </w:t>
      </w:r>
      <w:r w:rsidRPr="00A75D4A">
        <w:rPr>
          <w:rFonts w:ascii="Times New Roman" w:hAnsi="Times New Roman" w:cs="Times New Roman"/>
          <w:i/>
          <w:iCs/>
          <w:lang w:val="fr-FR"/>
        </w:rPr>
        <w:t>Economics of Education Review</w:t>
      </w:r>
      <w:r w:rsidRPr="00A75D4A">
        <w:rPr>
          <w:rFonts w:ascii="Times New Roman" w:hAnsi="Times New Roman" w:cs="Times New Roman"/>
          <w:lang w:val="fr-FR"/>
        </w:rPr>
        <w:t>, 29(4), pp. 553–565.</w:t>
      </w:r>
    </w:p>
    <w:p w14:paraId="4F815727" w14:textId="77777777" w:rsidR="008F5AAE" w:rsidRDefault="008F5AAE" w:rsidP="003A72E9">
      <w:pPr>
        <w:widowControl w:val="0"/>
        <w:autoSpaceDE w:val="0"/>
        <w:autoSpaceDN w:val="0"/>
        <w:adjustRightInd w:val="0"/>
        <w:spacing w:line="480" w:lineRule="auto"/>
        <w:rPr>
          <w:rFonts w:ascii="Times New Roman" w:hAnsi="Times New Roman" w:cs="Times New Roman"/>
          <w:lang w:val="fr-FR"/>
        </w:rPr>
      </w:pPr>
    </w:p>
    <w:p w14:paraId="1CC0FE56" w14:textId="0EEDAFE3" w:rsidR="008F5AAE" w:rsidRPr="008F5AAE" w:rsidRDefault="008F5AAE" w:rsidP="003A72E9">
      <w:pPr>
        <w:widowControl w:val="0"/>
        <w:autoSpaceDE w:val="0"/>
        <w:autoSpaceDN w:val="0"/>
        <w:adjustRightInd w:val="0"/>
        <w:spacing w:line="480" w:lineRule="auto"/>
        <w:rPr>
          <w:rFonts w:ascii="Times New Roman" w:hAnsi="Times New Roman" w:cs="Times New Roman"/>
          <w:lang w:val="fr-FR"/>
        </w:rPr>
      </w:pPr>
      <w:r w:rsidRPr="008F5AAE">
        <w:rPr>
          <w:rFonts w:ascii="Times New Roman" w:hAnsi="Times New Roman" w:cs="Times New Roman"/>
          <w:lang w:val="fr-FR"/>
        </w:rPr>
        <w:t xml:space="preserve">Student Finance England (2016). </w:t>
      </w:r>
      <w:r w:rsidRPr="008F5AAE">
        <w:rPr>
          <w:rFonts w:ascii="Times New Roman" w:hAnsi="Times New Roman" w:cs="Times New Roman"/>
          <w:i/>
          <w:iCs/>
          <w:lang w:val="fr-FR"/>
        </w:rPr>
        <w:t>Student loans - a guide to terms and conditions</w:t>
      </w:r>
      <w:r w:rsidRPr="008F5AAE">
        <w:rPr>
          <w:rFonts w:ascii="Times New Roman" w:hAnsi="Times New Roman" w:cs="Times New Roman"/>
          <w:lang w:val="fr-FR"/>
        </w:rPr>
        <w:t>. Available at: https://www.saas.gov.uk/_f</w:t>
      </w:r>
      <w:r>
        <w:rPr>
          <w:rFonts w:ascii="Times New Roman" w:hAnsi="Times New Roman" w:cs="Times New Roman"/>
          <w:lang w:val="fr-FR"/>
        </w:rPr>
        <w:t>orms/slc_terms_conditions.pdf (accessed: 24/04/</w:t>
      </w:r>
      <w:r w:rsidRPr="008F5AAE">
        <w:rPr>
          <w:rFonts w:ascii="Times New Roman" w:hAnsi="Times New Roman" w:cs="Times New Roman"/>
          <w:lang w:val="fr-FR"/>
        </w:rPr>
        <w:t>2016).</w:t>
      </w:r>
    </w:p>
    <w:p w14:paraId="50B6F129" w14:textId="77777777" w:rsidR="008F5AAE" w:rsidRPr="00A75D4A" w:rsidRDefault="008F5AAE" w:rsidP="003A72E9">
      <w:pPr>
        <w:widowControl w:val="0"/>
        <w:autoSpaceDE w:val="0"/>
        <w:autoSpaceDN w:val="0"/>
        <w:adjustRightInd w:val="0"/>
        <w:spacing w:line="480" w:lineRule="auto"/>
        <w:rPr>
          <w:rFonts w:ascii="Times New Roman" w:hAnsi="Times New Roman" w:cs="Times New Roman"/>
          <w:lang w:val="fr-FR"/>
        </w:rPr>
      </w:pPr>
    </w:p>
    <w:p w14:paraId="2ADE2EEB" w14:textId="177CD8FD"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Svensson, G. and Wood, G. (2007)</w:t>
      </w:r>
      <w:r w:rsidR="00A16AE5" w:rsidRPr="00A75D4A">
        <w:rPr>
          <w:rFonts w:ascii="Times New Roman" w:hAnsi="Times New Roman" w:cs="Times New Roman"/>
          <w:lang w:val="fr-FR"/>
        </w:rPr>
        <w:t>. "</w:t>
      </w:r>
      <w:r w:rsidRPr="00A75D4A">
        <w:rPr>
          <w:rFonts w:ascii="Times New Roman" w:hAnsi="Times New Roman" w:cs="Times New Roman"/>
          <w:lang w:val="fr-FR"/>
        </w:rPr>
        <w:t>Are university students really customers? When illusio</w:t>
      </w:r>
      <w:r w:rsidR="00A16AE5" w:rsidRPr="00A75D4A">
        <w:rPr>
          <w:rFonts w:ascii="Times New Roman" w:hAnsi="Times New Roman" w:cs="Times New Roman"/>
          <w:lang w:val="fr-FR"/>
        </w:rPr>
        <w:t>n may lead to delusion for all!"</w:t>
      </w:r>
      <w:r w:rsidRPr="00A75D4A">
        <w:rPr>
          <w:rFonts w:ascii="Times New Roman" w:hAnsi="Times New Roman" w:cs="Times New Roman"/>
          <w:lang w:val="fr-FR"/>
        </w:rPr>
        <w:t xml:space="preserve">, </w:t>
      </w:r>
      <w:r w:rsidRPr="00A75D4A">
        <w:rPr>
          <w:rFonts w:ascii="Times New Roman" w:hAnsi="Times New Roman" w:cs="Times New Roman"/>
          <w:i/>
          <w:iCs/>
          <w:lang w:val="fr-FR"/>
        </w:rPr>
        <w:t>International Journal of Educational Management</w:t>
      </w:r>
      <w:r w:rsidRPr="00A75D4A">
        <w:rPr>
          <w:rFonts w:ascii="Times New Roman" w:hAnsi="Times New Roman" w:cs="Times New Roman"/>
          <w:lang w:val="fr-FR"/>
        </w:rPr>
        <w:t>, 21(1), pp. 17–28.</w:t>
      </w:r>
    </w:p>
    <w:p w14:paraId="28BAA711"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1BA80BC6" w14:textId="513371E0"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Vasagar, J. (2014)</w:t>
      </w:r>
      <w:r w:rsidR="00A16AE5" w:rsidRPr="00A75D4A">
        <w:rPr>
          <w:rFonts w:ascii="Times New Roman" w:hAnsi="Times New Roman" w:cs="Times New Roman"/>
          <w:lang w:val="fr-FR"/>
        </w:rPr>
        <w:t>.</w:t>
      </w:r>
      <w:r w:rsidRPr="00A75D4A">
        <w:rPr>
          <w:rFonts w:ascii="Times New Roman" w:hAnsi="Times New Roman" w:cs="Times New Roman"/>
          <w:lang w:val="fr-FR"/>
        </w:rPr>
        <w:t xml:space="preserve"> </w:t>
      </w:r>
      <w:r w:rsidRPr="00A75D4A">
        <w:rPr>
          <w:rFonts w:ascii="Times New Roman" w:hAnsi="Times New Roman" w:cs="Times New Roman"/>
          <w:i/>
          <w:iCs/>
          <w:lang w:val="fr-FR"/>
        </w:rPr>
        <w:t>Tuition fees increase led to 15,000 fewer applicants</w:t>
      </w:r>
      <w:r w:rsidRPr="00A75D4A">
        <w:rPr>
          <w:rFonts w:ascii="Times New Roman" w:hAnsi="Times New Roman" w:cs="Times New Roman"/>
          <w:lang w:val="fr-FR"/>
        </w:rPr>
        <w:t>. Available at: http://www.theguardian.com/education/2012/aug/09/tuition-fees-i</w:t>
      </w:r>
      <w:r w:rsidR="00A16AE5" w:rsidRPr="00A75D4A">
        <w:rPr>
          <w:rFonts w:ascii="Times New Roman" w:hAnsi="Times New Roman" w:cs="Times New Roman"/>
          <w:lang w:val="fr-FR"/>
        </w:rPr>
        <w:t>ncrease-15000-less-applicants (a</w:t>
      </w:r>
      <w:r w:rsidRPr="00A75D4A">
        <w:rPr>
          <w:rFonts w:ascii="Times New Roman" w:hAnsi="Times New Roman" w:cs="Times New Roman"/>
          <w:lang w:val="fr-FR"/>
        </w:rPr>
        <w:t>ccessed:</w:t>
      </w:r>
      <w:r w:rsidR="00A16AE5" w:rsidRPr="00A75D4A">
        <w:rPr>
          <w:rFonts w:ascii="Times New Roman" w:hAnsi="Times New Roman" w:cs="Times New Roman"/>
          <w:lang w:val="fr-FR"/>
        </w:rPr>
        <w:t xml:space="preserve"> 12/10/</w:t>
      </w:r>
      <w:r w:rsidRPr="00A75D4A">
        <w:rPr>
          <w:rFonts w:ascii="Times New Roman" w:hAnsi="Times New Roman" w:cs="Times New Roman"/>
          <w:lang w:val="fr-FR"/>
        </w:rPr>
        <w:t>2015).</w:t>
      </w:r>
    </w:p>
    <w:p w14:paraId="18D8612E"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4014E8AB" w14:textId="294B893F"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Wakeling, P. and Jefferies, K. (2012)</w:t>
      </w:r>
      <w:r w:rsidR="00A16AE5" w:rsidRPr="00A75D4A">
        <w:rPr>
          <w:rFonts w:ascii="Times New Roman" w:hAnsi="Times New Roman" w:cs="Times New Roman"/>
          <w:lang w:val="fr-FR"/>
        </w:rPr>
        <w:t>. "</w:t>
      </w:r>
      <w:r w:rsidRPr="00A75D4A">
        <w:rPr>
          <w:rFonts w:ascii="Times New Roman" w:hAnsi="Times New Roman" w:cs="Times New Roman"/>
          <w:lang w:val="fr-FR"/>
        </w:rPr>
        <w:t xml:space="preserve">The effect of tuition fees on student mobility: the UK and </w:t>
      </w:r>
      <w:r w:rsidR="00A16AE5" w:rsidRPr="00A75D4A">
        <w:rPr>
          <w:rFonts w:ascii="Times New Roman" w:hAnsi="Times New Roman" w:cs="Times New Roman"/>
          <w:lang w:val="fr-FR"/>
        </w:rPr>
        <w:t>Ireland as a natural experiment"</w:t>
      </w:r>
      <w:r w:rsidRPr="00A75D4A">
        <w:rPr>
          <w:rFonts w:ascii="Times New Roman" w:hAnsi="Times New Roman" w:cs="Times New Roman"/>
          <w:lang w:val="fr-FR"/>
        </w:rPr>
        <w:t xml:space="preserve">, </w:t>
      </w:r>
      <w:r w:rsidRPr="00A75D4A">
        <w:rPr>
          <w:rFonts w:ascii="Times New Roman" w:hAnsi="Times New Roman" w:cs="Times New Roman"/>
          <w:i/>
          <w:iCs/>
          <w:lang w:val="fr-FR"/>
        </w:rPr>
        <w:t>British Educational Research Journal</w:t>
      </w:r>
      <w:r w:rsidR="0010589F">
        <w:rPr>
          <w:rFonts w:ascii="Times New Roman" w:hAnsi="Times New Roman" w:cs="Times New Roman"/>
          <w:lang w:val="fr-FR"/>
        </w:rPr>
        <w:t xml:space="preserve">, </w:t>
      </w:r>
      <w:r w:rsidRPr="00A75D4A">
        <w:rPr>
          <w:rFonts w:ascii="Times New Roman" w:hAnsi="Times New Roman" w:cs="Times New Roman"/>
          <w:lang w:val="fr-FR"/>
        </w:rPr>
        <w:t>pp. 1–23.</w:t>
      </w:r>
    </w:p>
    <w:p w14:paraId="7D2EC27B"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05E7EB23" w14:textId="507CDE9E" w:rsidR="00F42862" w:rsidRPr="00A75D4A" w:rsidRDefault="00A16AE5"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Watjatrakul, B. (2014). "</w:t>
      </w:r>
      <w:r w:rsidR="00F42862" w:rsidRPr="00A75D4A">
        <w:rPr>
          <w:rFonts w:ascii="Times New Roman" w:hAnsi="Times New Roman" w:cs="Times New Roman"/>
          <w:lang w:val="fr-FR"/>
        </w:rPr>
        <w:t>Factors affecting students’ intentions to study at universities adopting th</w:t>
      </w:r>
      <w:r w:rsidRPr="00A75D4A">
        <w:rPr>
          <w:rFonts w:ascii="Times New Roman" w:hAnsi="Times New Roman" w:cs="Times New Roman"/>
          <w:lang w:val="fr-FR"/>
        </w:rPr>
        <w:t>e “student-as-customer” concept"</w:t>
      </w:r>
      <w:r w:rsidR="00F42862" w:rsidRPr="00A75D4A">
        <w:rPr>
          <w:rFonts w:ascii="Times New Roman" w:hAnsi="Times New Roman" w:cs="Times New Roman"/>
          <w:lang w:val="fr-FR"/>
        </w:rPr>
        <w:t xml:space="preserve">, </w:t>
      </w:r>
      <w:r w:rsidR="00F42862" w:rsidRPr="00A75D4A">
        <w:rPr>
          <w:rFonts w:ascii="Times New Roman" w:hAnsi="Times New Roman" w:cs="Times New Roman"/>
          <w:i/>
          <w:iCs/>
          <w:lang w:val="fr-FR"/>
        </w:rPr>
        <w:t>International Journal of Educational Management</w:t>
      </w:r>
      <w:r w:rsidR="00F42862" w:rsidRPr="00A75D4A">
        <w:rPr>
          <w:rFonts w:ascii="Times New Roman" w:hAnsi="Times New Roman" w:cs="Times New Roman"/>
          <w:lang w:val="fr-FR"/>
        </w:rPr>
        <w:t>, 28(6), pp. 676–693.</w:t>
      </w:r>
    </w:p>
    <w:p w14:paraId="2D345A55"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4C7A46B2" w14:textId="278B1D81"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Wilkins, S., Shams, F. and Huisman, J. (2013)</w:t>
      </w:r>
      <w:r w:rsidR="00A16AE5" w:rsidRPr="00A75D4A">
        <w:rPr>
          <w:rFonts w:ascii="Times New Roman" w:hAnsi="Times New Roman" w:cs="Times New Roman"/>
          <w:lang w:val="fr-FR"/>
        </w:rPr>
        <w:t>. "</w:t>
      </w:r>
      <w:r w:rsidRPr="00A75D4A">
        <w:rPr>
          <w:rFonts w:ascii="Times New Roman" w:hAnsi="Times New Roman" w:cs="Times New Roman"/>
          <w:lang w:val="fr-FR"/>
        </w:rPr>
        <w:t>The decision-making and changing behavioural dynamics of potential higher education students: the impacts of inc</w:t>
      </w:r>
      <w:r w:rsidR="00A16AE5" w:rsidRPr="00A75D4A">
        <w:rPr>
          <w:rFonts w:ascii="Times New Roman" w:hAnsi="Times New Roman" w:cs="Times New Roman"/>
          <w:lang w:val="fr-FR"/>
        </w:rPr>
        <w:t>reasing tuition fees in England"</w:t>
      </w:r>
      <w:r w:rsidRPr="00A75D4A">
        <w:rPr>
          <w:rFonts w:ascii="Times New Roman" w:hAnsi="Times New Roman" w:cs="Times New Roman"/>
          <w:lang w:val="fr-FR"/>
        </w:rPr>
        <w:t xml:space="preserve">, </w:t>
      </w:r>
      <w:r w:rsidRPr="00A75D4A">
        <w:rPr>
          <w:rFonts w:ascii="Times New Roman" w:hAnsi="Times New Roman" w:cs="Times New Roman"/>
          <w:i/>
          <w:iCs/>
          <w:lang w:val="fr-FR"/>
        </w:rPr>
        <w:t>Educational Studies</w:t>
      </w:r>
      <w:r w:rsidRPr="00A75D4A">
        <w:rPr>
          <w:rFonts w:ascii="Times New Roman" w:hAnsi="Times New Roman" w:cs="Times New Roman"/>
          <w:lang w:val="fr-FR"/>
        </w:rPr>
        <w:t>, 39(2), pp. 125–141.</w:t>
      </w:r>
    </w:p>
    <w:p w14:paraId="09F6F003" w14:textId="77777777"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p>
    <w:p w14:paraId="6162524B" w14:textId="2A028B58" w:rsidR="00F42862" w:rsidRPr="00A75D4A" w:rsidRDefault="00F42862" w:rsidP="003A72E9">
      <w:pPr>
        <w:widowControl w:val="0"/>
        <w:autoSpaceDE w:val="0"/>
        <w:autoSpaceDN w:val="0"/>
        <w:adjustRightInd w:val="0"/>
        <w:spacing w:line="480" w:lineRule="auto"/>
        <w:rPr>
          <w:rFonts w:ascii="Times New Roman" w:hAnsi="Times New Roman" w:cs="Times New Roman"/>
          <w:lang w:val="fr-FR"/>
        </w:rPr>
      </w:pPr>
      <w:r w:rsidRPr="00A75D4A">
        <w:rPr>
          <w:rFonts w:ascii="Times New Roman" w:hAnsi="Times New Roman" w:cs="Times New Roman"/>
          <w:lang w:val="fr-FR"/>
        </w:rPr>
        <w:t>Woodall, T., Hiller, A. and Resnick, S. (2012)</w:t>
      </w:r>
      <w:r w:rsidR="00A16AE5" w:rsidRPr="00A75D4A">
        <w:rPr>
          <w:rFonts w:ascii="Times New Roman" w:hAnsi="Times New Roman" w:cs="Times New Roman"/>
          <w:lang w:val="fr-FR"/>
        </w:rPr>
        <w:t>. "</w:t>
      </w:r>
      <w:r w:rsidRPr="00A75D4A">
        <w:rPr>
          <w:rFonts w:ascii="Times New Roman" w:hAnsi="Times New Roman" w:cs="Times New Roman"/>
          <w:lang w:val="fr-FR"/>
        </w:rPr>
        <w:t>Making sense of higher education: Students as consumers and the value of the un</w:t>
      </w:r>
      <w:r w:rsidR="00A16AE5" w:rsidRPr="00A75D4A">
        <w:rPr>
          <w:rFonts w:ascii="Times New Roman" w:hAnsi="Times New Roman" w:cs="Times New Roman"/>
          <w:lang w:val="fr-FR"/>
        </w:rPr>
        <w:t>iversity experience"</w:t>
      </w:r>
      <w:r w:rsidRPr="00A75D4A">
        <w:rPr>
          <w:rFonts w:ascii="Times New Roman" w:hAnsi="Times New Roman" w:cs="Times New Roman"/>
          <w:lang w:val="fr-FR"/>
        </w:rPr>
        <w:t xml:space="preserve">, </w:t>
      </w:r>
      <w:r w:rsidRPr="00A75D4A">
        <w:rPr>
          <w:rFonts w:ascii="Times New Roman" w:hAnsi="Times New Roman" w:cs="Times New Roman"/>
          <w:i/>
          <w:iCs/>
          <w:lang w:val="fr-FR"/>
        </w:rPr>
        <w:t>Studies in Higher Education</w:t>
      </w:r>
      <w:r w:rsidRPr="00A75D4A">
        <w:rPr>
          <w:rFonts w:ascii="Times New Roman" w:hAnsi="Times New Roman" w:cs="Times New Roman"/>
          <w:lang w:val="fr-FR"/>
        </w:rPr>
        <w:t xml:space="preserve">, 39(1), pp. 48–67. </w:t>
      </w:r>
    </w:p>
    <w:p w14:paraId="13FBF1B9" w14:textId="77777777" w:rsidR="00F42862" w:rsidRPr="005F76E5" w:rsidRDefault="00F42862" w:rsidP="003A72E9">
      <w:pPr>
        <w:widowControl w:val="0"/>
        <w:autoSpaceDE w:val="0"/>
        <w:autoSpaceDN w:val="0"/>
        <w:adjustRightInd w:val="0"/>
        <w:spacing w:after="240" w:line="480" w:lineRule="auto"/>
        <w:rPr>
          <w:rFonts w:ascii="Times" w:hAnsi="Times" w:cs="Times"/>
          <w:lang w:val="fr-FR"/>
        </w:rPr>
      </w:pPr>
    </w:p>
    <w:p w14:paraId="18FAC2B0" w14:textId="77777777" w:rsidR="002367B3" w:rsidRPr="008C117C" w:rsidRDefault="002367B3" w:rsidP="00D478DA">
      <w:pPr>
        <w:jc w:val="both"/>
        <w:rPr>
          <w:rFonts w:ascii="Times New Roman" w:hAnsi="Times New Roman" w:cs="Times New Roman"/>
        </w:rPr>
      </w:pPr>
    </w:p>
    <w:sectPr w:rsidR="002367B3" w:rsidRPr="008C117C" w:rsidSect="004E219A">
      <w:headerReference w:type="even" r:id="rId14"/>
      <w:headerReference w:type="default" r:id="rId15"/>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9773" w14:textId="77777777" w:rsidR="0044218C" w:rsidRDefault="0044218C" w:rsidP="00EB769A">
      <w:r>
        <w:separator/>
      </w:r>
    </w:p>
  </w:endnote>
  <w:endnote w:type="continuationSeparator" w:id="0">
    <w:p w14:paraId="6E3A3392" w14:textId="77777777" w:rsidR="0044218C" w:rsidRDefault="0044218C" w:rsidP="00E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3F50" w14:textId="77777777" w:rsidR="0046269C" w:rsidRDefault="0046269C" w:rsidP="002E3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3AD97" w14:textId="77777777" w:rsidR="0046269C" w:rsidRDefault="0046269C" w:rsidP="002E3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B6ED" w14:textId="77777777" w:rsidR="0046269C" w:rsidRDefault="0046269C" w:rsidP="002E3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2A9">
      <w:rPr>
        <w:rStyle w:val="PageNumber"/>
        <w:noProof/>
      </w:rPr>
      <w:t>2</w:t>
    </w:r>
    <w:r>
      <w:rPr>
        <w:rStyle w:val="PageNumber"/>
      </w:rPr>
      <w:fldChar w:fldCharType="end"/>
    </w:r>
  </w:p>
  <w:p w14:paraId="5C2D2B5F" w14:textId="77777777" w:rsidR="0046269C" w:rsidRDefault="0046269C" w:rsidP="002E3F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A316" w14:textId="77777777" w:rsidR="0044218C" w:rsidRDefault="0044218C" w:rsidP="00EB769A">
      <w:r>
        <w:separator/>
      </w:r>
    </w:p>
  </w:footnote>
  <w:footnote w:type="continuationSeparator" w:id="0">
    <w:p w14:paraId="76DFBB27" w14:textId="77777777" w:rsidR="0044218C" w:rsidRDefault="0044218C" w:rsidP="00EB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BD4B" w14:textId="77777777" w:rsidR="0046269C" w:rsidRDefault="0044218C">
    <w:pPr>
      <w:pStyle w:val="Header"/>
    </w:pPr>
    <w:sdt>
      <w:sdtPr>
        <w:id w:val="171999623"/>
        <w:placeholder>
          <w:docPart w:val="C0FEBBD3E9F47A43A7A8D2C46D699FA4"/>
        </w:placeholder>
        <w:temporary/>
        <w:showingPlcHdr/>
      </w:sdtPr>
      <w:sdtEndPr/>
      <w:sdtContent>
        <w:r w:rsidR="0046269C">
          <w:rPr>
            <w:lang w:val="fr-FR"/>
          </w:rPr>
          <w:t>[Tapez le texte]</w:t>
        </w:r>
      </w:sdtContent>
    </w:sdt>
    <w:r w:rsidR="0046269C">
      <w:ptab w:relativeTo="margin" w:alignment="center" w:leader="none"/>
    </w:r>
    <w:sdt>
      <w:sdtPr>
        <w:id w:val="171999624"/>
        <w:placeholder>
          <w:docPart w:val="28497DEA3A575449A95C6083274DEA4A"/>
        </w:placeholder>
        <w:temporary/>
        <w:showingPlcHdr/>
      </w:sdtPr>
      <w:sdtEndPr/>
      <w:sdtContent>
        <w:r w:rsidR="0046269C">
          <w:rPr>
            <w:lang w:val="fr-FR"/>
          </w:rPr>
          <w:t>[Tapez le texte]</w:t>
        </w:r>
      </w:sdtContent>
    </w:sdt>
    <w:r w:rsidR="0046269C">
      <w:ptab w:relativeTo="margin" w:alignment="right" w:leader="none"/>
    </w:r>
    <w:sdt>
      <w:sdtPr>
        <w:id w:val="171999625"/>
        <w:placeholder>
          <w:docPart w:val="7352C5B7DDC0514D916A5E2569DD47CB"/>
        </w:placeholder>
        <w:temporary/>
        <w:showingPlcHdr/>
      </w:sdtPr>
      <w:sdtEndPr/>
      <w:sdtContent>
        <w:r w:rsidR="0046269C">
          <w:rPr>
            <w:lang w:val="fr-FR"/>
          </w:rPr>
          <w:t>[Tapez le texte]</w:t>
        </w:r>
      </w:sdtContent>
    </w:sdt>
  </w:p>
  <w:p w14:paraId="2FE09DB2" w14:textId="77777777" w:rsidR="0046269C" w:rsidRDefault="00462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5C055" w14:textId="77777777" w:rsidR="0046269C" w:rsidRPr="004E5F8E" w:rsidRDefault="0046269C">
    <w:pPr>
      <w:pStyle w:val="Header"/>
      <w:rPr>
        <w:sz w:val="28"/>
        <w:szCs w:val="28"/>
      </w:rPr>
    </w:pPr>
    <w:r w:rsidRPr="004E5F8E">
      <w:rPr>
        <w:sz w:val="28"/>
        <w:szCs w:val="28"/>
      </w:rPr>
      <w:t>POLI20900</w:t>
    </w:r>
    <w:r w:rsidRPr="004E5F8E">
      <w:rPr>
        <w:sz w:val="28"/>
        <w:szCs w:val="28"/>
      </w:rPr>
      <w:ptab w:relativeTo="margin" w:alignment="center" w:leader="none"/>
    </w:r>
    <w:r w:rsidRPr="004E5F8E">
      <w:rPr>
        <w:sz w:val="28"/>
        <w:szCs w:val="28"/>
      </w:rPr>
      <w:ptab w:relativeTo="margin" w:alignment="right" w:leader="none"/>
    </w:r>
    <w:r w:rsidRPr="004E5F8E">
      <w:rPr>
        <w:sz w:val="28"/>
        <w:szCs w:val="28"/>
      </w:rPr>
      <w:t>9412915</w:t>
    </w:r>
  </w:p>
  <w:p w14:paraId="4BF05EF6" w14:textId="77777777" w:rsidR="0046269C" w:rsidRDefault="00462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02D"/>
    <w:multiLevelType w:val="hybridMultilevel"/>
    <w:tmpl w:val="17B49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A0B32"/>
    <w:multiLevelType w:val="hybridMultilevel"/>
    <w:tmpl w:val="76A28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C281D"/>
    <w:multiLevelType w:val="hybridMultilevel"/>
    <w:tmpl w:val="0AE2E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7D1E1D"/>
    <w:multiLevelType w:val="hybridMultilevel"/>
    <w:tmpl w:val="7108B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0124E5"/>
    <w:multiLevelType w:val="hybridMultilevel"/>
    <w:tmpl w:val="0CBA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C93466"/>
    <w:multiLevelType w:val="hybridMultilevel"/>
    <w:tmpl w:val="C3147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930836"/>
    <w:multiLevelType w:val="hybridMultilevel"/>
    <w:tmpl w:val="89702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3D47E6"/>
    <w:multiLevelType w:val="hybridMultilevel"/>
    <w:tmpl w:val="28DA8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1D40F3"/>
    <w:multiLevelType w:val="hybridMultilevel"/>
    <w:tmpl w:val="8EE6A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93247F"/>
    <w:multiLevelType w:val="hybridMultilevel"/>
    <w:tmpl w:val="8F903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62605E"/>
    <w:multiLevelType w:val="hybridMultilevel"/>
    <w:tmpl w:val="4D36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4"/>
  </w:num>
  <w:num w:numId="6">
    <w:abstractNumId w:val="2"/>
  </w:num>
  <w:num w:numId="7">
    <w:abstractNumId w:val="0"/>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9A"/>
    <w:rsid w:val="0001012F"/>
    <w:rsid w:val="0001135C"/>
    <w:rsid w:val="00013987"/>
    <w:rsid w:val="00020873"/>
    <w:rsid w:val="00020A36"/>
    <w:rsid w:val="000406C5"/>
    <w:rsid w:val="00043209"/>
    <w:rsid w:val="00045594"/>
    <w:rsid w:val="0004761C"/>
    <w:rsid w:val="00055138"/>
    <w:rsid w:val="00056499"/>
    <w:rsid w:val="00057B62"/>
    <w:rsid w:val="00063DE4"/>
    <w:rsid w:val="00065A56"/>
    <w:rsid w:val="00070EF9"/>
    <w:rsid w:val="00070F50"/>
    <w:rsid w:val="00071797"/>
    <w:rsid w:val="00071B1A"/>
    <w:rsid w:val="00071BCE"/>
    <w:rsid w:val="000720DF"/>
    <w:rsid w:val="00072558"/>
    <w:rsid w:val="00072997"/>
    <w:rsid w:val="00072D0A"/>
    <w:rsid w:val="00073FFB"/>
    <w:rsid w:val="00074436"/>
    <w:rsid w:val="00077A78"/>
    <w:rsid w:val="0008436B"/>
    <w:rsid w:val="00084F12"/>
    <w:rsid w:val="00085E5C"/>
    <w:rsid w:val="0008665D"/>
    <w:rsid w:val="0009185E"/>
    <w:rsid w:val="00092ECF"/>
    <w:rsid w:val="0009301C"/>
    <w:rsid w:val="000931EA"/>
    <w:rsid w:val="00095BF4"/>
    <w:rsid w:val="00096071"/>
    <w:rsid w:val="00096706"/>
    <w:rsid w:val="000A0362"/>
    <w:rsid w:val="000A1700"/>
    <w:rsid w:val="000A5B3C"/>
    <w:rsid w:val="000A69A8"/>
    <w:rsid w:val="000A706F"/>
    <w:rsid w:val="000B340D"/>
    <w:rsid w:val="000B4718"/>
    <w:rsid w:val="000B6520"/>
    <w:rsid w:val="000C3002"/>
    <w:rsid w:val="000C4A9A"/>
    <w:rsid w:val="000D16BD"/>
    <w:rsid w:val="000D4B70"/>
    <w:rsid w:val="000E197F"/>
    <w:rsid w:val="000E519C"/>
    <w:rsid w:val="000E53FC"/>
    <w:rsid w:val="000E5F6E"/>
    <w:rsid w:val="000E6890"/>
    <w:rsid w:val="000E7347"/>
    <w:rsid w:val="000E7406"/>
    <w:rsid w:val="000F1AFA"/>
    <w:rsid w:val="000F240A"/>
    <w:rsid w:val="000F5111"/>
    <w:rsid w:val="00101F7F"/>
    <w:rsid w:val="00104150"/>
    <w:rsid w:val="0010443E"/>
    <w:rsid w:val="0010589F"/>
    <w:rsid w:val="00111465"/>
    <w:rsid w:val="00111EB8"/>
    <w:rsid w:val="00111F1A"/>
    <w:rsid w:val="001132AE"/>
    <w:rsid w:val="0011636D"/>
    <w:rsid w:val="001164FD"/>
    <w:rsid w:val="001210C3"/>
    <w:rsid w:val="001270BE"/>
    <w:rsid w:val="00134A19"/>
    <w:rsid w:val="00134E13"/>
    <w:rsid w:val="00134F4D"/>
    <w:rsid w:val="001406C5"/>
    <w:rsid w:val="00142608"/>
    <w:rsid w:val="001431D8"/>
    <w:rsid w:val="0014755D"/>
    <w:rsid w:val="00147BD1"/>
    <w:rsid w:val="00156367"/>
    <w:rsid w:val="001574F7"/>
    <w:rsid w:val="001600AC"/>
    <w:rsid w:val="00162AC2"/>
    <w:rsid w:val="0016597A"/>
    <w:rsid w:val="001709AF"/>
    <w:rsid w:val="0017232A"/>
    <w:rsid w:val="00172E8B"/>
    <w:rsid w:val="0018279A"/>
    <w:rsid w:val="00184E5B"/>
    <w:rsid w:val="001913C7"/>
    <w:rsid w:val="00191F96"/>
    <w:rsid w:val="00197D84"/>
    <w:rsid w:val="001A0B24"/>
    <w:rsid w:val="001A4698"/>
    <w:rsid w:val="001A54CE"/>
    <w:rsid w:val="001A6ACC"/>
    <w:rsid w:val="001B0F99"/>
    <w:rsid w:val="001B47F3"/>
    <w:rsid w:val="001B4B21"/>
    <w:rsid w:val="001B55C8"/>
    <w:rsid w:val="001B6610"/>
    <w:rsid w:val="001B6FC3"/>
    <w:rsid w:val="001B712B"/>
    <w:rsid w:val="001B7B76"/>
    <w:rsid w:val="001C0997"/>
    <w:rsid w:val="001C1B29"/>
    <w:rsid w:val="001C72C1"/>
    <w:rsid w:val="001C7486"/>
    <w:rsid w:val="001D1091"/>
    <w:rsid w:val="001D1CF9"/>
    <w:rsid w:val="001D3F86"/>
    <w:rsid w:val="001D6034"/>
    <w:rsid w:val="001E045C"/>
    <w:rsid w:val="001E1769"/>
    <w:rsid w:val="001E2CB9"/>
    <w:rsid w:val="001E4500"/>
    <w:rsid w:val="001E545D"/>
    <w:rsid w:val="001E5C3B"/>
    <w:rsid w:val="001E6F19"/>
    <w:rsid w:val="001F244D"/>
    <w:rsid w:val="001F4B0E"/>
    <w:rsid w:val="00203C10"/>
    <w:rsid w:val="00206C42"/>
    <w:rsid w:val="002128CE"/>
    <w:rsid w:val="002147EE"/>
    <w:rsid w:val="00216E1C"/>
    <w:rsid w:val="00220931"/>
    <w:rsid w:val="00221450"/>
    <w:rsid w:val="00224D0B"/>
    <w:rsid w:val="0022500A"/>
    <w:rsid w:val="00225AF1"/>
    <w:rsid w:val="00226636"/>
    <w:rsid w:val="00227591"/>
    <w:rsid w:val="0023061B"/>
    <w:rsid w:val="00233803"/>
    <w:rsid w:val="00233D35"/>
    <w:rsid w:val="002367B3"/>
    <w:rsid w:val="00237350"/>
    <w:rsid w:val="002427C5"/>
    <w:rsid w:val="00243721"/>
    <w:rsid w:val="00244CF4"/>
    <w:rsid w:val="00251D85"/>
    <w:rsid w:val="002533DD"/>
    <w:rsid w:val="00253BA8"/>
    <w:rsid w:val="00255CB1"/>
    <w:rsid w:val="00256EA9"/>
    <w:rsid w:val="00257A15"/>
    <w:rsid w:val="00260412"/>
    <w:rsid w:val="00263C8B"/>
    <w:rsid w:val="00264585"/>
    <w:rsid w:val="0028224E"/>
    <w:rsid w:val="00282371"/>
    <w:rsid w:val="00285087"/>
    <w:rsid w:val="002856B9"/>
    <w:rsid w:val="002949F0"/>
    <w:rsid w:val="002A0D85"/>
    <w:rsid w:val="002A1BF0"/>
    <w:rsid w:val="002A437B"/>
    <w:rsid w:val="002B0945"/>
    <w:rsid w:val="002B41D9"/>
    <w:rsid w:val="002B5ADA"/>
    <w:rsid w:val="002B793D"/>
    <w:rsid w:val="002C40E5"/>
    <w:rsid w:val="002C4875"/>
    <w:rsid w:val="002C4879"/>
    <w:rsid w:val="002D0501"/>
    <w:rsid w:val="002D225D"/>
    <w:rsid w:val="002D5BEE"/>
    <w:rsid w:val="002D6E95"/>
    <w:rsid w:val="002E2E05"/>
    <w:rsid w:val="002E3F70"/>
    <w:rsid w:val="002F1580"/>
    <w:rsid w:val="002F164B"/>
    <w:rsid w:val="002F4EB5"/>
    <w:rsid w:val="002F6093"/>
    <w:rsid w:val="002F61EA"/>
    <w:rsid w:val="002F70D8"/>
    <w:rsid w:val="002F7345"/>
    <w:rsid w:val="00301DF6"/>
    <w:rsid w:val="003036E3"/>
    <w:rsid w:val="0030435F"/>
    <w:rsid w:val="0030485A"/>
    <w:rsid w:val="00310CFE"/>
    <w:rsid w:val="00310D74"/>
    <w:rsid w:val="00312C9E"/>
    <w:rsid w:val="00313797"/>
    <w:rsid w:val="003142E7"/>
    <w:rsid w:val="00315159"/>
    <w:rsid w:val="00317E52"/>
    <w:rsid w:val="003216E9"/>
    <w:rsid w:val="00321A03"/>
    <w:rsid w:val="00322616"/>
    <w:rsid w:val="00331F9D"/>
    <w:rsid w:val="00332EF1"/>
    <w:rsid w:val="003342E9"/>
    <w:rsid w:val="003358F6"/>
    <w:rsid w:val="00335D7E"/>
    <w:rsid w:val="003361B1"/>
    <w:rsid w:val="00337A61"/>
    <w:rsid w:val="0034266D"/>
    <w:rsid w:val="00342CB2"/>
    <w:rsid w:val="00342FEF"/>
    <w:rsid w:val="0034433A"/>
    <w:rsid w:val="003450DA"/>
    <w:rsid w:val="00346234"/>
    <w:rsid w:val="0034632E"/>
    <w:rsid w:val="00347C77"/>
    <w:rsid w:val="00352258"/>
    <w:rsid w:val="003575AC"/>
    <w:rsid w:val="00360BE0"/>
    <w:rsid w:val="00362805"/>
    <w:rsid w:val="00362D6A"/>
    <w:rsid w:val="003666D3"/>
    <w:rsid w:val="0036701D"/>
    <w:rsid w:val="00372986"/>
    <w:rsid w:val="00375829"/>
    <w:rsid w:val="0038128B"/>
    <w:rsid w:val="003823B2"/>
    <w:rsid w:val="0038498A"/>
    <w:rsid w:val="00384A1E"/>
    <w:rsid w:val="003871EB"/>
    <w:rsid w:val="0038774D"/>
    <w:rsid w:val="003879AF"/>
    <w:rsid w:val="00392244"/>
    <w:rsid w:val="00392572"/>
    <w:rsid w:val="003979D3"/>
    <w:rsid w:val="003A0805"/>
    <w:rsid w:val="003A1D31"/>
    <w:rsid w:val="003A2C52"/>
    <w:rsid w:val="003A2E77"/>
    <w:rsid w:val="003A72E9"/>
    <w:rsid w:val="003B344A"/>
    <w:rsid w:val="003C08A8"/>
    <w:rsid w:val="003C0EE9"/>
    <w:rsid w:val="003C19BD"/>
    <w:rsid w:val="003C29C4"/>
    <w:rsid w:val="003C2F50"/>
    <w:rsid w:val="003C40D4"/>
    <w:rsid w:val="003C4B40"/>
    <w:rsid w:val="003C6BB6"/>
    <w:rsid w:val="003C749A"/>
    <w:rsid w:val="003C75ED"/>
    <w:rsid w:val="003D0E60"/>
    <w:rsid w:val="003D323D"/>
    <w:rsid w:val="003E13D3"/>
    <w:rsid w:val="003E339F"/>
    <w:rsid w:val="003E6BC1"/>
    <w:rsid w:val="003E7F23"/>
    <w:rsid w:val="003F06C5"/>
    <w:rsid w:val="003F0E32"/>
    <w:rsid w:val="003F4710"/>
    <w:rsid w:val="003F6A3D"/>
    <w:rsid w:val="00401A4F"/>
    <w:rsid w:val="00402D7B"/>
    <w:rsid w:val="00406D01"/>
    <w:rsid w:val="00410A7B"/>
    <w:rsid w:val="00411353"/>
    <w:rsid w:val="00411A77"/>
    <w:rsid w:val="00412F21"/>
    <w:rsid w:val="00413803"/>
    <w:rsid w:val="00413B5D"/>
    <w:rsid w:val="00413C28"/>
    <w:rsid w:val="004150A2"/>
    <w:rsid w:val="004158D8"/>
    <w:rsid w:val="00420CF8"/>
    <w:rsid w:val="00420FE4"/>
    <w:rsid w:val="004211BE"/>
    <w:rsid w:val="00434453"/>
    <w:rsid w:val="00437D84"/>
    <w:rsid w:val="0044218C"/>
    <w:rsid w:val="00442314"/>
    <w:rsid w:val="00444D7D"/>
    <w:rsid w:val="00446D80"/>
    <w:rsid w:val="004474BA"/>
    <w:rsid w:val="00450294"/>
    <w:rsid w:val="00450356"/>
    <w:rsid w:val="004517D1"/>
    <w:rsid w:val="00451B8C"/>
    <w:rsid w:val="004524A5"/>
    <w:rsid w:val="00452817"/>
    <w:rsid w:val="00452D1C"/>
    <w:rsid w:val="00452DDF"/>
    <w:rsid w:val="004571EF"/>
    <w:rsid w:val="004572D0"/>
    <w:rsid w:val="00457A36"/>
    <w:rsid w:val="00461278"/>
    <w:rsid w:val="0046269C"/>
    <w:rsid w:val="0046417F"/>
    <w:rsid w:val="004644B7"/>
    <w:rsid w:val="00470280"/>
    <w:rsid w:val="004731EE"/>
    <w:rsid w:val="004756B7"/>
    <w:rsid w:val="00477AEE"/>
    <w:rsid w:val="0048033E"/>
    <w:rsid w:val="00483AC6"/>
    <w:rsid w:val="00483E57"/>
    <w:rsid w:val="00491A93"/>
    <w:rsid w:val="00494611"/>
    <w:rsid w:val="00495586"/>
    <w:rsid w:val="00497CBA"/>
    <w:rsid w:val="004A17D2"/>
    <w:rsid w:val="004A27A7"/>
    <w:rsid w:val="004A4575"/>
    <w:rsid w:val="004B0396"/>
    <w:rsid w:val="004B115B"/>
    <w:rsid w:val="004B3F02"/>
    <w:rsid w:val="004C0418"/>
    <w:rsid w:val="004C0998"/>
    <w:rsid w:val="004C5A58"/>
    <w:rsid w:val="004C6EEC"/>
    <w:rsid w:val="004D1490"/>
    <w:rsid w:val="004D3C23"/>
    <w:rsid w:val="004D7D5B"/>
    <w:rsid w:val="004E0F8B"/>
    <w:rsid w:val="004E1EDD"/>
    <w:rsid w:val="004E219A"/>
    <w:rsid w:val="004E23D9"/>
    <w:rsid w:val="004E5F8E"/>
    <w:rsid w:val="004F02B0"/>
    <w:rsid w:val="004F2619"/>
    <w:rsid w:val="004F2B69"/>
    <w:rsid w:val="004F371C"/>
    <w:rsid w:val="004F3DBB"/>
    <w:rsid w:val="004F4DF6"/>
    <w:rsid w:val="0050028A"/>
    <w:rsid w:val="00501D16"/>
    <w:rsid w:val="005039C0"/>
    <w:rsid w:val="00511014"/>
    <w:rsid w:val="005115B2"/>
    <w:rsid w:val="00511CAB"/>
    <w:rsid w:val="00513795"/>
    <w:rsid w:val="00515116"/>
    <w:rsid w:val="005210A9"/>
    <w:rsid w:val="00521841"/>
    <w:rsid w:val="00527ABA"/>
    <w:rsid w:val="0053326E"/>
    <w:rsid w:val="0053384E"/>
    <w:rsid w:val="005343ED"/>
    <w:rsid w:val="00542EAF"/>
    <w:rsid w:val="005435BD"/>
    <w:rsid w:val="00543787"/>
    <w:rsid w:val="00547539"/>
    <w:rsid w:val="005505F4"/>
    <w:rsid w:val="0055085C"/>
    <w:rsid w:val="00551E8D"/>
    <w:rsid w:val="00552D6A"/>
    <w:rsid w:val="0056154C"/>
    <w:rsid w:val="00564CC0"/>
    <w:rsid w:val="00565D81"/>
    <w:rsid w:val="00567C1C"/>
    <w:rsid w:val="0057000C"/>
    <w:rsid w:val="00570E8E"/>
    <w:rsid w:val="0057314F"/>
    <w:rsid w:val="005750B8"/>
    <w:rsid w:val="005764EE"/>
    <w:rsid w:val="00580C8E"/>
    <w:rsid w:val="0058621F"/>
    <w:rsid w:val="005877A4"/>
    <w:rsid w:val="005927BD"/>
    <w:rsid w:val="0059518D"/>
    <w:rsid w:val="005A68B8"/>
    <w:rsid w:val="005B569C"/>
    <w:rsid w:val="005B5E17"/>
    <w:rsid w:val="005C0049"/>
    <w:rsid w:val="005C20B5"/>
    <w:rsid w:val="005C2FE9"/>
    <w:rsid w:val="005C338B"/>
    <w:rsid w:val="005E06BF"/>
    <w:rsid w:val="005E4510"/>
    <w:rsid w:val="005E4C1B"/>
    <w:rsid w:val="005F12F6"/>
    <w:rsid w:val="005F1658"/>
    <w:rsid w:val="005F2063"/>
    <w:rsid w:val="005F4826"/>
    <w:rsid w:val="005F51C4"/>
    <w:rsid w:val="005F6748"/>
    <w:rsid w:val="005F6AE1"/>
    <w:rsid w:val="005F6DD0"/>
    <w:rsid w:val="00600042"/>
    <w:rsid w:val="006006A0"/>
    <w:rsid w:val="00601084"/>
    <w:rsid w:val="006020AF"/>
    <w:rsid w:val="00602C26"/>
    <w:rsid w:val="00606F5B"/>
    <w:rsid w:val="0060749E"/>
    <w:rsid w:val="00610104"/>
    <w:rsid w:val="00611A40"/>
    <w:rsid w:val="006121B4"/>
    <w:rsid w:val="006121F8"/>
    <w:rsid w:val="0061757A"/>
    <w:rsid w:val="00620972"/>
    <w:rsid w:val="00632262"/>
    <w:rsid w:val="00637CF3"/>
    <w:rsid w:val="0064001F"/>
    <w:rsid w:val="00644248"/>
    <w:rsid w:val="006460EB"/>
    <w:rsid w:val="00646DB2"/>
    <w:rsid w:val="00646F24"/>
    <w:rsid w:val="00647EAC"/>
    <w:rsid w:val="00654343"/>
    <w:rsid w:val="006544AB"/>
    <w:rsid w:val="0065628E"/>
    <w:rsid w:val="0065659E"/>
    <w:rsid w:val="006565A0"/>
    <w:rsid w:val="00656990"/>
    <w:rsid w:val="0065709A"/>
    <w:rsid w:val="006572FD"/>
    <w:rsid w:val="00660073"/>
    <w:rsid w:val="006615B5"/>
    <w:rsid w:val="00662D7A"/>
    <w:rsid w:val="00664F8F"/>
    <w:rsid w:val="00665C85"/>
    <w:rsid w:val="00665EE9"/>
    <w:rsid w:val="006661B3"/>
    <w:rsid w:val="006700EE"/>
    <w:rsid w:val="006751D3"/>
    <w:rsid w:val="00676AE7"/>
    <w:rsid w:val="00683FE7"/>
    <w:rsid w:val="006879B4"/>
    <w:rsid w:val="00687D1A"/>
    <w:rsid w:val="00690C67"/>
    <w:rsid w:val="00693F1E"/>
    <w:rsid w:val="006941A5"/>
    <w:rsid w:val="00694F32"/>
    <w:rsid w:val="00696B5C"/>
    <w:rsid w:val="0069790F"/>
    <w:rsid w:val="006A2437"/>
    <w:rsid w:val="006A6282"/>
    <w:rsid w:val="006A6B0D"/>
    <w:rsid w:val="006B1C56"/>
    <w:rsid w:val="006B25F1"/>
    <w:rsid w:val="006B30B6"/>
    <w:rsid w:val="006B432B"/>
    <w:rsid w:val="006B53A1"/>
    <w:rsid w:val="006C05AD"/>
    <w:rsid w:val="006C0F6E"/>
    <w:rsid w:val="006C1AF5"/>
    <w:rsid w:val="006C2EF9"/>
    <w:rsid w:val="006C4D06"/>
    <w:rsid w:val="006D42B4"/>
    <w:rsid w:val="006D4D64"/>
    <w:rsid w:val="006E26ED"/>
    <w:rsid w:val="006E5024"/>
    <w:rsid w:val="006E5C5C"/>
    <w:rsid w:val="006E6046"/>
    <w:rsid w:val="006F04B4"/>
    <w:rsid w:val="006F158D"/>
    <w:rsid w:val="006F5234"/>
    <w:rsid w:val="006F79DE"/>
    <w:rsid w:val="006F7EC9"/>
    <w:rsid w:val="00705C6F"/>
    <w:rsid w:val="00705F43"/>
    <w:rsid w:val="00705F72"/>
    <w:rsid w:val="00707A6C"/>
    <w:rsid w:val="00711422"/>
    <w:rsid w:val="00711BF6"/>
    <w:rsid w:val="00711C87"/>
    <w:rsid w:val="00712214"/>
    <w:rsid w:val="007142E4"/>
    <w:rsid w:val="00717350"/>
    <w:rsid w:val="0072114E"/>
    <w:rsid w:val="007217EF"/>
    <w:rsid w:val="007221F1"/>
    <w:rsid w:val="00722CDE"/>
    <w:rsid w:val="0072351C"/>
    <w:rsid w:val="007254A6"/>
    <w:rsid w:val="007257BD"/>
    <w:rsid w:val="0072712C"/>
    <w:rsid w:val="00727BFC"/>
    <w:rsid w:val="00727FAA"/>
    <w:rsid w:val="007310D5"/>
    <w:rsid w:val="007327B1"/>
    <w:rsid w:val="00733B92"/>
    <w:rsid w:val="00736121"/>
    <w:rsid w:val="00737BE2"/>
    <w:rsid w:val="00737F6B"/>
    <w:rsid w:val="0074135D"/>
    <w:rsid w:val="00743278"/>
    <w:rsid w:val="0074463D"/>
    <w:rsid w:val="00744735"/>
    <w:rsid w:val="00745729"/>
    <w:rsid w:val="00747A3E"/>
    <w:rsid w:val="00751C1D"/>
    <w:rsid w:val="00753DC0"/>
    <w:rsid w:val="00755232"/>
    <w:rsid w:val="007634EB"/>
    <w:rsid w:val="00766305"/>
    <w:rsid w:val="00766B25"/>
    <w:rsid w:val="00771A09"/>
    <w:rsid w:val="00775D99"/>
    <w:rsid w:val="007763DD"/>
    <w:rsid w:val="00776BCB"/>
    <w:rsid w:val="00776FF6"/>
    <w:rsid w:val="007801B9"/>
    <w:rsid w:val="00784277"/>
    <w:rsid w:val="00793B0A"/>
    <w:rsid w:val="00796815"/>
    <w:rsid w:val="00797B17"/>
    <w:rsid w:val="007A242B"/>
    <w:rsid w:val="007A50D3"/>
    <w:rsid w:val="007A5B31"/>
    <w:rsid w:val="007B25B4"/>
    <w:rsid w:val="007B2986"/>
    <w:rsid w:val="007C435F"/>
    <w:rsid w:val="007D2AC4"/>
    <w:rsid w:val="007D309E"/>
    <w:rsid w:val="007D424D"/>
    <w:rsid w:val="007D44D0"/>
    <w:rsid w:val="007D59CA"/>
    <w:rsid w:val="007D6079"/>
    <w:rsid w:val="007D7EC3"/>
    <w:rsid w:val="007E1531"/>
    <w:rsid w:val="007E76B4"/>
    <w:rsid w:val="007F21D7"/>
    <w:rsid w:val="007F245C"/>
    <w:rsid w:val="007F3207"/>
    <w:rsid w:val="007F3ED1"/>
    <w:rsid w:val="007F5F5E"/>
    <w:rsid w:val="007F633F"/>
    <w:rsid w:val="007F7918"/>
    <w:rsid w:val="00802BCC"/>
    <w:rsid w:val="00803561"/>
    <w:rsid w:val="00804965"/>
    <w:rsid w:val="00805E75"/>
    <w:rsid w:val="00805F43"/>
    <w:rsid w:val="008065CD"/>
    <w:rsid w:val="00814EDA"/>
    <w:rsid w:val="00817F61"/>
    <w:rsid w:val="00821A5F"/>
    <w:rsid w:val="00824E47"/>
    <w:rsid w:val="0082524A"/>
    <w:rsid w:val="00827FCF"/>
    <w:rsid w:val="00831B54"/>
    <w:rsid w:val="00831C81"/>
    <w:rsid w:val="00834E7E"/>
    <w:rsid w:val="00837A38"/>
    <w:rsid w:val="00840BFB"/>
    <w:rsid w:val="00842E3E"/>
    <w:rsid w:val="00845F68"/>
    <w:rsid w:val="00847D11"/>
    <w:rsid w:val="00850956"/>
    <w:rsid w:val="00852650"/>
    <w:rsid w:val="00853F60"/>
    <w:rsid w:val="008553A0"/>
    <w:rsid w:val="0085671C"/>
    <w:rsid w:val="00864226"/>
    <w:rsid w:val="0086474C"/>
    <w:rsid w:val="008660B4"/>
    <w:rsid w:val="008709D0"/>
    <w:rsid w:val="00871063"/>
    <w:rsid w:val="00873243"/>
    <w:rsid w:val="0087365E"/>
    <w:rsid w:val="008765D1"/>
    <w:rsid w:val="00880BF5"/>
    <w:rsid w:val="008812C4"/>
    <w:rsid w:val="00882307"/>
    <w:rsid w:val="00883CA4"/>
    <w:rsid w:val="00883DA8"/>
    <w:rsid w:val="0088426B"/>
    <w:rsid w:val="00884DF0"/>
    <w:rsid w:val="00890B8B"/>
    <w:rsid w:val="0089214A"/>
    <w:rsid w:val="00896EB1"/>
    <w:rsid w:val="00896F74"/>
    <w:rsid w:val="008A01BC"/>
    <w:rsid w:val="008A0CC3"/>
    <w:rsid w:val="008A2100"/>
    <w:rsid w:val="008A263E"/>
    <w:rsid w:val="008A334D"/>
    <w:rsid w:val="008A5471"/>
    <w:rsid w:val="008A5AD5"/>
    <w:rsid w:val="008A7023"/>
    <w:rsid w:val="008A7AEE"/>
    <w:rsid w:val="008B0836"/>
    <w:rsid w:val="008B0903"/>
    <w:rsid w:val="008B593B"/>
    <w:rsid w:val="008B6EF2"/>
    <w:rsid w:val="008C0B7D"/>
    <w:rsid w:val="008C117C"/>
    <w:rsid w:val="008C382E"/>
    <w:rsid w:val="008C3FBD"/>
    <w:rsid w:val="008C62F2"/>
    <w:rsid w:val="008C6C62"/>
    <w:rsid w:val="008D395F"/>
    <w:rsid w:val="008D4360"/>
    <w:rsid w:val="008D4E87"/>
    <w:rsid w:val="008D60C1"/>
    <w:rsid w:val="008D688A"/>
    <w:rsid w:val="008E3352"/>
    <w:rsid w:val="008E3D87"/>
    <w:rsid w:val="008E4467"/>
    <w:rsid w:val="008E619F"/>
    <w:rsid w:val="008F2115"/>
    <w:rsid w:val="008F5AAE"/>
    <w:rsid w:val="008F7B6F"/>
    <w:rsid w:val="0090035D"/>
    <w:rsid w:val="00906DD3"/>
    <w:rsid w:val="0091136F"/>
    <w:rsid w:val="00915D4F"/>
    <w:rsid w:val="009162BD"/>
    <w:rsid w:val="00917420"/>
    <w:rsid w:val="009175A1"/>
    <w:rsid w:val="009214DD"/>
    <w:rsid w:val="00922568"/>
    <w:rsid w:val="00924972"/>
    <w:rsid w:val="00925941"/>
    <w:rsid w:val="00932B2F"/>
    <w:rsid w:val="0093322C"/>
    <w:rsid w:val="0094019A"/>
    <w:rsid w:val="0094031C"/>
    <w:rsid w:val="0094381E"/>
    <w:rsid w:val="00944E32"/>
    <w:rsid w:val="00945902"/>
    <w:rsid w:val="00946B5F"/>
    <w:rsid w:val="00950F40"/>
    <w:rsid w:val="009544EB"/>
    <w:rsid w:val="009572CB"/>
    <w:rsid w:val="0096011F"/>
    <w:rsid w:val="00961260"/>
    <w:rsid w:val="00961991"/>
    <w:rsid w:val="00961CD2"/>
    <w:rsid w:val="009637A0"/>
    <w:rsid w:val="00965C9D"/>
    <w:rsid w:val="00965F6D"/>
    <w:rsid w:val="00970985"/>
    <w:rsid w:val="00973323"/>
    <w:rsid w:val="00973E4A"/>
    <w:rsid w:val="00980772"/>
    <w:rsid w:val="009815B7"/>
    <w:rsid w:val="00982154"/>
    <w:rsid w:val="00983226"/>
    <w:rsid w:val="00983C2C"/>
    <w:rsid w:val="009854C3"/>
    <w:rsid w:val="009930A1"/>
    <w:rsid w:val="00996FA6"/>
    <w:rsid w:val="00997369"/>
    <w:rsid w:val="009B24A4"/>
    <w:rsid w:val="009B7FE4"/>
    <w:rsid w:val="009C088D"/>
    <w:rsid w:val="009C355B"/>
    <w:rsid w:val="009C49A4"/>
    <w:rsid w:val="009C54E3"/>
    <w:rsid w:val="009C6033"/>
    <w:rsid w:val="009C6884"/>
    <w:rsid w:val="009C6F42"/>
    <w:rsid w:val="009D103D"/>
    <w:rsid w:val="009D22F8"/>
    <w:rsid w:val="009D25BD"/>
    <w:rsid w:val="009D2699"/>
    <w:rsid w:val="009D29C6"/>
    <w:rsid w:val="009D2E7D"/>
    <w:rsid w:val="009D3CDB"/>
    <w:rsid w:val="009D4621"/>
    <w:rsid w:val="009E2F6F"/>
    <w:rsid w:val="009E49E6"/>
    <w:rsid w:val="009E67B9"/>
    <w:rsid w:val="009E7776"/>
    <w:rsid w:val="009E788E"/>
    <w:rsid w:val="009F4DD6"/>
    <w:rsid w:val="009F7926"/>
    <w:rsid w:val="00A037BA"/>
    <w:rsid w:val="00A11299"/>
    <w:rsid w:val="00A116EC"/>
    <w:rsid w:val="00A12630"/>
    <w:rsid w:val="00A16AE5"/>
    <w:rsid w:val="00A204B2"/>
    <w:rsid w:val="00A20FF4"/>
    <w:rsid w:val="00A23CDF"/>
    <w:rsid w:val="00A24A91"/>
    <w:rsid w:val="00A25F9E"/>
    <w:rsid w:val="00A46F0A"/>
    <w:rsid w:val="00A520FF"/>
    <w:rsid w:val="00A52E99"/>
    <w:rsid w:val="00A5540E"/>
    <w:rsid w:val="00A57212"/>
    <w:rsid w:val="00A60F9D"/>
    <w:rsid w:val="00A61FFF"/>
    <w:rsid w:val="00A63AD7"/>
    <w:rsid w:val="00A71EEC"/>
    <w:rsid w:val="00A73C83"/>
    <w:rsid w:val="00A75C76"/>
    <w:rsid w:val="00A75D4A"/>
    <w:rsid w:val="00A75F67"/>
    <w:rsid w:val="00A77F20"/>
    <w:rsid w:val="00A82E0D"/>
    <w:rsid w:val="00A861E4"/>
    <w:rsid w:val="00A86437"/>
    <w:rsid w:val="00A86F94"/>
    <w:rsid w:val="00A90C66"/>
    <w:rsid w:val="00AA2382"/>
    <w:rsid w:val="00AA5BEE"/>
    <w:rsid w:val="00AA5F93"/>
    <w:rsid w:val="00AA778E"/>
    <w:rsid w:val="00AB0CB4"/>
    <w:rsid w:val="00AB3124"/>
    <w:rsid w:val="00AB35E0"/>
    <w:rsid w:val="00AB4423"/>
    <w:rsid w:val="00AB47C2"/>
    <w:rsid w:val="00AB556E"/>
    <w:rsid w:val="00AB6176"/>
    <w:rsid w:val="00AB70F5"/>
    <w:rsid w:val="00AC0B90"/>
    <w:rsid w:val="00AC2B76"/>
    <w:rsid w:val="00AC4417"/>
    <w:rsid w:val="00AC4C28"/>
    <w:rsid w:val="00AC7C04"/>
    <w:rsid w:val="00AD2BBA"/>
    <w:rsid w:val="00AD2F86"/>
    <w:rsid w:val="00AD2FD5"/>
    <w:rsid w:val="00AD5864"/>
    <w:rsid w:val="00AF3E29"/>
    <w:rsid w:val="00AF3E5D"/>
    <w:rsid w:val="00AF4B36"/>
    <w:rsid w:val="00AF7B43"/>
    <w:rsid w:val="00B0123C"/>
    <w:rsid w:val="00B029AF"/>
    <w:rsid w:val="00B03942"/>
    <w:rsid w:val="00B12E09"/>
    <w:rsid w:val="00B12E43"/>
    <w:rsid w:val="00B13505"/>
    <w:rsid w:val="00B165D3"/>
    <w:rsid w:val="00B16D78"/>
    <w:rsid w:val="00B170EA"/>
    <w:rsid w:val="00B20292"/>
    <w:rsid w:val="00B209BC"/>
    <w:rsid w:val="00B260F2"/>
    <w:rsid w:val="00B3164E"/>
    <w:rsid w:val="00B3433A"/>
    <w:rsid w:val="00B360BD"/>
    <w:rsid w:val="00B377E3"/>
    <w:rsid w:val="00B37D6D"/>
    <w:rsid w:val="00B41422"/>
    <w:rsid w:val="00B44631"/>
    <w:rsid w:val="00B4467D"/>
    <w:rsid w:val="00B44FE3"/>
    <w:rsid w:val="00B4527B"/>
    <w:rsid w:val="00B46173"/>
    <w:rsid w:val="00B47C9A"/>
    <w:rsid w:val="00B5047A"/>
    <w:rsid w:val="00B51F34"/>
    <w:rsid w:val="00B53109"/>
    <w:rsid w:val="00B629DB"/>
    <w:rsid w:val="00B63F4D"/>
    <w:rsid w:val="00B64C02"/>
    <w:rsid w:val="00B66C99"/>
    <w:rsid w:val="00B66F75"/>
    <w:rsid w:val="00B677E6"/>
    <w:rsid w:val="00B67D0A"/>
    <w:rsid w:val="00B73AA0"/>
    <w:rsid w:val="00B73DA9"/>
    <w:rsid w:val="00B73DE5"/>
    <w:rsid w:val="00B749FB"/>
    <w:rsid w:val="00B76C18"/>
    <w:rsid w:val="00B7703B"/>
    <w:rsid w:val="00B809DE"/>
    <w:rsid w:val="00B84A9F"/>
    <w:rsid w:val="00B90599"/>
    <w:rsid w:val="00B9089E"/>
    <w:rsid w:val="00B92C5E"/>
    <w:rsid w:val="00B941C6"/>
    <w:rsid w:val="00BA18AC"/>
    <w:rsid w:val="00BA1D06"/>
    <w:rsid w:val="00BA27B9"/>
    <w:rsid w:val="00BA2D2F"/>
    <w:rsid w:val="00BB76E9"/>
    <w:rsid w:val="00BC09DA"/>
    <w:rsid w:val="00BC17CB"/>
    <w:rsid w:val="00BC47F2"/>
    <w:rsid w:val="00BC4F10"/>
    <w:rsid w:val="00BC5D3A"/>
    <w:rsid w:val="00BC6661"/>
    <w:rsid w:val="00BC71A0"/>
    <w:rsid w:val="00BC7214"/>
    <w:rsid w:val="00BD4E6B"/>
    <w:rsid w:val="00BD7D61"/>
    <w:rsid w:val="00BE1C54"/>
    <w:rsid w:val="00BE21F1"/>
    <w:rsid w:val="00BE2548"/>
    <w:rsid w:val="00BE2EAD"/>
    <w:rsid w:val="00BF2F1E"/>
    <w:rsid w:val="00BF4B90"/>
    <w:rsid w:val="00BF4C88"/>
    <w:rsid w:val="00BF63CC"/>
    <w:rsid w:val="00BF6749"/>
    <w:rsid w:val="00C0017C"/>
    <w:rsid w:val="00C025EF"/>
    <w:rsid w:val="00C03EBA"/>
    <w:rsid w:val="00C124A7"/>
    <w:rsid w:val="00C12792"/>
    <w:rsid w:val="00C2101C"/>
    <w:rsid w:val="00C211D8"/>
    <w:rsid w:val="00C261A7"/>
    <w:rsid w:val="00C31F2B"/>
    <w:rsid w:val="00C3440C"/>
    <w:rsid w:val="00C42644"/>
    <w:rsid w:val="00C434D3"/>
    <w:rsid w:val="00C46453"/>
    <w:rsid w:val="00C55E15"/>
    <w:rsid w:val="00C56152"/>
    <w:rsid w:val="00C5758F"/>
    <w:rsid w:val="00C64EEE"/>
    <w:rsid w:val="00C65CF8"/>
    <w:rsid w:val="00C65EFD"/>
    <w:rsid w:val="00C66A04"/>
    <w:rsid w:val="00C67C2E"/>
    <w:rsid w:val="00C7263A"/>
    <w:rsid w:val="00C74438"/>
    <w:rsid w:val="00C74A48"/>
    <w:rsid w:val="00C77E51"/>
    <w:rsid w:val="00C80602"/>
    <w:rsid w:val="00C8331A"/>
    <w:rsid w:val="00C83AD6"/>
    <w:rsid w:val="00C846A7"/>
    <w:rsid w:val="00C851BD"/>
    <w:rsid w:val="00C92933"/>
    <w:rsid w:val="00C9510D"/>
    <w:rsid w:val="00C954E6"/>
    <w:rsid w:val="00CA208E"/>
    <w:rsid w:val="00CA40DB"/>
    <w:rsid w:val="00CA4CC8"/>
    <w:rsid w:val="00CA5A87"/>
    <w:rsid w:val="00CB00EB"/>
    <w:rsid w:val="00CB06DE"/>
    <w:rsid w:val="00CB1DEE"/>
    <w:rsid w:val="00CB3B9E"/>
    <w:rsid w:val="00CB72EC"/>
    <w:rsid w:val="00CC2C5A"/>
    <w:rsid w:val="00CC371A"/>
    <w:rsid w:val="00CC400D"/>
    <w:rsid w:val="00CC6615"/>
    <w:rsid w:val="00CC6E96"/>
    <w:rsid w:val="00CD178D"/>
    <w:rsid w:val="00CD2F8C"/>
    <w:rsid w:val="00CD49CD"/>
    <w:rsid w:val="00CD74A3"/>
    <w:rsid w:val="00CE1F89"/>
    <w:rsid w:val="00CE443B"/>
    <w:rsid w:val="00CF2340"/>
    <w:rsid w:val="00CF4875"/>
    <w:rsid w:val="00CF5579"/>
    <w:rsid w:val="00CF5581"/>
    <w:rsid w:val="00CF6423"/>
    <w:rsid w:val="00D01DB0"/>
    <w:rsid w:val="00D02248"/>
    <w:rsid w:val="00D036B2"/>
    <w:rsid w:val="00D05E2E"/>
    <w:rsid w:val="00D148F9"/>
    <w:rsid w:val="00D24CA4"/>
    <w:rsid w:val="00D268F8"/>
    <w:rsid w:val="00D370CE"/>
    <w:rsid w:val="00D408EC"/>
    <w:rsid w:val="00D46A19"/>
    <w:rsid w:val="00D46E5C"/>
    <w:rsid w:val="00D478DA"/>
    <w:rsid w:val="00D50678"/>
    <w:rsid w:val="00D52E0A"/>
    <w:rsid w:val="00D53BC0"/>
    <w:rsid w:val="00D6549C"/>
    <w:rsid w:val="00D65E87"/>
    <w:rsid w:val="00D65F80"/>
    <w:rsid w:val="00D72BD9"/>
    <w:rsid w:val="00D72DCE"/>
    <w:rsid w:val="00D73D7A"/>
    <w:rsid w:val="00D75763"/>
    <w:rsid w:val="00D8293D"/>
    <w:rsid w:val="00D82E06"/>
    <w:rsid w:val="00D83242"/>
    <w:rsid w:val="00D84009"/>
    <w:rsid w:val="00D844CD"/>
    <w:rsid w:val="00D84BAD"/>
    <w:rsid w:val="00D85AA4"/>
    <w:rsid w:val="00D865F4"/>
    <w:rsid w:val="00D874D9"/>
    <w:rsid w:val="00D87FC2"/>
    <w:rsid w:val="00D90E33"/>
    <w:rsid w:val="00D95A1A"/>
    <w:rsid w:val="00DA48E0"/>
    <w:rsid w:val="00DA51F2"/>
    <w:rsid w:val="00DA706E"/>
    <w:rsid w:val="00DA752A"/>
    <w:rsid w:val="00DB3980"/>
    <w:rsid w:val="00DB3BD4"/>
    <w:rsid w:val="00DB3D39"/>
    <w:rsid w:val="00DB71A4"/>
    <w:rsid w:val="00DC269D"/>
    <w:rsid w:val="00DC326F"/>
    <w:rsid w:val="00DC5FC7"/>
    <w:rsid w:val="00DC6373"/>
    <w:rsid w:val="00DC7447"/>
    <w:rsid w:val="00DC778C"/>
    <w:rsid w:val="00DD1552"/>
    <w:rsid w:val="00DD21FB"/>
    <w:rsid w:val="00DD25A3"/>
    <w:rsid w:val="00DD3FA7"/>
    <w:rsid w:val="00DD6C9F"/>
    <w:rsid w:val="00DE03A1"/>
    <w:rsid w:val="00DE25FD"/>
    <w:rsid w:val="00DE2D5D"/>
    <w:rsid w:val="00DE3163"/>
    <w:rsid w:val="00DE5CAE"/>
    <w:rsid w:val="00DF2045"/>
    <w:rsid w:val="00DF3D91"/>
    <w:rsid w:val="00DF4262"/>
    <w:rsid w:val="00E025FE"/>
    <w:rsid w:val="00E02B68"/>
    <w:rsid w:val="00E03881"/>
    <w:rsid w:val="00E10015"/>
    <w:rsid w:val="00E105FB"/>
    <w:rsid w:val="00E13947"/>
    <w:rsid w:val="00E16566"/>
    <w:rsid w:val="00E20978"/>
    <w:rsid w:val="00E260EF"/>
    <w:rsid w:val="00E31D97"/>
    <w:rsid w:val="00E34731"/>
    <w:rsid w:val="00E350F2"/>
    <w:rsid w:val="00E35D91"/>
    <w:rsid w:val="00E3627A"/>
    <w:rsid w:val="00E42224"/>
    <w:rsid w:val="00E42C77"/>
    <w:rsid w:val="00E4446A"/>
    <w:rsid w:val="00E45A3B"/>
    <w:rsid w:val="00E45FA4"/>
    <w:rsid w:val="00E47163"/>
    <w:rsid w:val="00E47FF2"/>
    <w:rsid w:val="00E516CD"/>
    <w:rsid w:val="00E55A58"/>
    <w:rsid w:val="00E56E7C"/>
    <w:rsid w:val="00E57029"/>
    <w:rsid w:val="00E57D0E"/>
    <w:rsid w:val="00E67B35"/>
    <w:rsid w:val="00E70874"/>
    <w:rsid w:val="00E72B4B"/>
    <w:rsid w:val="00E745D4"/>
    <w:rsid w:val="00E7491B"/>
    <w:rsid w:val="00E76BCB"/>
    <w:rsid w:val="00E824C8"/>
    <w:rsid w:val="00E83E7C"/>
    <w:rsid w:val="00E844E5"/>
    <w:rsid w:val="00E8752B"/>
    <w:rsid w:val="00E91CFA"/>
    <w:rsid w:val="00E9386A"/>
    <w:rsid w:val="00EA44CF"/>
    <w:rsid w:val="00EA4666"/>
    <w:rsid w:val="00EB0C6B"/>
    <w:rsid w:val="00EB3502"/>
    <w:rsid w:val="00EB3AD7"/>
    <w:rsid w:val="00EB769A"/>
    <w:rsid w:val="00EB76DE"/>
    <w:rsid w:val="00EB7941"/>
    <w:rsid w:val="00EB7958"/>
    <w:rsid w:val="00EC0318"/>
    <w:rsid w:val="00EC1AD6"/>
    <w:rsid w:val="00EC1FDA"/>
    <w:rsid w:val="00EC26A5"/>
    <w:rsid w:val="00EC68AD"/>
    <w:rsid w:val="00EC69E4"/>
    <w:rsid w:val="00EC7568"/>
    <w:rsid w:val="00ED1B1C"/>
    <w:rsid w:val="00ED28DE"/>
    <w:rsid w:val="00ED32CA"/>
    <w:rsid w:val="00ED414B"/>
    <w:rsid w:val="00ED4B2D"/>
    <w:rsid w:val="00ED4BBA"/>
    <w:rsid w:val="00ED4C6C"/>
    <w:rsid w:val="00ED5B90"/>
    <w:rsid w:val="00ED7AA9"/>
    <w:rsid w:val="00EE07A5"/>
    <w:rsid w:val="00EE2198"/>
    <w:rsid w:val="00EE2461"/>
    <w:rsid w:val="00EE27E4"/>
    <w:rsid w:val="00EE3A10"/>
    <w:rsid w:val="00EE4F9D"/>
    <w:rsid w:val="00EE540C"/>
    <w:rsid w:val="00EE5689"/>
    <w:rsid w:val="00EF4BF4"/>
    <w:rsid w:val="00EF6DBD"/>
    <w:rsid w:val="00F01984"/>
    <w:rsid w:val="00F04C4B"/>
    <w:rsid w:val="00F10B01"/>
    <w:rsid w:val="00F11189"/>
    <w:rsid w:val="00F124E6"/>
    <w:rsid w:val="00F25F14"/>
    <w:rsid w:val="00F3330A"/>
    <w:rsid w:val="00F35538"/>
    <w:rsid w:val="00F3678F"/>
    <w:rsid w:val="00F40E2E"/>
    <w:rsid w:val="00F42862"/>
    <w:rsid w:val="00F448F3"/>
    <w:rsid w:val="00F44C2B"/>
    <w:rsid w:val="00F50662"/>
    <w:rsid w:val="00F52B34"/>
    <w:rsid w:val="00F532F0"/>
    <w:rsid w:val="00F60C9B"/>
    <w:rsid w:val="00F60D10"/>
    <w:rsid w:val="00F60EA0"/>
    <w:rsid w:val="00F6376A"/>
    <w:rsid w:val="00F64114"/>
    <w:rsid w:val="00F65B29"/>
    <w:rsid w:val="00F70690"/>
    <w:rsid w:val="00F72B9F"/>
    <w:rsid w:val="00F75430"/>
    <w:rsid w:val="00F773BE"/>
    <w:rsid w:val="00F806EF"/>
    <w:rsid w:val="00F808B1"/>
    <w:rsid w:val="00F90B8A"/>
    <w:rsid w:val="00F923FD"/>
    <w:rsid w:val="00F92C74"/>
    <w:rsid w:val="00F93642"/>
    <w:rsid w:val="00FA2A6C"/>
    <w:rsid w:val="00FA3677"/>
    <w:rsid w:val="00FA5722"/>
    <w:rsid w:val="00FA685E"/>
    <w:rsid w:val="00FA71D4"/>
    <w:rsid w:val="00FB04B0"/>
    <w:rsid w:val="00FB5036"/>
    <w:rsid w:val="00FC167D"/>
    <w:rsid w:val="00FC42A9"/>
    <w:rsid w:val="00FD3FCB"/>
    <w:rsid w:val="00FD4328"/>
    <w:rsid w:val="00FE063B"/>
    <w:rsid w:val="00FE5DB9"/>
    <w:rsid w:val="00FF23DB"/>
    <w:rsid w:val="00FF2B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BA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9A"/>
    <w:pPr>
      <w:tabs>
        <w:tab w:val="center" w:pos="4536"/>
        <w:tab w:val="right" w:pos="9072"/>
      </w:tabs>
    </w:pPr>
  </w:style>
  <w:style w:type="character" w:customStyle="1" w:styleId="HeaderChar">
    <w:name w:val="Header Char"/>
    <w:basedOn w:val="DefaultParagraphFont"/>
    <w:link w:val="Header"/>
    <w:uiPriority w:val="99"/>
    <w:rsid w:val="00EB769A"/>
    <w:rPr>
      <w:lang w:val="en-GB"/>
    </w:rPr>
  </w:style>
  <w:style w:type="paragraph" w:styleId="Footer">
    <w:name w:val="footer"/>
    <w:basedOn w:val="Normal"/>
    <w:link w:val="FooterChar"/>
    <w:uiPriority w:val="99"/>
    <w:unhideWhenUsed/>
    <w:rsid w:val="00EB769A"/>
    <w:pPr>
      <w:tabs>
        <w:tab w:val="center" w:pos="4536"/>
        <w:tab w:val="right" w:pos="9072"/>
      </w:tabs>
    </w:pPr>
  </w:style>
  <w:style w:type="character" w:customStyle="1" w:styleId="FooterChar">
    <w:name w:val="Footer Char"/>
    <w:basedOn w:val="DefaultParagraphFont"/>
    <w:link w:val="Footer"/>
    <w:uiPriority w:val="99"/>
    <w:rsid w:val="00EB769A"/>
    <w:rPr>
      <w:lang w:val="en-GB"/>
    </w:rPr>
  </w:style>
  <w:style w:type="paragraph" w:styleId="ListParagraph">
    <w:name w:val="List Paragraph"/>
    <w:basedOn w:val="Normal"/>
    <w:uiPriority w:val="34"/>
    <w:qFormat/>
    <w:rsid w:val="0018279A"/>
    <w:pPr>
      <w:ind w:left="720"/>
      <w:contextualSpacing/>
    </w:pPr>
  </w:style>
  <w:style w:type="character" w:styleId="Hyperlink">
    <w:name w:val="Hyperlink"/>
    <w:basedOn w:val="DefaultParagraphFont"/>
    <w:uiPriority w:val="99"/>
    <w:unhideWhenUsed/>
    <w:rsid w:val="00F42862"/>
    <w:rPr>
      <w:color w:val="0000FF" w:themeColor="hyperlink"/>
      <w:u w:val="single"/>
    </w:rPr>
  </w:style>
  <w:style w:type="character" w:styleId="CommentReference">
    <w:name w:val="annotation reference"/>
    <w:basedOn w:val="DefaultParagraphFont"/>
    <w:uiPriority w:val="99"/>
    <w:semiHidden/>
    <w:unhideWhenUsed/>
    <w:rsid w:val="00A57212"/>
    <w:rPr>
      <w:sz w:val="16"/>
      <w:szCs w:val="16"/>
    </w:rPr>
  </w:style>
  <w:style w:type="paragraph" w:styleId="CommentText">
    <w:name w:val="annotation text"/>
    <w:basedOn w:val="Normal"/>
    <w:link w:val="CommentTextChar"/>
    <w:uiPriority w:val="99"/>
    <w:semiHidden/>
    <w:unhideWhenUsed/>
    <w:rsid w:val="00A57212"/>
    <w:rPr>
      <w:sz w:val="20"/>
      <w:szCs w:val="20"/>
    </w:rPr>
  </w:style>
  <w:style w:type="character" w:customStyle="1" w:styleId="CommentTextChar">
    <w:name w:val="Comment Text Char"/>
    <w:basedOn w:val="DefaultParagraphFont"/>
    <w:link w:val="CommentText"/>
    <w:uiPriority w:val="99"/>
    <w:semiHidden/>
    <w:rsid w:val="00A57212"/>
    <w:rPr>
      <w:sz w:val="20"/>
      <w:szCs w:val="20"/>
      <w:lang w:val="en-GB"/>
    </w:rPr>
  </w:style>
  <w:style w:type="paragraph" w:styleId="CommentSubject">
    <w:name w:val="annotation subject"/>
    <w:basedOn w:val="CommentText"/>
    <w:next w:val="CommentText"/>
    <w:link w:val="CommentSubjectChar"/>
    <w:uiPriority w:val="99"/>
    <w:semiHidden/>
    <w:unhideWhenUsed/>
    <w:rsid w:val="00A57212"/>
    <w:rPr>
      <w:b/>
      <w:bCs/>
    </w:rPr>
  </w:style>
  <w:style w:type="character" w:customStyle="1" w:styleId="CommentSubjectChar">
    <w:name w:val="Comment Subject Char"/>
    <w:basedOn w:val="CommentTextChar"/>
    <w:link w:val="CommentSubject"/>
    <w:uiPriority w:val="99"/>
    <w:semiHidden/>
    <w:rsid w:val="00A57212"/>
    <w:rPr>
      <w:b/>
      <w:bCs/>
      <w:sz w:val="20"/>
      <w:szCs w:val="20"/>
      <w:lang w:val="en-GB"/>
    </w:rPr>
  </w:style>
  <w:style w:type="paragraph" w:styleId="BalloonText">
    <w:name w:val="Balloon Text"/>
    <w:basedOn w:val="Normal"/>
    <w:link w:val="BalloonTextChar"/>
    <w:uiPriority w:val="99"/>
    <w:semiHidden/>
    <w:unhideWhenUsed/>
    <w:rsid w:val="00A57212"/>
    <w:rPr>
      <w:rFonts w:ascii="Tahoma" w:hAnsi="Tahoma" w:cs="Tahoma"/>
      <w:sz w:val="16"/>
      <w:szCs w:val="16"/>
    </w:rPr>
  </w:style>
  <w:style w:type="character" w:customStyle="1" w:styleId="BalloonTextChar">
    <w:name w:val="Balloon Text Char"/>
    <w:basedOn w:val="DefaultParagraphFont"/>
    <w:link w:val="BalloonText"/>
    <w:uiPriority w:val="99"/>
    <w:semiHidden/>
    <w:rsid w:val="00A57212"/>
    <w:rPr>
      <w:rFonts w:ascii="Tahoma" w:hAnsi="Tahoma" w:cs="Tahoma"/>
      <w:sz w:val="16"/>
      <w:szCs w:val="16"/>
      <w:lang w:val="en-GB"/>
    </w:rPr>
  </w:style>
  <w:style w:type="paragraph" w:styleId="Revision">
    <w:name w:val="Revision"/>
    <w:hidden/>
    <w:uiPriority w:val="99"/>
    <w:semiHidden/>
    <w:rsid w:val="00E83E7C"/>
    <w:rPr>
      <w:lang w:val="en-GB"/>
    </w:rPr>
  </w:style>
  <w:style w:type="table" w:styleId="TableGrid">
    <w:name w:val="Table Grid"/>
    <w:basedOn w:val="TableNormal"/>
    <w:uiPriority w:val="59"/>
    <w:rsid w:val="00F7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C5A"/>
    <w:rPr>
      <w:color w:val="800080" w:themeColor="followedHyperlink"/>
      <w:u w:val="single"/>
    </w:rPr>
  </w:style>
  <w:style w:type="character" w:styleId="PageNumber">
    <w:name w:val="page number"/>
    <w:basedOn w:val="DefaultParagraphFont"/>
    <w:uiPriority w:val="99"/>
    <w:semiHidden/>
    <w:unhideWhenUsed/>
    <w:rsid w:val="002E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9A"/>
    <w:pPr>
      <w:tabs>
        <w:tab w:val="center" w:pos="4536"/>
        <w:tab w:val="right" w:pos="9072"/>
      </w:tabs>
    </w:pPr>
  </w:style>
  <w:style w:type="character" w:customStyle="1" w:styleId="HeaderChar">
    <w:name w:val="Header Char"/>
    <w:basedOn w:val="DefaultParagraphFont"/>
    <w:link w:val="Header"/>
    <w:uiPriority w:val="99"/>
    <w:rsid w:val="00EB769A"/>
    <w:rPr>
      <w:lang w:val="en-GB"/>
    </w:rPr>
  </w:style>
  <w:style w:type="paragraph" w:styleId="Footer">
    <w:name w:val="footer"/>
    <w:basedOn w:val="Normal"/>
    <w:link w:val="FooterChar"/>
    <w:uiPriority w:val="99"/>
    <w:unhideWhenUsed/>
    <w:rsid w:val="00EB769A"/>
    <w:pPr>
      <w:tabs>
        <w:tab w:val="center" w:pos="4536"/>
        <w:tab w:val="right" w:pos="9072"/>
      </w:tabs>
    </w:pPr>
  </w:style>
  <w:style w:type="character" w:customStyle="1" w:styleId="FooterChar">
    <w:name w:val="Footer Char"/>
    <w:basedOn w:val="DefaultParagraphFont"/>
    <w:link w:val="Footer"/>
    <w:uiPriority w:val="99"/>
    <w:rsid w:val="00EB769A"/>
    <w:rPr>
      <w:lang w:val="en-GB"/>
    </w:rPr>
  </w:style>
  <w:style w:type="paragraph" w:styleId="ListParagraph">
    <w:name w:val="List Paragraph"/>
    <w:basedOn w:val="Normal"/>
    <w:uiPriority w:val="34"/>
    <w:qFormat/>
    <w:rsid w:val="0018279A"/>
    <w:pPr>
      <w:ind w:left="720"/>
      <w:contextualSpacing/>
    </w:pPr>
  </w:style>
  <w:style w:type="character" w:styleId="Hyperlink">
    <w:name w:val="Hyperlink"/>
    <w:basedOn w:val="DefaultParagraphFont"/>
    <w:uiPriority w:val="99"/>
    <w:unhideWhenUsed/>
    <w:rsid w:val="00F42862"/>
    <w:rPr>
      <w:color w:val="0000FF" w:themeColor="hyperlink"/>
      <w:u w:val="single"/>
    </w:rPr>
  </w:style>
  <w:style w:type="character" w:styleId="CommentReference">
    <w:name w:val="annotation reference"/>
    <w:basedOn w:val="DefaultParagraphFont"/>
    <w:uiPriority w:val="99"/>
    <w:semiHidden/>
    <w:unhideWhenUsed/>
    <w:rsid w:val="00A57212"/>
    <w:rPr>
      <w:sz w:val="16"/>
      <w:szCs w:val="16"/>
    </w:rPr>
  </w:style>
  <w:style w:type="paragraph" w:styleId="CommentText">
    <w:name w:val="annotation text"/>
    <w:basedOn w:val="Normal"/>
    <w:link w:val="CommentTextChar"/>
    <w:uiPriority w:val="99"/>
    <w:semiHidden/>
    <w:unhideWhenUsed/>
    <w:rsid w:val="00A57212"/>
    <w:rPr>
      <w:sz w:val="20"/>
      <w:szCs w:val="20"/>
    </w:rPr>
  </w:style>
  <w:style w:type="character" w:customStyle="1" w:styleId="CommentTextChar">
    <w:name w:val="Comment Text Char"/>
    <w:basedOn w:val="DefaultParagraphFont"/>
    <w:link w:val="CommentText"/>
    <w:uiPriority w:val="99"/>
    <w:semiHidden/>
    <w:rsid w:val="00A57212"/>
    <w:rPr>
      <w:sz w:val="20"/>
      <w:szCs w:val="20"/>
      <w:lang w:val="en-GB"/>
    </w:rPr>
  </w:style>
  <w:style w:type="paragraph" w:styleId="CommentSubject">
    <w:name w:val="annotation subject"/>
    <w:basedOn w:val="CommentText"/>
    <w:next w:val="CommentText"/>
    <w:link w:val="CommentSubjectChar"/>
    <w:uiPriority w:val="99"/>
    <w:semiHidden/>
    <w:unhideWhenUsed/>
    <w:rsid w:val="00A57212"/>
    <w:rPr>
      <w:b/>
      <w:bCs/>
    </w:rPr>
  </w:style>
  <w:style w:type="character" w:customStyle="1" w:styleId="CommentSubjectChar">
    <w:name w:val="Comment Subject Char"/>
    <w:basedOn w:val="CommentTextChar"/>
    <w:link w:val="CommentSubject"/>
    <w:uiPriority w:val="99"/>
    <w:semiHidden/>
    <w:rsid w:val="00A57212"/>
    <w:rPr>
      <w:b/>
      <w:bCs/>
      <w:sz w:val="20"/>
      <w:szCs w:val="20"/>
      <w:lang w:val="en-GB"/>
    </w:rPr>
  </w:style>
  <w:style w:type="paragraph" w:styleId="BalloonText">
    <w:name w:val="Balloon Text"/>
    <w:basedOn w:val="Normal"/>
    <w:link w:val="BalloonTextChar"/>
    <w:uiPriority w:val="99"/>
    <w:semiHidden/>
    <w:unhideWhenUsed/>
    <w:rsid w:val="00A57212"/>
    <w:rPr>
      <w:rFonts w:ascii="Tahoma" w:hAnsi="Tahoma" w:cs="Tahoma"/>
      <w:sz w:val="16"/>
      <w:szCs w:val="16"/>
    </w:rPr>
  </w:style>
  <w:style w:type="character" w:customStyle="1" w:styleId="BalloonTextChar">
    <w:name w:val="Balloon Text Char"/>
    <w:basedOn w:val="DefaultParagraphFont"/>
    <w:link w:val="BalloonText"/>
    <w:uiPriority w:val="99"/>
    <w:semiHidden/>
    <w:rsid w:val="00A57212"/>
    <w:rPr>
      <w:rFonts w:ascii="Tahoma" w:hAnsi="Tahoma" w:cs="Tahoma"/>
      <w:sz w:val="16"/>
      <w:szCs w:val="16"/>
      <w:lang w:val="en-GB"/>
    </w:rPr>
  </w:style>
  <w:style w:type="paragraph" w:styleId="Revision">
    <w:name w:val="Revision"/>
    <w:hidden/>
    <w:uiPriority w:val="99"/>
    <w:semiHidden/>
    <w:rsid w:val="00E83E7C"/>
    <w:rPr>
      <w:lang w:val="en-GB"/>
    </w:rPr>
  </w:style>
  <w:style w:type="table" w:styleId="TableGrid">
    <w:name w:val="Table Grid"/>
    <w:basedOn w:val="TableNormal"/>
    <w:uiPriority w:val="59"/>
    <w:rsid w:val="00F7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C5A"/>
    <w:rPr>
      <w:color w:val="800080" w:themeColor="followedHyperlink"/>
      <w:u w:val="single"/>
    </w:rPr>
  </w:style>
  <w:style w:type="character" w:styleId="PageNumber">
    <w:name w:val="page number"/>
    <w:basedOn w:val="DefaultParagraphFont"/>
    <w:uiPriority w:val="99"/>
    <w:semiHidden/>
    <w:unhideWhenUsed/>
    <w:rsid w:val="002E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rb.co.uk/v32/n21/stefan-collini/brownes-gamb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laramaure:Dropbox:Politics%20Project:Graph%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laramaure:Dropbox:Politics%20Project:Graph%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laramaure:Dropbox:Politics%20Project:Graph%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laramaure:Dropbox:Politics%20Project:Graph%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u="sng"/>
            </a:pPr>
            <a:r>
              <a:rPr lang="en-GB" sz="1200" b="0" u="sng"/>
              <a:t>Figure 2 – Overview of the most influencing factors when choosing a university among students surveyed </a:t>
            </a:r>
          </a:p>
        </c:rich>
      </c:tx>
      <c:overlay val="0"/>
    </c:title>
    <c:autoTitleDeleted val="0"/>
    <c:plotArea>
      <c:layout/>
      <c:barChart>
        <c:barDir val="col"/>
        <c:grouping val="clustered"/>
        <c:varyColors val="0"/>
        <c:ser>
          <c:idx val="0"/>
          <c:order val="0"/>
          <c:spPr>
            <a:solidFill>
              <a:srgbClr val="404040"/>
            </a:solidFill>
          </c:spPr>
          <c:invertIfNegative val="0"/>
          <c:cat>
            <c:strRef>
              <c:f>Feuil1!$A$1:$A$7</c:f>
              <c:strCache>
                <c:ptCount val="7"/>
                <c:pt idx="0">
                  <c:v>Quality of education</c:v>
                </c:pt>
                <c:pt idx="1">
                  <c:v>Rate of employability of graduated students</c:v>
                </c:pt>
                <c:pt idx="2">
                  <c:v>Size of the university</c:v>
                </c:pt>
                <c:pt idx="3">
                  <c:v>Closeness to your residence</c:v>
                </c:pt>
                <c:pt idx="4">
                  <c:v>Cost of life of Manchester city</c:v>
                </c:pt>
                <c:pt idx="5">
                  <c:v>Social scene/Leisure offered/available</c:v>
                </c:pt>
                <c:pt idx="6">
                  <c:v>Ratio of International Students</c:v>
                </c:pt>
              </c:strCache>
            </c:strRef>
          </c:cat>
          <c:val>
            <c:numRef>
              <c:f>Feuil1!$B$1:$B$7</c:f>
              <c:numCache>
                <c:formatCode>General</c:formatCode>
                <c:ptCount val="7"/>
                <c:pt idx="0">
                  <c:v>55</c:v>
                </c:pt>
                <c:pt idx="1">
                  <c:v>37</c:v>
                </c:pt>
                <c:pt idx="2">
                  <c:v>16</c:v>
                </c:pt>
                <c:pt idx="3">
                  <c:v>18</c:v>
                </c:pt>
                <c:pt idx="4">
                  <c:v>16</c:v>
                </c:pt>
                <c:pt idx="5">
                  <c:v>35</c:v>
                </c:pt>
                <c:pt idx="6">
                  <c:v>8</c:v>
                </c:pt>
              </c:numCache>
            </c:numRef>
          </c:val>
        </c:ser>
        <c:dLbls>
          <c:showLegendKey val="0"/>
          <c:showVal val="0"/>
          <c:showCatName val="0"/>
          <c:showSerName val="0"/>
          <c:showPercent val="0"/>
          <c:showBubbleSize val="0"/>
        </c:dLbls>
        <c:gapWidth val="150"/>
        <c:axId val="83750272"/>
        <c:axId val="89702784"/>
      </c:barChart>
      <c:catAx>
        <c:axId val="83750272"/>
        <c:scaling>
          <c:orientation val="minMax"/>
        </c:scaling>
        <c:delete val="0"/>
        <c:axPos val="b"/>
        <c:majorTickMark val="out"/>
        <c:minorTickMark val="none"/>
        <c:tickLblPos val="nextTo"/>
        <c:crossAx val="89702784"/>
        <c:crosses val="autoZero"/>
        <c:auto val="1"/>
        <c:lblAlgn val="ctr"/>
        <c:lblOffset val="100"/>
        <c:noMultiLvlLbl val="0"/>
      </c:catAx>
      <c:valAx>
        <c:axId val="89702784"/>
        <c:scaling>
          <c:orientation val="minMax"/>
        </c:scaling>
        <c:delete val="0"/>
        <c:axPos val="l"/>
        <c:majorGridlines/>
        <c:title>
          <c:tx>
            <c:rich>
              <a:bodyPr rot="-5400000" vert="horz"/>
              <a:lstStyle/>
              <a:p>
                <a:pPr>
                  <a:defRPr/>
                </a:pPr>
                <a:r>
                  <a:rPr lang="fr-FR"/>
                  <a:t>Number of respondents</a:t>
                </a:r>
              </a:p>
            </c:rich>
          </c:tx>
          <c:layout>
            <c:manualLayout>
              <c:xMode val="edge"/>
              <c:yMode val="edge"/>
              <c:x val="1.32827324478178E-2"/>
              <c:y val="0.23720615604867601"/>
            </c:manualLayout>
          </c:layout>
          <c:overlay val="0"/>
        </c:title>
        <c:numFmt formatCode="General" sourceLinked="1"/>
        <c:majorTickMark val="out"/>
        <c:minorTickMark val="none"/>
        <c:tickLblPos val="nextTo"/>
        <c:crossAx val="8375027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u="sng"/>
            </a:pPr>
            <a:r>
              <a:rPr lang="fr-FR" sz="1200" b="0" u="sng"/>
              <a:t>Figure 3 - Overview of the most compelling factors when choosing a degree among students surveyed</a:t>
            </a:r>
          </a:p>
        </c:rich>
      </c:tx>
      <c:overlay val="0"/>
    </c:title>
    <c:autoTitleDeleted val="0"/>
    <c:plotArea>
      <c:layout>
        <c:manualLayout>
          <c:layoutTarget val="inner"/>
          <c:xMode val="edge"/>
          <c:yMode val="edge"/>
          <c:x val="9.6759630852594994E-2"/>
          <c:y val="0.167871095583251"/>
          <c:w val="0.84302531538396397"/>
          <c:h val="0.60364519997914201"/>
        </c:manualLayout>
      </c:layout>
      <c:barChart>
        <c:barDir val="col"/>
        <c:grouping val="clustered"/>
        <c:varyColors val="0"/>
        <c:ser>
          <c:idx val="0"/>
          <c:order val="0"/>
          <c:spPr>
            <a:solidFill>
              <a:schemeClr val="tx1">
                <a:lumMod val="75000"/>
                <a:lumOff val="25000"/>
              </a:schemeClr>
            </a:solidFill>
          </c:spPr>
          <c:invertIfNegative val="0"/>
          <c:cat>
            <c:strRef>
              <c:f>Feuil1!$A$10:$A$15</c:f>
              <c:strCache>
                <c:ptCount val="6"/>
                <c:pt idx="0">
                  <c:v> Job/career prospects</c:v>
                </c:pt>
                <c:pt idx="1">
                  <c:v>Personal Interest</c:v>
                </c:pt>
                <c:pt idx="2">
                  <c:v>External influence</c:v>
                </c:pt>
                <c:pt idx="3">
                  <c:v>Particular job outcomes</c:v>
                </c:pt>
                <c:pt idx="4">
                  <c:v>Structure of the course</c:v>
                </c:pt>
                <c:pt idx="5">
                  <c:v>Teaching method</c:v>
                </c:pt>
              </c:strCache>
            </c:strRef>
          </c:cat>
          <c:val>
            <c:numRef>
              <c:f>Feuil1!$B$10:$B$15</c:f>
              <c:numCache>
                <c:formatCode>General</c:formatCode>
                <c:ptCount val="6"/>
                <c:pt idx="0">
                  <c:v>36</c:v>
                </c:pt>
                <c:pt idx="1">
                  <c:v>64</c:v>
                </c:pt>
                <c:pt idx="2">
                  <c:v>9</c:v>
                </c:pt>
                <c:pt idx="3">
                  <c:v>25</c:v>
                </c:pt>
                <c:pt idx="4">
                  <c:v>9</c:v>
                </c:pt>
                <c:pt idx="5">
                  <c:v>6</c:v>
                </c:pt>
              </c:numCache>
            </c:numRef>
          </c:val>
        </c:ser>
        <c:dLbls>
          <c:showLegendKey val="0"/>
          <c:showVal val="0"/>
          <c:showCatName val="0"/>
          <c:showSerName val="0"/>
          <c:showPercent val="0"/>
          <c:showBubbleSize val="0"/>
        </c:dLbls>
        <c:gapWidth val="150"/>
        <c:axId val="166534528"/>
        <c:axId val="166536320"/>
      </c:barChart>
      <c:catAx>
        <c:axId val="166534528"/>
        <c:scaling>
          <c:orientation val="minMax"/>
        </c:scaling>
        <c:delete val="0"/>
        <c:axPos val="b"/>
        <c:majorTickMark val="out"/>
        <c:minorTickMark val="none"/>
        <c:tickLblPos val="nextTo"/>
        <c:crossAx val="166536320"/>
        <c:crosses val="autoZero"/>
        <c:auto val="1"/>
        <c:lblAlgn val="ctr"/>
        <c:lblOffset val="100"/>
        <c:noMultiLvlLbl val="0"/>
      </c:catAx>
      <c:valAx>
        <c:axId val="166536320"/>
        <c:scaling>
          <c:orientation val="minMax"/>
        </c:scaling>
        <c:delete val="0"/>
        <c:axPos val="l"/>
        <c:majorGridlines/>
        <c:title>
          <c:tx>
            <c:rich>
              <a:bodyPr rot="-5400000" vert="horz"/>
              <a:lstStyle/>
              <a:p>
                <a:pPr>
                  <a:defRPr/>
                </a:pPr>
                <a:r>
                  <a:rPr lang="fr-FR"/>
                  <a:t>Number of respondents</a:t>
                </a:r>
              </a:p>
            </c:rich>
          </c:tx>
          <c:layout>
            <c:manualLayout>
              <c:xMode val="edge"/>
              <c:yMode val="edge"/>
              <c:x val="9.8509863686393993E-3"/>
              <c:y val="0.29853783177764998"/>
            </c:manualLayout>
          </c:layout>
          <c:overlay val="0"/>
        </c:title>
        <c:numFmt formatCode="General" sourceLinked="1"/>
        <c:majorTickMark val="out"/>
        <c:minorTickMark val="none"/>
        <c:tickLblPos val="nextTo"/>
        <c:crossAx val="16653452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u="sng"/>
            </a:pPr>
            <a:r>
              <a:rPr lang="fr-FR" sz="1200" b="0" u="sng"/>
              <a:t>Figure 4 - Overview of the most used degree related services by surveyed participants at the University of Manchester. </a:t>
            </a:r>
          </a:p>
        </c:rich>
      </c:tx>
      <c:layout>
        <c:manualLayout>
          <c:xMode val="edge"/>
          <c:yMode val="edge"/>
          <c:x val="0.11342139248513999"/>
          <c:y val="5.3101738078918499E-2"/>
        </c:manualLayout>
      </c:layout>
      <c:overlay val="0"/>
    </c:title>
    <c:autoTitleDeleted val="0"/>
    <c:plotArea>
      <c:layout>
        <c:manualLayout>
          <c:layoutTarget val="inner"/>
          <c:xMode val="edge"/>
          <c:yMode val="edge"/>
          <c:x val="0.15483737431747399"/>
          <c:y val="0.19366623758017501"/>
          <c:w val="0.75513161743341894"/>
          <c:h val="0.43431287649553402"/>
        </c:manualLayout>
      </c:layout>
      <c:barChart>
        <c:barDir val="col"/>
        <c:grouping val="clustered"/>
        <c:varyColors val="0"/>
        <c:ser>
          <c:idx val="0"/>
          <c:order val="0"/>
          <c:spPr>
            <a:solidFill>
              <a:srgbClr val="404040"/>
            </a:solidFill>
          </c:spPr>
          <c:invertIfNegative val="0"/>
          <c:cat>
            <c:strRef>
              <c:f>Feuil1!$A$47:$A$54</c:f>
              <c:strCache>
                <c:ptCount val="8"/>
                <c:pt idx="0">
                  <c:v>Blackboard</c:v>
                </c:pt>
                <c:pt idx="1">
                  <c:v>Academic advisers</c:v>
                </c:pt>
                <c:pt idx="2">
                  <c:v>Office Hours</c:v>
                </c:pt>
                <c:pt idx="3">
                  <c:v>Course Unit Survey</c:v>
                </c:pt>
                <c:pt idx="4">
                  <c:v>Peer mentoring/ Pass or the equivalent</c:v>
                </c:pt>
                <c:pt idx="5">
                  <c:v>Talk organized by your department</c:v>
                </c:pt>
                <c:pt idx="6">
                  <c:v>Study Abroad programme</c:v>
                </c:pt>
                <c:pt idx="7">
                  <c:v>Students' representative </c:v>
                </c:pt>
              </c:strCache>
            </c:strRef>
          </c:cat>
          <c:val>
            <c:numRef>
              <c:f>Feuil1!$B$47:$B$54</c:f>
              <c:numCache>
                <c:formatCode>General</c:formatCode>
                <c:ptCount val="8"/>
                <c:pt idx="0">
                  <c:v>68</c:v>
                </c:pt>
                <c:pt idx="1">
                  <c:v>40</c:v>
                </c:pt>
                <c:pt idx="2">
                  <c:v>39</c:v>
                </c:pt>
                <c:pt idx="3">
                  <c:v>32</c:v>
                </c:pt>
                <c:pt idx="4">
                  <c:v>25</c:v>
                </c:pt>
                <c:pt idx="5">
                  <c:v>25</c:v>
                </c:pt>
                <c:pt idx="6">
                  <c:v>17</c:v>
                </c:pt>
                <c:pt idx="7">
                  <c:v>9</c:v>
                </c:pt>
              </c:numCache>
            </c:numRef>
          </c:val>
        </c:ser>
        <c:dLbls>
          <c:showLegendKey val="0"/>
          <c:showVal val="0"/>
          <c:showCatName val="0"/>
          <c:showSerName val="0"/>
          <c:showPercent val="0"/>
          <c:showBubbleSize val="0"/>
        </c:dLbls>
        <c:gapWidth val="150"/>
        <c:axId val="166548608"/>
        <c:axId val="166550144"/>
      </c:barChart>
      <c:catAx>
        <c:axId val="166548608"/>
        <c:scaling>
          <c:orientation val="minMax"/>
        </c:scaling>
        <c:delete val="0"/>
        <c:axPos val="b"/>
        <c:majorTickMark val="out"/>
        <c:minorTickMark val="none"/>
        <c:tickLblPos val="nextTo"/>
        <c:txPr>
          <a:bodyPr/>
          <a:lstStyle/>
          <a:p>
            <a:pPr>
              <a:defRPr sz="900"/>
            </a:pPr>
            <a:endParaRPr lang="en-US"/>
          </a:p>
        </c:txPr>
        <c:crossAx val="166550144"/>
        <c:crosses val="autoZero"/>
        <c:auto val="1"/>
        <c:lblAlgn val="ctr"/>
        <c:lblOffset val="100"/>
        <c:noMultiLvlLbl val="0"/>
      </c:catAx>
      <c:valAx>
        <c:axId val="166550144"/>
        <c:scaling>
          <c:orientation val="minMax"/>
        </c:scaling>
        <c:delete val="0"/>
        <c:axPos val="l"/>
        <c:majorGridlines/>
        <c:title>
          <c:tx>
            <c:rich>
              <a:bodyPr rot="-5400000" vert="horz"/>
              <a:lstStyle/>
              <a:p>
                <a:pPr>
                  <a:defRPr sz="800"/>
                </a:pPr>
                <a:r>
                  <a:rPr lang="fr-FR" sz="800"/>
                  <a:t>Number of respondents</a:t>
                </a:r>
              </a:p>
            </c:rich>
          </c:tx>
          <c:layout>
            <c:manualLayout>
              <c:xMode val="edge"/>
              <c:yMode val="edge"/>
              <c:x val="4.3578299543415501E-2"/>
              <c:y val="0.23394887740943199"/>
            </c:manualLayout>
          </c:layout>
          <c:overlay val="0"/>
        </c:title>
        <c:numFmt formatCode="General" sourceLinked="1"/>
        <c:majorTickMark val="out"/>
        <c:minorTickMark val="none"/>
        <c:tickLblPos val="nextTo"/>
        <c:crossAx val="16654860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fr-FR" sz="1200" b="0" u="sng"/>
              <a:t>Figure 5: Overview of the most used services</a:t>
            </a:r>
            <a:r>
              <a:rPr lang="fr-FR" sz="1200" b="0" u="sng" baseline="0"/>
              <a:t> at the University of Manchester among the students surveyed.</a:t>
            </a:r>
            <a:endParaRPr lang="fr-FR" sz="1200" b="0" u="sng"/>
          </a:p>
        </c:rich>
      </c:tx>
      <c:overlay val="0"/>
    </c:title>
    <c:autoTitleDeleted val="0"/>
    <c:plotArea>
      <c:layout/>
      <c:barChart>
        <c:barDir val="col"/>
        <c:grouping val="clustered"/>
        <c:varyColors val="0"/>
        <c:ser>
          <c:idx val="0"/>
          <c:order val="0"/>
          <c:spPr>
            <a:solidFill>
              <a:srgbClr val="404040"/>
            </a:solidFill>
          </c:spPr>
          <c:invertIfNegative val="0"/>
          <c:cat>
            <c:strRef>
              <c:f>Feuil1!$A$56:$A$63</c:f>
              <c:strCache>
                <c:ptCount val="8"/>
                <c:pt idx="0">
                  <c:v>Career service</c:v>
                </c:pt>
                <c:pt idx="1">
                  <c:v>Library services</c:v>
                </c:pt>
                <c:pt idx="2">
                  <c:v>Student spaces</c:v>
                </c:pt>
                <c:pt idx="3">
                  <c:v>Societies</c:v>
                </c:pt>
                <c:pt idx="4">
                  <c:v>Sports facilities/ Free sports classes/ University Sport teams</c:v>
                </c:pt>
                <c:pt idx="5">
                  <c:v>Events organized by the University or the Union</c:v>
                </c:pt>
                <c:pt idx="6">
                  <c:v>Jobs available within the University</c:v>
                </c:pt>
                <c:pt idx="7">
                  <c:v>Students' Union Elections</c:v>
                </c:pt>
              </c:strCache>
            </c:strRef>
          </c:cat>
          <c:val>
            <c:numRef>
              <c:f>Feuil1!$B$56:$B$63</c:f>
              <c:numCache>
                <c:formatCode>General</c:formatCode>
                <c:ptCount val="8"/>
                <c:pt idx="0">
                  <c:v>31</c:v>
                </c:pt>
                <c:pt idx="1">
                  <c:v>61</c:v>
                </c:pt>
                <c:pt idx="2">
                  <c:v>46</c:v>
                </c:pt>
                <c:pt idx="3">
                  <c:v>13</c:v>
                </c:pt>
                <c:pt idx="4">
                  <c:v>21</c:v>
                </c:pt>
                <c:pt idx="5">
                  <c:v>29</c:v>
                </c:pt>
                <c:pt idx="6">
                  <c:v>7</c:v>
                </c:pt>
                <c:pt idx="7">
                  <c:v>22</c:v>
                </c:pt>
              </c:numCache>
            </c:numRef>
          </c:val>
        </c:ser>
        <c:dLbls>
          <c:showLegendKey val="0"/>
          <c:showVal val="0"/>
          <c:showCatName val="0"/>
          <c:showSerName val="0"/>
          <c:showPercent val="0"/>
          <c:showBubbleSize val="0"/>
        </c:dLbls>
        <c:gapWidth val="150"/>
        <c:axId val="166566528"/>
        <c:axId val="166568320"/>
      </c:barChart>
      <c:catAx>
        <c:axId val="166566528"/>
        <c:scaling>
          <c:orientation val="minMax"/>
        </c:scaling>
        <c:delete val="0"/>
        <c:axPos val="b"/>
        <c:majorTickMark val="out"/>
        <c:minorTickMark val="none"/>
        <c:tickLblPos val="nextTo"/>
        <c:crossAx val="166568320"/>
        <c:crosses val="autoZero"/>
        <c:auto val="1"/>
        <c:lblAlgn val="ctr"/>
        <c:lblOffset val="100"/>
        <c:noMultiLvlLbl val="0"/>
      </c:catAx>
      <c:valAx>
        <c:axId val="166568320"/>
        <c:scaling>
          <c:orientation val="minMax"/>
        </c:scaling>
        <c:delete val="0"/>
        <c:axPos val="l"/>
        <c:majorGridlines/>
        <c:title>
          <c:tx>
            <c:rich>
              <a:bodyPr rot="-5400000" vert="horz"/>
              <a:lstStyle/>
              <a:p>
                <a:pPr>
                  <a:defRPr sz="900"/>
                </a:pPr>
                <a:r>
                  <a:rPr lang="fr-FR" sz="900"/>
                  <a:t>Number of participants</a:t>
                </a:r>
              </a:p>
            </c:rich>
          </c:tx>
          <c:layout>
            <c:manualLayout>
              <c:xMode val="edge"/>
              <c:yMode val="edge"/>
              <c:x val="1.8601633129192201E-2"/>
              <c:y val="0.193023567366579"/>
            </c:manualLayout>
          </c:layout>
          <c:overlay val="0"/>
        </c:title>
        <c:numFmt formatCode="General" sourceLinked="1"/>
        <c:majorTickMark val="out"/>
        <c:minorTickMark val="none"/>
        <c:tickLblPos val="nextTo"/>
        <c:crossAx val="16656652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EBBD3E9F47A43A7A8D2C46D699FA4"/>
        <w:category>
          <w:name w:val="Général"/>
          <w:gallery w:val="placeholder"/>
        </w:category>
        <w:types>
          <w:type w:val="bbPlcHdr"/>
        </w:types>
        <w:behaviors>
          <w:behavior w:val="content"/>
        </w:behaviors>
        <w:guid w:val="{BCB9C8A3-8713-D243-8D9D-63DA5A093EA5}"/>
      </w:docPartPr>
      <w:docPartBody>
        <w:p w:rsidR="00900C41" w:rsidRDefault="00900C41" w:rsidP="00900C41">
          <w:pPr>
            <w:pStyle w:val="C0FEBBD3E9F47A43A7A8D2C46D699FA4"/>
          </w:pPr>
          <w:r>
            <w:t>[Tapez le texte]</w:t>
          </w:r>
        </w:p>
      </w:docPartBody>
    </w:docPart>
    <w:docPart>
      <w:docPartPr>
        <w:name w:val="28497DEA3A575449A95C6083274DEA4A"/>
        <w:category>
          <w:name w:val="Général"/>
          <w:gallery w:val="placeholder"/>
        </w:category>
        <w:types>
          <w:type w:val="bbPlcHdr"/>
        </w:types>
        <w:behaviors>
          <w:behavior w:val="content"/>
        </w:behaviors>
        <w:guid w:val="{3A59C390-62C5-8445-A3BF-EDBB2A153D7A}"/>
      </w:docPartPr>
      <w:docPartBody>
        <w:p w:rsidR="00900C41" w:rsidRDefault="00900C41" w:rsidP="00900C41">
          <w:pPr>
            <w:pStyle w:val="28497DEA3A575449A95C6083274DEA4A"/>
          </w:pPr>
          <w:r>
            <w:t>[Tapez le texte]</w:t>
          </w:r>
        </w:p>
      </w:docPartBody>
    </w:docPart>
    <w:docPart>
      <w:docPartPr>
        <w:name w:val="7352C5B7DDC0514D916A5E2569DD47CB"/>
        <w:category>
          <w:name w:val="Général"/>
          <w:gallery w:val="placeholder"/>
        </w:category>
        <w:types>
          <w:type w:val="bbPlcHdr"/>
        </w:types>
        <w:behaviors>
          <w:behavior w:val="content"/>
        </w:behaviors>
        <w:guid w:val="{7E3EC60A-9F82-D14F-BFB1-98C62772B34A}"/>
      </w:docPartPr>
      <w:docPartBody>
        <w:p w:rsidR="00900C41" w:rsidRDefault="00900C41" w:rsidP="00900C41">
          <w:pPr>
            <w:pStyle w:val="7352C5B7DDC0514D916A5E2569DD47CB"/>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41"/>
    <w:rsid w:val="002E4A70"/>
    <w:rsid w:val="004D2767"/>
    <w:rsid w:val="00664FC4"/>
    <w:rsid w:val="00900C41"/>
    <w:rsid w:val="009C1D88"/>
    <w:rsid w:val="00C17B78"/>
    <w:rsid w:val="00CA327C"/>
    <w:rsid w:val="00D83016"/>
    <w:rsid w:val="00EB1C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EBBD3E9F47A43A7A8D2C46D699FA4">
    <w:name w:val="C0FEBBD3E9F47A43A7A8D2C46D699FA4"/>
    <w:rsid w:val="00900C41"/>
  </w:style>
  <w:style w:type="paragraph" w:customStyle="1" w:styleId="28497DEA3A575449A95C6083274DEA4A">
    <w:name w:val="28497DEA3A575449A95C6083274DEA4A"/>
    <w:rsid w:val="00900C41"/>
  </w:style>
  <w:style w:type="paragraph" w:customStyle="1" w:styleId="7352C5B7DDC0514D916A5E2569DD47CB">
    <w:name w:val="7352C5B7DDC0514D916A5E2569DD47CB"/>
    <w:rsid w:val="00900C41"/>
  </w:style>
  <w:style w:type="paragraph" w:customStyle="1" w:styleId="580D325D94798C4898DC33494474D601">
    <w:name w:val="580D325D94798C4898DC33494474D601"/>
    <w:rsid w:val="00900C41"/>
  </w:style>
  <w:style w:type="paragraph" w:customStyle="1" w:styleId="7E87A521A6A3B545833F65D06C67D167">
    <w:name w:val="7E87A521A6A3B545833F65D06C67D167"/>
    <w:rsid w:val="00900C41"/>
  </w:style>
  <w:style w:type="paragraph" w:customStyle="1" w:styleId="3C0EB172E26AF045B7970AED0846AB0C">
    <w:name w:val="3C0EB172E26AF045B7970AED0846AB0C"/>
    <w:rsid w:val="00900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EBBD3E9F47A43A7A8D2C46D699FA4">
    <w:name w:val="C0FEBBD3E9F47A43A7A8D2C46D699FA4"/>
    <w:rsid w:val="00900C41"/>
  </w:style>
  <w:style w:type="paragraph" w:customStyle="1" w:styleId="28497DEA3A575449A95C6083274DEA4A">
    <w:name w:val="28497DEA3A575449A95C6083274DEA4A"/>
    <w:rsid w:val="00900C41"/>
  </w:style>
  <w:style w:type="paragraph" w:customStyle="1" w:styleId="7352C5B7DDC0514D916A5E2569DD47CB">
    <w:name w:val="7352C5B7DDC0514D916A5E2569DD47CB"/>
    <w:rsid w:val="00900C41"/>
  </w:style>
  <w:style w:type="paragraph" w:customStyle="1" w:styleId="580D325D94798C4898DC33494474D601">
    <w:name w:val="580D325D94798C4898DC33494474D601"/>
    <w:rsid w:val="00900C41"/>
  </w:style>
  <w:style w:type="paragraph" w:customStyle="1" w:styleId="7E87A521A6A3B545833F65D06C67D167">
    <w:name w:val="7E87A521A6A3B545833F65D06C67D167"/>
    <w:rsid w:val="00900C41"/>
  </w:style>
  <w:style w:type="paragraph" w:customStyle="1" w:styleId="3C0EB172E26AF045B7970AED0846AB0C">
    <w:name w:val="3C0EB172E26AF045B7970AED0846AB0C"/>
    <w:rsid w:val="00900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AD4C-4C6D-4916-BA8B-A5C80703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6023</Words>
  <Characters>31385</Characters>
  <Application>Microsoft Office Word</Application>
  <DocSecurity>0</DocSecurity>
  <Lines>506</Lines>
  <Paragraphs>73</Paragraphs>
  <ScaleCrop>false</ScaleCrop>
  <HeadingPairs>
    <vt:vector size="2" baseType="variant">
      <vt:variant>
        <vt:lpstr>Title</vt:lpstr>
      </vt:variant>
      <vt:variant>
        <vt:i4>1</vt:i4>
      </vt:variant>
    </vt:vector>
  </HeadingPairs>
  <TitlesOfParts>
    <vt:vector size="1" baseType="lpstr">
      <vt:lpstr/>
    </vt:vector>
  </TitlesOfParts>
  <Company>OMS</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Maure</dc:creator>
  <cp:lastModifiedBy>Stephanie Collins</cp:lastModifiedBy>
  <cp:revision>2</cp:revision>
  <dcterms:created xsi:type="dcterms:W3CDTF">2016-04-26T14:34:00Z</dcterms:created>
  <dcterms:modified xsi:type="dcterms:W3CDTF">2016-04-26T14:34:00Z</dcterms:modified>
</cp:coreProperties>
</file>