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53" w:rsidRDefault="00C90F53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bookmarkStart w:id="0" w:name="_GoBack"/>
      <w:bookmarkEnd w:id="0"/>
    </w:p>
    <w:p w:rsidR="00C90F53" w:rsidRPr="005D2AAF" w:rsidRDefault="00C90F53">
      <w:pPr>
        <w:numPr>
          <w:ilvl w:val="0"/>
          <w:numId w:val="3"/>
        </w:num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>GENERAL INFORMATION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5786"/>
      </w:tblGrid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Title</w:t>
            </w:r>
          </w:p>
        </w:tc>
        <w:tc>
          <w:tcPr>
            <w:tcW w:w="5786" w:type="dxa"/>
          </w:tcPr>
          <w:p w:rsidR="00C90F53" w:rsidRPr="000F22E4" w:rsidRDefault="00CE2E48" w:rsidP="00F23ACC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Changing Landscape of </w:t>
            </w:r>
            <w:r w:rsidR="000F22E4" w:rsidRPr="000F22E4">
              <w:rPr>
                <w:rFonts w:asciiTheme="majorHAnsi" w:hAnsiTheme="majorHAnsi"/>
                <w:sz w:val="22"/>
                <w:szCs w:val="22"/>
              </w:rPr>
              <w:t>Higher Education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Unit code</w:t>
            </w:r>
          </w:p>
        </w:tc>
        <w:tc>
          <w:tcPr>
            <w:tcW w:w="5786" w:type="dxa"/>
          </w:tcPr>
          <w:p w:rsidR="00C90F53" w:rsidRPr="000F22E4" w:rsidRDefault="008C5D1E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EDUC66061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Credit rating</w:t>
            </w:r>
          </w:p>
        </w:tc>
        <w:tc>
          <w:tcPr>
            <w:tcW w:w="5786" w:type="dxa"/>
          </w:tcPr>
          <w:p w:rsidR="00C90F53" w:rsidRPr="000F22E4" w:rsidRDefault="0071735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15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Level</w:t>
            </w:r>
          </w:p>
        </w:tc>
        <w:tc>
          <w:tcPr>
            <w:tcW w:w="5786" w:type="dxa"/>
          </w:tcPr>
          <w:p w:rsidR="00C90F53" w:rsidRPr="000F22E4" w:rsidRDefault="0071735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7</w:t>
            </w:r>
          </w:p>
        </w:tc>
      </w:tr>
      <w:tr w:rsidR="000148C3" w:rsidRPr="005D2AAF" w:rsidTr="008C5D1E">
        <w:tc>
          <w:tcPr>
            <w:tcW w:w="3536" w:type="dxa"/>
          </w:tcPr>
          <w:p w:rsidR="000148C3" w:rsidRPr="005D2AAF" w:rsidRDefault="000148C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>
              <w:rPr>
                <w:rFonts w:ascii="Microsoft Sans Serif" w:hAnsi="Microsoft Sans Serif" w:cs="Microsoft Sans Serif"/>
                <w:snapToGrid w:val="0"/>
                <w:sz w:val="22"/>
              </w:rPr>
              <w:t>Contact hours</w:t>
            </w:r>
          </w:p>
        </w:tc>
        <w:tc>
          <w:tcPr>
            <w:tcW w:w="5786" w:type="dxa"/>
          </w:tcPr>
          <w:p w:rsidR="00071228" w:rsidRPr="000F22E4" w:rsidRDefault="008C5D1E" w:rsidP="00A546D9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3 x face-to-face afternoon sessions</w:t>
            </w:r>
            <w:r w:rsidR="000F22E4"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:</w:t>
            </w: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9</w:t>
            </w:r>
            <w:r w:rsidR="000F22E4"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hours</w:t>
            </w:r>
          </w:p>
          <w:p w:rsidR="00071228" w:rsidRPr="000F22E4" w:rsidRDefault="000F22E4" w:rsidP="00A546D9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Directed 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reading and </w:t>
            </w: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exercises: 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30</w:t>
            </w: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hours</w:t>
            </w:r>
          </w:p>
          <w:p w:rsidR="00071228" w:rsidRPr="000F22E4" w:rsidRDefault="000F22E4" w:rsidP="00A546D9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Private 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s</w:t>
            </w: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tudy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and thinking</w:t>
            </w: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: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111</w:t>
            </w: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hours</w:t>
            </w:r>
          </w:p>
          <w:p w:rsidR="000148C3" w:rsidRPr="000F22E4" w:rsidRDefault="000148C3" w:rsidP="00917270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</w:p>
        </w:tc>
      </w:tr>
      <w:tr w:rsidR="00E9173E" w:rsidRPr="005D2AAF" w:rsidTr="008C5D1E">
        <w:tc>
          <w:tcPr>
            <w:tcW w:w="3536" w:type="dxa"/>
          </w:tcPr>
          <w:p w:rsidR="00E9173E" w:rsidRDefault="00E9173E" w:rsidP="008C5D1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E9173E">
              <w:rPr>
                <w:rFonts w:ascii="Microsoft Sans Serif" w:hAnsi="Microsoft Sans Serif" w:cs="Microsoft Sans Serif"/>
                <w:snapToGrid w:val="0"/>
                <w:sz w:val="22"/>
              </w:rPr>
              <w:t>Other Scheduled teaching and learning activities</w:t>
            </w:r>
          </w:p>
        </w:tc>
        <w:tc>
          <w:tcPr>
            <w:tcW w:w="5786" w:type="dxa"/>
          </w:tcPr>
          <w:p w:rsidR="00071228" w:rsidRPr="000F22E4" w:rsidRDefault="000F22E4" w:rsidP="00071228">
            <w:pPr>
              <w:spacing w:line="276" w:lineRule="auto"/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Assessment  Surgeries</w:t>
            </w:r>
            <w:r w:rsidR="008C5D1E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(by appointment with course tutor, individual or in groups)</w:t>
            </w:r>
          </w:p>
          <w:p w:rsidR="00E9173E" w:rsidRPr="000F22E4" w:rsidRDefault="00E9173E" w:rsidP="00917270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Pre-requisite units</w:t>
            </w:r>
          </w:p>
        </w:tc>
        <w:tc>
          <w:tcPr>
            <w:tcW w:w="5786" w:type="dxa"/>
          </w:tcPr>
          <w:p w:rsidR="00C90F53" w:rsidRPr="000F22E4" w:rsidRDefault="00156473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None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Co-requisite units</w:t>
            </w:r>
          </w:p>
        </w:tc>
        <w:tc>
          <w:tcPr>
            <w:tcW w:w="5786" w:type="dxa"/>
          </w:tcPr>
          <w:p w:rsidR="00C90F53" w:rsidRPr="000F22E4" w:rsidRDefault="00156473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None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C90F53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School responsible</w:t>
            </w:r>
          </w:p>
        </w:tc>
        <w:tc>
          <w:tcPr>
            <w:tcW w:w="5786" w:type="dxa"/>
          </w:tcPr>
          <w:p w:rsidR="00C90F53" w:rsidRPr="000F22E4" w:rsidRDefault="0071735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S</w:t>
            </w:r>
            <w:r w:rsidR="000F22E4"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E</w:t>
            </w: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ED</w:t>
            </w:r>
          </w:p>
        </w:tc>
      </w:tr>
      <w:tr w:rsidR="00BD6CDD" w:rsidRPr="005D2AAF" w:rsidTr="008C5D1E">
        <w:tc>
          <w:tcPr>
            <w:tcW w:w="3536" w:type="dxa"/>
          </w:tcPr>
          <w:p w:rsidR="00BD6CDD" w:rsidRPr="005D2AAF" w:rsidRDefault="00BD6CDD" w:rsidP="0008295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sz w:val="22"/>
              </w:rPr>
              <w:t>Member of staff responsible</w:t>
            </w:r>
          </w:p>
        </w:tc>
        <w:tc>
          <w:tcPr>
            <w:tcW w:w="5786" w:type="dxa"/>
          </w:tcPr>
          <w:p w:rsidR="00BD6CDD" w:rsidRDefault="008C5D1E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Prof </w:t>
            </w:r>
            <w:r w:rsidR="000F22E4"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Steve</w:t>
            </w: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n</w:t>
            </w:r>
            <w:r w:rsidR="000F22E4"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Jones</w:t>
            </w:r>
            <w:r w:rsidR="000E2AB6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 xml:space="preserve"> (Ellen Wilkinson Building A5.13)</w:t>
            </w:r>
          </w:p>
          <w:p w:rsidR="000E2AB6" w:rsidRDefault="00860514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hyperlink r:id="rId7" w:history="1">
              <w:r w:rsidR="000E2AB6" w:rsidRPr="00D41643">
                <w:rPr>
                  <w:rStyle w:val="Hyperlink"/>
                  <w:rFonts w:asciiTheme="majorHAnsi" w:hAnsiTheme="majorHAnsi" w:cs="Microsoft Sans Serif"/>
                  <w:snapToGrid w:val="0"/>
                  <w:sz w:val="22"/>
                  <w:szCs w:val="22"/>
                </w:rPr>
                <w:t>sj@manchester.ac.uk</w:t>
              </w:r>
            </w:hyperlink>
          </w:p>
          <w:p w:rsidR="000E2AB6" w:rsidRDefault="000E2AB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@StevenJones_MCR</w:t>
            </w:r>
          </w:p>
          <w:p w:rsidR="000E2AB6" w:rsidRPr="000F22E4" w:rsidRDefault="000E2AB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</w:p>
        </w:tc>
      </w:tr>
      <w:tr w:rsidR="00BD6CDD" w:rsidRPr="005D2AAF" w:rsidTr="008C5D1E">
        <w:tc>
          <w:tcPr>
            <w:tcW w:w="3536" w:type="dxa"/>
          </w:tcPr>
          <w:p w:rsidR="00BD6CDD" w:rsidRPr="005D2AAF" w:rsidRDefault="00BD6CDD" w:rsidP="008C5D1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>
              <w:rPr>
                <w:rFonts w:ascii="Microsoft Sans Serif" w:hAnsi="Microsoft Sans Serif" w:cs="Microsoft Sans Serif"/>
                <w:snapToGrid w:val="0"/>
                <w:sz w:val="22"/>
              </w:rPr>
              <w:t>ECT</w:t>
            </w:r>
            <w:r w:rsidR="00E9173E">
              <w:rPr>
                <w:rFonts w:ascii="Microsoft Sans Serif" w:hAnsi="Microsoft Sans Serif" w:cs="Microsoft Sans Serif"/>
                <w:snapToGrid w:val="0"/>
                <w:sz w:val="22"/>
              </w:rPr>
              <w:t>S</w:t>
            </w:r>
            <w:r w:rsidR="008C5D1E">
              <w:rPr>
                <w:rFonts w:ascii="Microsoft Sans Serif" w:hAnsi="Microsoft Sans Serif" w:cs="Microsoft Sans Serif"/>
                <w:snapToGrid w:val="0"/>
                <w:sz w:val="22"/>
              </w:rPr>
              <w:t xml:space="preserve"> </w:t>
            </w:r>
            <w:r w:rsidR="008C5D1E" w:rsidRPr="008C5D1E">
              <w:rPr>
                <w:rFonts w:ascii="Microsoft Sans Serif" w:hAnsi="Microsoft Sans Serif" w:cs="Microsoft Sans Serif"/>
                <w:snapToGrid w:val="0"/>
                <w:sz w:val="22"/>
              </w:rPr>
              <w:t>(European Credit Transfer and Accumulation System</w:t>
            </w:r>
            <w:r w:rsidR="008C5D1E">
              <w:rPr>
                <w:rFonts w:ascii="Microsoft Sans Serif" w:hAnsi="Microsoft Sans Serif" w:cs="Microsoft Sans Serif"/>
                <w:snapToGrid w:val="0"/>
                <w:sz w:val="22"/>
              </w:rPr>
              <w:t>)</w:t>
            </w:r>
            <w:r w:rsidR="008C5D1E" w:rsidRPr="008C5D1E">
              <w:rPr>
                <w:rFonts w:ascii="Microsoft Sans Serif" w:hAnsi="Microsoft Sans Serif" w:cs="Microsoft Sans Serif"/>
                <w:snapToGrid w:val="0"/>
                <w:sz w:val="22"/>
              </w:rPr>
              <w:t xml:space="preserve"> </w:t>
            </w:r>
          </w:p>
        </w:tc>
        <w:tc>
          <w:tcPr>
            <w:tcW w:w="5786" w:type="dxa"/>
          </w:tcPr>
          <w:p w:rsidR="00BD6CDD" w:rsidRPr="000F22E4" w:rsidRDefault="0071735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7.5</w:t>
            </w:r>
          </w:p>
        </w:tc>
      </w:tr>
      <w:tr w:rsidR="00C90F53" w:rsidRPr="005D2AAF" w:rsidTr="008C5D1E">
        <w:tc>
          <w:tcPr>
            <w:tcW w:w="3536" w:type="dxa"/>
          </w:tcPr>
          <w:p w:rsidR="00C90F53" w:rsidRPr="005D2AAF" w:rsidRDefault="00BD6CDD" w:rsidP="008C5D1E">
            <w:pPr>
              <w:spacing w:before="60" w:after="60"/>
              <w:rPr>
                <w:rFonts w:ascii="Microsoft Sans Serif" w:hAnsi="Microsoft Sans Serif" w:cs="Microsoft Sans Serif"/>
                <w:snapToGrid w:val="0"/>
                <w:sz w:val="22"/>
              </w:rPr>
            </w:pPr>
            <w:r>
              <w:rPr>
                <w:rFonts w:ascii="Microsoft Sans Serif" w:hAnsi="Microsoft Sans Serif" w:cs="Microsoft Sans Serif"/>
                <w:snapToGrid w:val="0"/>
                <w:sz w:val="22"/>
              </w:rPr>
              <w:t xml:space="preserve">Notional hours of </w:t>
            </w:r>
            <w:r w:rsidR="007A22AD">
              <w:rPr>
                <w:rFonts w:ascii="Microsoft Sans Serif" w:hAnsi="Microsoft Sans Serif" w:cs="Microsoft Sans Serif"/>
                <w:snapToGrid w:val="0"/>
                <w:sz w:val="22"/>
              </w:rPr>
              <w:t>Learning</w:t>
            </w:r>
          </w:p>
        </w:tc>
        <w:tc>
          <w:tcPr>
            <w:tcW w:w="5786" w:type="dxa"/>
          </w:tcPr>
          <w:p w:rsidR="00C90F53" w:rsidRPr="000F22E4" w:rsidRDefault="00717356">
            <w:pPr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</w:pPr>
            <w:r w:rsidRPr="000F22E4">
              <w:rPr>
                <w:rFonts w:asciiTheme="majorHAnsi" w:hAnsiTheme="majorHAnsi" w:cs="Microsoft Sans Serif"/>
                <w:snapToGrid w:val="0"/>
                <w:sz w:val="22"/>
                <w:szCs w:val="22"/>
              </w:rPr>
              <w:t>150</w:t>
            </w:r>
          </w:p>
        </w:tc>
      </w:tr>
    </w:tbl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C90F53" w:rsidRPr="005D2AAF" w:rsidRDefault="00C90F53">
      <w:pPr>
        <w:numPr>
          <w:ilvl w:val="0"/>
          <w:numId w:val="3"/>
        </w:num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>AIMS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C90F53" w:rsidRDefault="00C9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i/>
          <w:snapToGrid w:val="0"/>
          <w:color w:val="000000"/>
          <w:sz w:val="22"/>
        </w:rPr>
        <w:t>The unit aims to:</w:t>
      </w:r>
    </w:p>
    <w:p w:rsidR="008947DF" w:rsidRDefault="0089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/>
          <w:snapToGrid w:val="0"/>
          <w:color w:val="000000"/>
          <w:sz w:val="22"/>
        </w:rPr>
      </w:pPr>
    </w:p>
    <w:p w:rsidR="00071228" w:rsidRDefault="0069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- </w:t>
      </w:r>
      <w:r w:rsidR="00071228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introduce </w:t>
      </w:r>
      <w:r w:rsidR="000F22E4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participants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to Higher Education 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(HE)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systems globally and help them to 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understand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the English 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HE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system 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with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in 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its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wider context;</w:t>
      </w:r>
    </w:p>
    <w:p w:rsidR="008947DF" w:rsidRPr="00696B20" w:rsidRDefault="0089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D91DFD" w:rsidRDefault="00696B20" w:rsidP="00D9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- </w:t>
      </w:r>
      <w:r w:rsidR="00D91DFD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provide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detailed knowledge and skills relating to</w:t>
      </w:r>
      <w:r w:rsidR="00D91DFD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key areas of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HE operation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, and an ability to interpret developments through an academically-informed, critical perspective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;</w:t>
      </w:r>
    </w:p>
    <w:p w:rsidR="008947DF" w:rsidRPr="00696B20" w:rsidRDefault="008947DF" w:rsidP="00D9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D91DFD" w:rsidRDefault="00696B20" w:rsidP="00D9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- </w:t>
      </w:r>
      <w:r w:rsidR="00D91DFD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provide opportunities for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participants</w:t>
      </w:r>
      <w:r w:rsidR="00D91DFD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to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reflect </w:t>
      </w:r>
      <w:r w:rsidR="00D91DFD" w:rsidRPr="00696B20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critically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on th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eir role and place within their 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university</w:t>
      </w:r>
      <w:r w:rsidR="008C5D1E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and within the wider HE sector</w:t>
      </w:r>
      <w:r w:rsidR="00BD597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;</w:t>
      </w:r>
    </w:p>
    <w:p w:rsidR="008947DF" w:rsidRPr="00696B20" w:rsidRDefault="008947DF" w:rsidP="00D9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EC4D32" w:rsidRDefault="00696B20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- 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enable participants to</w:t>
      </w:r>
      <w:r w:rsidR="00EC4D3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understand students’ HE experience 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in the round</w:t>
      </w:r>
      <w:r w:rsidR="00EC4D3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, and to enhance their contribution towards it.</w:t>
      </w:r>
    </w:p>
    <w:p w:rsidR="00EC4D32" w:rsidRDefault="00EC4D32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EC4D32" w:rsidRDefault="00EC4D32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- 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foster</w:t>
      </w:r>
      <w:r w:rsidRPr="00EC4D3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 xml:space="preserve"> a critical understanding of issues relat</w:t>
      </w:r>
      <w:r w:rsidR="005D58D5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ing to access, governance and p</w:t>
      </w:r>
      <w:r w:rsidRPr="00EC4D32"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rofessional identity.</w:t>
      </w:r>
    </w:p>
    <w:p w:rsidR="008C5D1E" w:rsidRDefault="008C5D1E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8C5D1E" w:rsidRDefault="008C5D1E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- understand the structural architecture of HE in England, and develop a clear understanding of which agencies are responsible for which kind of oversight;</w:t>
      </w:r>
    </w:p>
    <w:p w:rsidR="008C5D1E" w:rsidRDefault="008C5D1E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</w:p>
    <w:p w:rsidR="008C5D1E" w:rsidRPr="00EC4D32" w:rsidRDefault="008C5D1E" w:rsidP="00EC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iCs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iCs/>
          <w:snapToGrid w:val="0"/>
          <w:color w:val="000000"/>
          <w:sz w:val="22"/>
        </w:rPr>
        <w:t>- become familiar with the many public reports, reviews and other documents, and to reflect on the extent to which HE policy shapes everyday practice and culture.</w:t>
      </w:r>
    </w:p>
    <w:p w:rsidR="00C90F53" w:rsidRPr="005D2AAF" w:rsidRDefault="00C9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C90F53" w:rsidRDefault="00C90F53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C90F53" w:rsidRPr="005D2AAF" w:rsidRDefault="00C90F53" w:rsidP="00C52C33">
      <w:pPr>
        <w:numPr>
          <w:ilvl w:val="0"/>
          <w:numId w:val="3"/>
        </w:numPr>
        <w:rPr>
          <w:rFonts w:ascii="Microsoft Sans Serif" w:hAnsi="Microsoft Sans Serif" w:cs="Microsoft Sans Serif"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>BRIEF DESCRIPTION OF THE UNIT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272866" w:rsidRDefault="00067405" w:rsidP="0027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This course unit will </w:t>
      </w:r>
      <w:r w:rsidR="00F23ACC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explore how Higher Education is changing, and how participants contribute to and position themselves within that change. </w:t>
      </w:r>
      <w:r w:rsidR="001F4013">
        <w:rPr>
          <w:rFonts w:ascii="Microsoft Sans Serif" w:hAnsi="Microsoft Sans Serif" w:cs="Microsoft Sans Serif"/>
          <w:snapToGrid w:val="0"/>
          <w:color w:val="000000"/>
          <w:sz w:val="22"/>
        </w:rPr>
        <w:t>Among the</w:t>
      </w:r>
      <w:r w:rsidR="00272866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 topic</w:t>
      </w:r>
      <w:r w:rsidR="001F4013">
        <w:rPr>
          <w:rFonts w:ascii="Microsoft Sans Serif" w:hAnsi="Microsoft Sans Serif" w:cs="Microsoft Sans Serif"/>
          <w:snapToGrid w:val="0"/>
          <w:color w:val="000000"/>
          <w:sz w:val="22"/>
        </w:rPr>
        <w:t>s that</w:t>
      </w:r>
      <w:r w:rsidR="00272866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 will be covered</w:t>
      </w:r>
      <w:r w:rsidR="001F4013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 are</w:t>
      </w:r>
      <w:r w:rsidR="00272866">
        <w:rPr>
          <w:rFonts w:ascii="Microsoft Sans Serif" w:hAnsi="Microsoft Sans Serif" w:cs="Microsoft Sans Serif"/>
          <w:snapToGrid w:val="0"/>
          <w:color w:val="000000"/>
          <w:sz w:val="22"/>
        </w:rPr>
        <w:t>:</w:t>
      </w:r>
    </w:p>
    <w:p w:rsidR="00071228" w:rsidRDefault="00071228" w:rsidP="0027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C90F53" w:rsidRDefault="00071228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- </w:t>
      </w:r>
      <w:r w:rsidR="001F4013">
        <w:rPr>
          <w:rFonts w:ascii="Microsoft Sans Serif" w:hAnsi="Microsoft Sans Serif" w:cs="Microsoft Sans Serif"/>
          <w:snapToGrid w:val="0"/>
          <w:color w:val="000000"/>
          <w:sz w:val="22"/>
        </w:rPr>
        <w:t>Developments and shifts in</w:t>
      </w:r>
      <w:r w:rsidR="00EC4D32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 HE, nationally and internationally.</w:t>
      </w:r>
    </w:p>
    <w:p w:rsidR="001F4013" w:rsidRDefault="001F4013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Fairness in HE admissions.</w:t>
      </w:r>
    </w:p>
    <w:p w:rsidR="00EC4D32" w:rsidRDefault="00FB653F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- </w:t>
      </w:r>
      <w:r w:rsidR="00EC4D32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Ways in which universities’ heritage </w:t>
      </w:r>
      <w:r w:rsidR="008C5D1E"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and culture </w:t>
      </w:r>
      <w:r w:rsidR="00EC4D32">
        <w:rPr>
          <w:rFonts w:ascii="Microsoft Sans Serif" w:hAnsi="Microsoft Sans Serif" w:cs="Microsoft Sans Serif"/>
          <w:snapToGrid w:val="0"/>
          <w:color w:val="000000"/>
          <w:sz w:val="22"/>
        </w:rPr>
        <w:t>affect students’ perceptions and experiences.</w:t>
      </w:r>
    </w:p>
    <w:p w:rsidR="00FB653F" w:rsidRDefault="00FB653F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Funding mechanism</w:t>
      </w:r>
      <w:r w:rsidR="00D404AC">
        <w:rPr>
          <w:rFonts w:ascii="Microsoft Sans Serif" w:hAnsi="Microsoft Sans Serif" w:cs="Microsoft Sans Serif"/>
          <w:snapToGrid w:val="0"/>
          <w:color w:val="000000"/>
          <w:sz w:val="22"/>
        </w:rPr>
        <w:t>s</w:t>
      </w:r>
      <w:r>
        <w:rPr>
          <w:rFonts w:ascii="Microsoft Sans Serif" w:hAnsi="Microsoft Sans Serif" w:cs="Microsoft Sans Serif"/>
          <w:snapToGrid w:val="0"/>
          <w:color w:val="000000"/>
          <w:sz w:val="22"/>
        </w:rPr>
        <w:t xml:space="preserve"> for HE, including student fees.</w:t>
      </w:r>
    </w:p>
    <w:p w:rsidR="00EC4D32" w:rsidRDefault="00EC4D32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How English universities position themselves in increasingly internationalised markets.</w:t>
      </w:r>
    </w:p>
    <w:p w:rsidR="00EC4D32" w:rsidRDefault="00EC4D32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The changing role of HE as a private and public good.</w:t>
      </w:r>
    </w:p>
    <w:p w:rsidR="001F4013" w:rsidRDefault="001F4013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HE policy: past, present and future.</w:t>
      </w:r>
    </w:p>
    <w:p w:rsidR="00EC4D32" w:rsidRDefault="001F4013" w:rsidP="0007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snapToGrid w:val="0"/>
          <w:color w:val="000000"/>
          <w:sz w:val="22"/>
        </w:rPr>
        <w:t>- Widening Participation agenda and participation issues.</w:t>
      </w:r>
    </w:p>
    <w:p w:rsidR="00C90F53" w:rsidRPr="005D2AAF" w:rsidRDefault="00C9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BD6CDD" w:rsidRDefault="00BD6CDD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8C5D1E" w:rsidRDefault="008C5D1E" w:rsidP="00F94E8E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C90F53" w:rsidRPr="005D2AAF" w:rsidRDefault="00C90F53" w:rsidP="00F94E8E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>INTENDED LEARNING OUTCOMES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17"/>
      </w:tblGrid>
      <w:tr w:rsidR="00C90F53" w:rsidRPr="005D2AAF">
        <w:tc>
          <w:tcPr>
            <w:tcW w:w="2376" w:type="dxa"/>
          </w:tcPr>
          <w:p w:rsidR="00C90F53" w:rsidRPr="005D2AAF" w:rsidRDefault="00C90F53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2"/>
              </w:rPr>
              <w:t>Category of outcome</w:t>
            </w:r>
          </w:p>
        </w:tc>
        <w:tc>
          <w:tcPr>
            <w:tcW w:w="6417" w:type="dxa"/>
          </w:tcPr>
          <w:p w:rsidR="00C90F53" w:rsidRPr="005D2AAF" w:rsidRDefault="00EC4D32" w:rsidP="00B41B7A">
            <w:pPr>
              <w:rPr>
                <w:rFonts w:ascii="Microsoft Sans Serif" w:hAnsi="Microsoft Sans Serif" w:cs="Microsoft Sans Serif"/>
                <w:i/>
                <w:snapToGrid w:val="0"/>
                <w:color w:val="000000"/>
                <w:sz w:val="22"/>
              </w:rPr>
            </w:pPr>
            <w:r>
              <w:rPr>
                <w:rFonts w:ascii="Microsoft Sans Serif" w:hAnsi="Microsoft Sans Serif" w:cs="Microsoft Sans Serif"/>
                <w:i/>
                <w:snapToGrid w:val="0"/>
                <w:color w:val="000000"/>
                <w:sz w:val="22"/>
              </w:rPr>
              <w:t>Participa</w:t>
            </w:r>
            <w:r w:rsidR="00C90F53" w:rsidRPr="005D2AAF">
              <w:rPr>
                <w:rFonts w:ascii="Microsoft Sans Serif" w:hAnsi="Microsoft Sans Serif" w:cs="Microsoft Sans Serif"/>
                <w:i/>
                <w:snapToGrid w:val="0"/>
                <w:color w:val="000000"/>
                <w:sz w:val="22"/>
              </w:rPr>
              <w:t xml:space="preserve">nts should be able to: </w:t>
            </w:r>
          </w:p>
        </w:tc>
      </w:tr>
      <w:tr w:rsidR="00C90F53" w:rsidRPr="005D2AAF">
        <w:tc>
          <w:tcPr>
            <w:tcW w:w="2376" w:type="dxa"/>
          </w:tcPr>
          <w:p w:rsidR="00C90F53" w:rsidRPr="001F4013" w:rsidRDefault="00C90F53">
            <w:pPr>
              <w:jc w:val="center"/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Knowledge and understanding</w:t>
            </w:r>
          </w:p>
        </w:tc>
        <w:tc>
          <w:tcPr>
            <w:tcW w:w="6417" w:type="dxa"/>
          </w:tcPr>
          <w:p w:rsidR="009F3180" w:rsidRPr="001F4013" w:rsidRDefault="009F3180" w:rsidP="009F3180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Explain the 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role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s and contributions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of HE in contemporary societies and the models upon which HE systems 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are based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.</w:t>
            </w:r>
          </w:p>
          <w:p w:rsidR="001F4013" w:rsidRPr="001F4013" w:rsidRDefault="001F4013" w:rsidP="009F3180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  <w:p w:rsidR="00D91DFD" w:rsidRPr="001F4013" w:rsidRDefault="009F3180" w:rsidP="00D91DFD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Demonstrate </w:t>
            </w:r>
            <w:r w:rsidR="00D91DFD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applied knowledge</w:t>
            </w: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of a range of key principles</w:t>
            </w:r>
            <w:r w:rsidR="00D91DFD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</w:t>
            </w:r>
            <w:r w:rsidR="008C5D1E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relating to core HE activities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.</w:t>
            </w:r>
          </w:p>
          <w:p w:rsidR="00C90F53" w:rsidRPr="001F4013" w:rsidRDefault="00C90F53" w:rsidP="00EC4D3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</w:tc>
      </w:tr>
      <w:tr w:rsidR="00C90F53" w:rsidRPr="005D2AAF">
        <w:tc>
          <w:tcPr>
            <w:tcW w:w="2376" w:type="dxa"/>
          </w:tcPr>
          <w:p w:rsidR="00C90F53" w:rsidRPr="001F4013" w:rsidRDefault="00C90F53">
            <w:pPr>
              <w:jc w:val="center"/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Intellectual skills</w:t>
            </w:r>
          </w:p>
        </w:tc>
        <w:tc>
          <w:tcPr>
            <w:tcW w:w="6417" w:type="dxa"/>
          </w:tcPr>
          <w:p w:rsidR="00AA0222" w:rsidRPr="001F4013" w:rsidRDefault="00CC55CE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Demonstrate the ability to 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engage in debates about key issues, such as who participates in HE, who benefits and 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how funding models might operate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.</w:t>
            </w:r>
          </w:p>
          <w:p w:rsidR="00C90F53" w:rsidRPr="001F4013" w:rsidRDefault="00C90F53" w:rsidP="00EC4D3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</w:tc>
      </w:tr>
      <w:tr w:rsidR="00C90F53" w:rsidRPr="005D2AAF">
        <w:tc>
          <w:tcPr>
            <w:tcW w:w="2376" w:type="dxa"/>
          </w:tcPr>
          <w:p w:rsidR="00C90F53" w:rsidRPr="001F4013" w:rsidRDefault="00C90F53">
            <w:pPr>
              <w:jc w:val="center"/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Practical skills</w:t>
            </w:r>
          </w:p>
        </w:tc>
        <w:tc>
          <w:tcPr>
            <w:tcW w:w="6417" w:type="dxa"/>
          </w:tcPr>
          <w:p w:rsidR="00AA0222" w:rsidRPr="001F4013" w:rsidRDefault="00821505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R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eflect on their own practice and respons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ibilities within the university.</w:t>
            </w:r>
          </w:p>
          <w:p w:rsidR="00EC4D32" w:rsidRPr="001F4013" w:rsidRDefault="00EC4D32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  <w:p w:rsidR="00EC4D32" w:rsidRPr="001F4013" w:rsidRDefault="00821505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D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evelop skills that enhance their own experience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,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and that of colleagues and students.</w:t>
            </w:r>
          </w:p>
          <w:p w:rsidR="00C90F53" w:rsidRPr="001F4013" w:rsidRDefault="00C90F53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</w:tc>
      </w:tr>
      <w:tr w:rsidR="00C90F53" w:rsidRPr="005D2AAF">
        <w:tc>
          <w:tcPr>
            <w:tcW w:w="2376" w:type="dxa"/>
          </w:tcPr>
          <w:p w:rsidR="00C90F53" w:rsidRPr="001F4013" w:rsidRDefault="00C90F53">
            <w:pPr>
              <w:jc w:val="center"/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Transferable skills and personal qualities</w:t>
            </w:r>
          </w:p>
        </w:tc>
        <w:tc>
          <w:tcPr>
            <w:tcW w:w="6417" w:type="dxa"/>
          </w:tcPr>
          <w:p w:rsidR="00C90F53" w:rsidRPr="001F4013" w:rsidRDefault="00AA0222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Demonstrate the ability to read a range of works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,</w:t>
            </w: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summarise arguments succinctly</w:t>
            </w:r>
            <w:r w:rsidR="001F4013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and understand key debates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;</w:t>
            </w:r>
          </w:p>
          <w:p w:rsidR="00EC4D32" w:rsidRPr="001F4013" w:rsidRDefault="00EC4D32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  <w:p w:rsidR="00C90F53" w:rsidRPr="001F4013" w:rsidRDefault="00AA0222" w:rsidP="00AA0222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Recognise their own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professional strengths and </w:t>
            </w:r>
            <w:r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limitations</w:t>
            </w:r>
            <w:r w:rsidR="00EC4D32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, and respond to both.</w:t>
            </w:r>
          </w:p>
          <w:p w:rsidR="00C90F53" w:rsidRPr="001F4013" w:rsidRDefault="00C90F53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</w:tc>
      </w:tr>
    </w:tbl>
    <w:p w:rsidR="005D2AAF" w:rsidRDefault="005D2AAF" w:rsidP="00BD6CDD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BD6CDD" w:rsidRDefault="00BD6CDD" w:rsidP="005D2AAF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C90F53" w:rsidRPr="005D2AAF" w:rsidRDefault="00C90F53">
      <w:pPr>
        <w:numPr>
          <w:ilvl w:val="0"/>
          <w:numId w:val="3"/>
        </w:num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LEARNING AND TEACHING PROCESSES </w:t>
      </w:r>
      <w:r w:rsidR="00B57EB6">
        <w:rPr>
          <w:rFonts w:ascii="Microsoft Sans Serif" w:hAnsi="Microsoft Sans Serif" w:cs="Microsoft Sans Serif"/>
          <w:b/>
          <w:snapToGrid w:val="0"/>
          <w:color w:val="000000"/>
          <w:sz w:val="22"/>
        </w:rPr>
        <w:t>(INCLUDING THE USE OF E-LEARNING)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8947DF" w:rsidRPr="001F4013" w:rsidRDefault="00EC4D32" w:rsidP="00D9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ajorHAnsi" w:hAnsiTheme="majorHAnsi" w:cs="Microsoft Sans Serif"/>
          <w:snapToGrid w:val="0"/>
          <w:color w:val="000000"/>
          <w:sz w:val="22"/>
        </w:rPr>
      </w:pPr>
      <w:r w:rsidRPr="001F4013">
        <w:rPr>
          <w:rFonts w:asciiTheme="majorHAnsi" w:hAnsiTheme="majorHAnsi" w:cs="Microsoft Sans Serif"/>
          <w:snapToGrid w:val="0"/>
          <w:color w:val="000000"/>
          <w:sz w:val="22"/>
        </w:rPr>
        <w:t xml:space="preserve">Teaching will take the form of 3 x four hour face-to-face sessions which will include </w:t>
      </w:r>
      <w:r w:rsidR="008F47AB" w:rsidRPr="001F4013">
        <w:rPr>
          <w:rFonts w:asciiTheme="majorHAnsi" w:hAnsiTheme="majorHAnsi" w:cs="Microsoft Sans Serif"/>
          <w:snapToGrid w:val="0"/>
          <w:color w:val="000000"/>
          <w:sz w:val="22"/>
        </w:rPr>
        <w:t xml:space="preserve">elements of traditional lectures, interactive seminars, small-group discussions and </w:t>
      </w:r>
      <w:r w:rsidR="001F4013" w:rsidRPr="001F4013">
        <w:rPr>
          <w:rFonts w:asciiTheme="majorHAnsi" w:hAnsiTheme="majorHAnsi" w:cs="Microsoft Sans Serif"/>
          <w:snapToGrid w:val="0"/>
          <w:color w:val="000000"/>
          <w:sz w:val="22"/>
        </w:rPr>
        <w:t>one-to-one tutorials.</w:t>
      </w:r>
    </w:p>
    <w:p w:rsidR="001F4013" w:rsidRPr="001F4013" w:rsidRDefault="001F4013" w:rsidP="00D9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ajorHAnsi" w:hAnsiTheme="majorHAnsi" w:cs="Microsoft Sans Serif"/>
          <w:snapToGrid w:val="0"/>
          <w:color w:val="000000"/>
          <w:sz w:val="22"/>
        </w:rPr>
      </w:pPr>
    </w:p>
    <w:p w:rsidR="00C90F53" w:rsidRPr="001F4013" w:rsidRDefault="001F4013" w:rsidP="00D9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ajorHAnsi" w:hAnsiTheme="majorHAnsi" w:cs="Microsoft Sans Serif"/>
          <w:snapToGrid w:val="0"/>
          <w:color w:val="000000"/>
          <w:sz w:val="22"/>
        </w:rPr>
      </w:pPr>
      <w:r w:rsidRPr="001F4013">
        <w:rPr>
          <w:rFonts w:asciiTheme="majorHAnsi" w:hAnsiTheme="majorHAnsi" w:cs="Microsoft Sans Serif"/>
          <w:snapToGrid w:val="0"/>
          <w:color w:val="000000"/>
          <w:sz w:val="22"/>
        </w:rPr>
        <w:t>Other instruction will be facilitated electronically, via podcasts, Blackboard activities and other relevant links.</w:t>
      </w:r>
    </w:p>
    <w:p w:rsidR="00C90F53" w:rsidRPr="005D2AAF" w:rsidRDefault="00C9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C90F53" w:rsidRDefault="00C90F53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8947DF" w:rsidRDefault="008947DF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8947DF" w:rsidRPr="005D2AAF" w:rsidRDefault="008947DF">
      <w:p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</w:p>
    <w:p w:rsidR="00B57EB6" w:rsidRPr="005D2AAF" w:rsidRDefault="00C90F53" w:rsidP="002653CB">
      <w:pPr>
        <w:numPr>
          <w:ilvl w:val="0"/>
          <w:numId w:val="3"/>
        </w:num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>ASSESSMENT</w:t>
      </w:r>
      <w:r w:rsidR="00B57EB6"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 </w:t>
      </w:r>
      <w:r w:rsidR="00B57EB6" w:rsidRPr="005D2AAF"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 </w:t>
      </w:r>
      <w:r w:rsidR="00B57EB6"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(INCLUDING </w:t>
      </w:r>
      <w:r w:rsidR="002653CB"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FORMATIVE ASSESSMENT, </w:t>
      </w:r>
      <w:r w:rsidR="00B57EB6">
        <w:rPr>
          <w:rFonts w:ascii="Microsoft Sans Serif" w:hAnsi="Microsoft Sans Serif" w:cs="Microsoft Sans Serif"/>
          <w:b/>
          <w:snapToGrid w:val="0"/>
          <w:color w:val="000000"/>
          <w:sz w:val="22"/>
        </w:rPr>
        <w:t>E-</w:t>
      </w:r>
      <w:r w:rsidR="002653CB">
        <w:rPr>
          <w:rFonts w:ascii="Microsoft Sans Serif" w:hAnsi="Microsoft Sans Serif" w:cs="Microsoft Sans Serif"/>
          <w:b/>
          <w:snapToGrid w:val="0"/>
          <w:color w:val="000000"/>
          <w:sz w:val="22"/>
        </w:rPr>
        <w:t>ASSESSMENT, and INFORMATION ABOUT FEEDBACK</w:t>
      </w:r>
      <w:r w:rsidR="00B57EB6">
        <w:rPr>
          <w:rFonts w:ascii="Microsoft Sans Serif" w:hAnsi="Microsoft Sans Serif" w:cs="Microsoft Sans Serif"/>
          <w:b/>
          <w:snapToGrid w:val="0"/>
          <w:color w:val="000000"/>
          <w:sz w:val="22"/>
        </w:rPr>
        <w:t>)</w:t>
      </w:r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2268"/>
        <w:gridCol w:w="1418"/>
      </w:tblGrid>
      <w:tr w:rsidR="002653CB" w:rsidRPr="005D2AAF" w:rsidTr="002653CB">
        <w:tc>
          <w:tcPr>
            <w:tcW w:w="4361" w:type="dxa"/>
          </w:tcPr>
          <w:p w:rsidR="002653CB" w:rsidRPr="005D2AAF" w:rsidRDefault="002653CB" w:rsidP="00C90F5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Assessment task</w:t>
            </w:r>
          </w:p>
        </w:tc>
        <w:tc>
          <w:tcPr>
            <w:tcW w:w="1559" w:type="dxa"/>
          </w:tcPr>
          <w:p w:rsidR="002653CB" w:rsidRPr="005D2AAF" w:rsidRDefault="002653CB" w:rsidP="00C90F5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Length</w:t>
            </w:r>
          </w:p>
        </w:tc>
        <w:tc>
          <w:tcPr>
            <w:tcW w:w="2268" w:type="dxa"/>
          </w:tcPr>
          <w:p w:rsidR="002653CB" w:rsidRPr="005D2AAF" w:rsidRDefault="002653CB" w:rsidP="00C90F5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  <w:r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How and when feedback is provided</w:t>
            </w:r>
          </w:p>
        </w:tc>
        <w:tc>
          <w:tcPr>
            <w:tcW w:w="1418" w:type="dxa"/>
          </w:tcPr>
          <w:p w:rsidR="002653CB" w:rsidRPr="005D2AAF" w:rsidRDefault="002653CB" w:rsidP="002653CB">
            <w:pPr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Weighting within unit (if relevant)</w:t>
            </w:r>
          </w:p>
          <w:p w:rsidR="002653CB" w:rsidRPr="005D2AAF" w:rsidRDefault="002653CB" w:rsidP="00C90F5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</w:p>
        </w:tc>
      </w:tr>
      <w:tr w:rsidR="002653CB" w:rsidRPr="005D2AAF" w:rsidTr="002653CB">
        <w:tc>
          <w:tcPr>
            <w:tcW w:w="4361" w:type="dxa"/>
          </w:tcPr>
          <w:p w:rsidR="00A95C63" w:rsidRDefault="001F4013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Participants will be asked to submit a c</w:t>
            </w:r>
            <w:r w:rsidR="00C75E38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ritical essay 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based </w:t>
            </w:r>
            <w:r w:rsidR="00C75E38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on 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one or more of the </w:t>
            </w:r>
            <w:r w:rsidR="00C75E38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topic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s covered and relating to an area of professional practice in which they have direct experience or an active interest. </w:t>
            </w:r>
            <w:r w:rsidR="00C75E38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</w:t>
            </w:r>
            <w:r w:rsidR="00FB653F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Topics will be discussed with the unit leader beforehand.</w:t>
            </w:r>
          </w:p>
          <w:p w:rsidR="00191174" w:rsidRDefault="00191174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</w:p>
          <w:p w:rsidR="002653CB" w:rsidRPr="001F4013" w:rsidRDefault="00191174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Alternative and/or collaborative forms of assessment are encouraged, in negotiation with the course unit tutor.</w:t>
            </w:r>
          </w:p>
        </w:tc>
        <w:tc>
          <w:tcPr>
            <w:tcW w:w="1559" w:type="dxa"/>
          </w:tcPr>
          <w:p w:rsidR="00C75E38" w:rsidRPr="001F4013" w:rsidRDefault="00F23ACC" w:rsidP="00F23ACC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3</w:t>
            </w:r>
            <w:r w:rsidR="00FB653F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,000 – 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4</w:t>
            </w:r>
            <w:r w:rsidR="00FB653F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,000</w:t>
            </w:r>
            <w:r w:rsidR="00C75E38" w:rsidRPr="001F4013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words</w:t>
            </w:r>
            <w:r w:rsidR="00FB653F"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 xml:space="preserve"> or equivalent</w:t>
            </w:r>
          </w:p>
        </w:tc>
        <w:tc>
          <w:tcPr>
            <w:tcW w:w="2268" w:type="dxa"/>
          </w:tcPr>
          <w:p w:rsidR="002653CB" w:rsidRPr="001F4013" w:rsidRDefault="00FB653F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Within 15 working days of submissions</w:t>
            </w:r>
          </w:p>
        </w:tc>
        <w:tc>
          <w:tcPr>
            <w:tcW w:w="1418" w:type="dxa"/>
          </w:tcPr>
          <w:p w:rsidR="00C75E38" w:rsidRPr="001F4013" w:rsidRDefault="00FB653F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</w:rPr>
              <w:t>100%</w:t>
            </w:r>
          </w:p>
        </w:tc>
      </w:tr>
    </w:tbl>
    <w:p w:rsidR="002653CB" w:rsidRDefault="002653CB" w:rsidP="002653CB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p w:rsidR="002653CB" w:rsidRPr="005D2AAF" w:rsidRDefault="002653CB" w:rsidP="002653CB">
      <w:pPr>
        <w:numPr>
          <w:ilvl w:val="0"/>
          <w:numId w:val="3"/>
        </w:numPr>
        <w:rPr>
          <w:rFonts w:ascii="Microsoft Sans Serif" w:hAnsi="Microsoft Sans Serif" w:cs="Microsoft Sans Serif"/>
          <w:b/>
          <w:snapToGrid w:val="0"/>
          <w:color w:val="000000"/>
          <w:sz w:val="22"/>
        </w:rPr>
      </w:pPr>
      <w:r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INDICATIVE </w:t>
      </w:r>
      <w:smartTag w:uri="urn:schemas-microsoft-com:office:smarttags" w:element="place">
        <w:smartTag w:uri="urn:schemas-microsoft-com:office:smarttags" w:element="City">
          <w:r>
            <w:rPr>
              <w:rFonts w:ascii="Microsoft Sans Serif" w:hAnsi="Microsoft Sans Serif" w:cs="Microsoft Sans Serif"/>
              <w:b/>
              <w:snapToGrid w:val="0"/>
              <w:color w:val="000000"/>
              <w:sz w:val="22"/>
            </w:rPr>
            <w:t>READING</w:t>
          </w:r>
        </w:smartTag>
      </w:smartTag>
      <w:r>
        <w:rPr>
          <w:rFonts w:ascii="Microsoft Sans Serif" w:hAnsi="Microsoft Sans Serif" w:cs="Microsoft Sans Serif"/>
          <w:b/>
          <w:snapToGrid w:val="0"/>
          <w:color w:val="000000"/>
          <w:sz w:val="22"/>
        </w:rPr>
        <w:t xml:space="preserve"> LIST</w:t>
      </w:r>
    </w:p>
    <w:p w:rsidR="002653CB" w:rsidRPr="005D2AAF" w:rsidRDefault="002653CB" w:rsidP="002653CB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653CB" w:rsidRPr="005D2AAF" w:rsidTr="00F547EE">
        <w:tc>
          <w:tcPr>
            <w:tcW w:w="9606" w:type="dxa"/>
          </w:tcPr>
          <w:p w:rsidR="002653CB" w:rsidRPr="00663C2D" w:rsidRDefault="002653CB" w:rsidP="00F547EE">
            <w:pPr>
              <w:jc w:val="center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E72360" w:rsidRDefault="00E72360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E72360">
              <w:rPr>
                <w:rFonts w:asciiTheme="majorHAnsi" w:hAnsiTheme="majorHAnsi"/>
                <w:sz w:val="22"/>
                <w:szCs w:val="22"/>
              </w:rPr>
              <w:t>Arday,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ason and Heidi </w:t>
            </w:r>
            <w:r w:rsidRPr="00E72360">
              <w:rPr>
                <w:rFonts w:asciiTheme="majorHAnsi" w:hAnsiTheme="majorHAnsi"/>
                <w:sz w:val="22"/>
                <w:szCs w:val="22"/>
              </w:rPr>
              <w:t>Mirza (Eds.)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(2018)</w:t>
            </w:r>
            <w:r w:rsidRPr="00E723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72360">
              <w:rPr>
                <w:rFonts w:asciiTheme="majorHAnsi" w:hAnsiTheme="majorHAnsi"/>
                <w:i/>
                <w:sz w:val="22"/>
                <w:szCs w:val="22"/>
              </w:rPr>
              <w:t>Dismantling race in higher education: Racism, whiteness and decolonising the academy</w:t>
            </w:r>
            <w:r w:rsidRPr="00E72360">
              <w:rPr>
                <w:rFonts w:asciiTheme="majorHAnsi" w:hAnsiTheme="majorHAnsi"/>
                <w:sz w:val="22"/>
                <w:szCs w:val="22"/>
              </w:rPr>
              <w:t>. Springer.</w:t>
            </w:r>
          </w:p>
          <w:p w:rsidR="00E72360" w:rsidRDefault="00E72360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63C2D">
              <w:rPr>
                <w:rFonts w:asciiTheme="majorHAnsi" w:hAnsiTheme="majorHAnsi"/>
                <w:sz w:val="22"/>
                <w:szCs w:val="22"/>
              </w:rPr>
              <w:t xml:space="preserve">Ashwin, Paul (2012) </w:t>
            </w:r>
            <w:hyperlink r:id="rId8" w:history="1">
              <w:r w:rsidRPr="00663C2D">
                <w:rPr>
                  <w:rFonts w:asciiTheme="majorHAnsi" w:hAnsiTheme="majorHAnsi"/>
                  <w:i/>
                  <w:sz w:val="22"/>
                  <w:szCs w:val="22"/>
                </w:rPr>
                <w:t>Analysing Teaching-Learning Interactions in Higher Education: Accounting for Structure and Agency</w:t>
              </w:r>
            </w:hyperlink>
            <w:r w:rsidRPr="00663C2D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Pr="00663C2D">
              <w:rPr>
                <w:rFonts w:asciiTheme="majorHAnsi" w:hAnsiTheme="majorHAnsi"/>
                <w:sz w:val="22"/>
                <w:szCs w:val="22"/>
              </w:rPr>
              <w:t xml:space="preserve"> Continuum.</w:t>
            </w:r>
          </w:p>
          <w:p w:rsidR="00E72360" w:rsidRDefault="00E72360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E72360" w:rsidRPr="00663C2D" w:rsidRDefault="00E72360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E72360">
              <w:rPr>
                <w:rFonts w:asciiTheme="majorHAnsi" w:hAnsiTheme="majorHAnsi"/>
                <w:sz w:val="22"/>
                <w:szCs w:val="22"/>
              </w:rPr>
              <w:t>Back, L</w:t>
            </w:r>
            <w:r>
              <w:rPr>
                <w:rFonts w:asciiTheme="majorHAnsi" w:hAnsiTheme="majorHAnsi"/>
                <w:sz w:val="22"/>
                <w:szCs w:val="22"/>
              </w:rPr>
              <w:t>es</w:t>
            </w:r>
            <w:r w:rsidRPr="00E72360">
              <w:rPr>
                <w:rFonts w:asciiTheme="majorHAnsi" w:hAnsiTheme="majorHAnsi"/>
                <w:sz w:val="22"/>
                <w:szCs w:val="22"/>
              </w:rPr>
              <w:t xml:space="preserve"> (2016) </w:t>
            </w:r>
            <w:r w:rsidRPr="00E72360">
              <w:rPr>
                <w:rFonts w:asciiTheme="majorHAnsi" w:hAnsiTheme="majorHAnsi"/>
                <w:i/>
                <w:sz w:val="22"/>
                <w:szCs w:val="22"/>
              </w:rPr>
              <w:t>Academic Diary: or why higher education still matters</w:t>
            </w:r>
            <w:r w:rsidRPr="00E72360">
              <w:rPr>
                <w:rFonts w:asciiTheme="majorHAnsi" w:hAnsiTheme="majorHAnsi"/>
                <w:sz w:val="22"/>
                <w:szCs w:val="22"/>
              </w:rPr>
              <w:t>. MIT Press.</w:t>
            </w:r>
          </w:p>
          <w:p w:rsidR="00974DE2" w:rsidRPr="00663C2D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663C2D" w:rsidRPr="00663C2D" w:rsidRDefault="00663C2D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  <w:r w:rsidRPr="00663C2D"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Barnett, Ron (2007) </w:t>
            </w:r>
            <w:r w:rsidRPr="00663C2D">
              <w:rPr>
                <w:rStyle w:val="Emphasis"/>
                <w:rFonts w:asciiTheme="majorHAnsi" w:hAnsiTheme="majorHAnsi"/>
                <w:sz w:val="22"/>
                <w:szCs w:val="22"/>
              </w:rPr>
              <w:t>A Will to Learn: Being a Student in an Age of Uncertainty</w:t>
            </w:r>
            <w:r w:rsidRPr="00663C2D"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. McGraw-Hill / Open University Press. </w:t>
            </w:r>
          </w:p>
          <w:p w:rsidR="00663C2D" w:rsidRPr="00663C2D" w:rsidRDefault="00663C2D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</w:p>
          <w:p w:rsidR="00E72360" w:rsidRDefault="00E72360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  <w:r w:rsidRPr="00E72360">
              <w:rPr>
                <w:rStyle w:val="authors"/>
                <w:rFonts w:asciiTheme="majorHAnsi" w:hAnsiTheme="majorHAnsi"/>
                <w:sz w:val="22"/>
                <w:szCs w:val="22"/>
              </w:rPr>
              <w:t>Barnett, R</w:t>
            </w:r>
            <w:r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on (2017) </w:t>
            </w:r>
            <w:r w:rsidRPr="00E72360">
              <w:rPr>
                <w:rStyle w:val="authors"/>
                <w:rFonts w:asciiTheme="majorHAnsi" w:hAnsiTheme="majorHAnsi"/>
                <w:i/>
                <w:sz w:val="22"/>
                <w:szCs w:val="22"/>
              </w:rPr>
              <w:t>The Ecological University: A feasible utopia.</w:t>
            </w:r>
            <w:r w:rsidRPr="00E72360"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 Routledge.</w:t>
            </w:r>
          </w:p>
          <w:p w:rsidR="00E72360" w:rsidRDefault="00E72360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</w:p>
          <w:p w:rsidR="00E72360" w:rsidRPr="00663C2D" w:rsidRDefault="00E72360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  <w:r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Barnett, Ron and </w:t>
            </w:r>
            <w:r w:rsidRPr="00E72360">
              <w:rPr>
                <w:rStyle w:val="authors"/>
                <w:rFonts w:asciiTheme="majorHAnsi" w:hAnsiTheme="majorHAnsi"/>
                <w:sz w:val="22"/>
                <w:szCs w:val="22"/>
              </w:rPr>
              <w:t xml:space="preserve">Bengtsen, Søren Smedegaard. (2019) </w:t>
            </w:r>
            <w:r w:rsidRPr="00E72360">
              <w:rPr>
                <w:rStyle w:val="authors"/>
                <w:rFonts w:asciiTheme="majorHAnsi" w:hAnsiTheme="majorHAnsi"/>
                <w:i/>
                <w:sz w:val="22"/>
                <w:szCs w:val="22"/>
              </w:rPr>
              <w:t>Knowledge and the University: Re-claiming Life</w:t>
            </w:r>
            <w:r w:rsidRPr="00E72360">
              <w:rPr>
                <w:rStyle w:val="authors"/>
                <w:rFonts w:asciiTheme="majorHAnsi" w:hAnsiTheme="majorHAnsi"/>
                <w:sz w:val="22"/>
                <w:szCs w:val="22"/>
              </w:rPr>
              <w:t>. Routledge.</w:t>
            </w:r>
          </w:p>
          <w:p w:rsidR="00663C2D" w:rsidRPr="00663C2D" w:rsidRDefault="00663C2D" w:rsidP="00663C2D">
            <w:pPr>
              <w:pStyle w:val="NoSpacing"/>
              <w:rPr>
                <w:rStyle w:val="authors"/>
                <w:rFonts w:asciiTheme="majorHAnsi" w:hAnsiTheme="majorHAnsi"/>
                <w:sz w:val="22"/>
                <w:szCs w:val="22"/>
              </w:rPr>
            </w:pPr>
          </w:p>
          <w:p w:rsidR="00974DE2" w:rsidRPr="00663C2D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663C2D">
              <w:rPr>
                <w:rFonts w:asciiTheme="majorHAnsi" w:hAnsiTheme="majorHAnsi"/>
                <w:sz w:val="22"/>
                <w:szCs w:val="22"/>
              </w:rPr>
              <w:t xml:space="preserve">Brown, Roger and Helen Carasso (2013) </w:t>
            </w:r>
            <w:hyperlink r:id="rId9" w:history="1">
              <w:r w:rsidRPr="00663C2D">
                <w:rPr>
                  <w:rFonts w:asciiTheme="majorHAnsi" w:hAnsiTheme="majorHAnsi"/>
                  <w:i/>
                  <w:sz w:val="22"/>
                  <w:szCs w:val="22"/>
                </w:rPr>
                <w:t>Everything for Sale? The Marketisation of UK Higher Education</w:t>
              </w:r>
              <w:r w:rsidRPr="00663C2D">
                <w:rPr>
                  <w:rFonts w:asciiTheme="majorHAnsi" w:hAnsiTheme="majorHAnsi"/>
                  <w:sz w:val="22"/>
                  <w:szCs w:val="22"/>
                </w:rPr>
                <w:t xml:space="preserve">. Routledge. </w:t>
              </w:r>
            </w:hyperlink>
          </w:p>
          <w:p w:rsidR="00974DE2" w:rsidRPr="00663C2D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 w:rsidRP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Burker, Penny-Jane (2012) </w:t>
            </w:r>
            <w:r w:rsidRPr="00663C2D">
              <w:rPr>
                <w:rFonts w:asciiTheme="majorHAnsi" w:hAnsiTheme="majorHAnsi" w:cs="Microsoft Sans Serif"/>
                <w:i/>
                <w:snapToGrid w:val="0"/>
                <w:color w:val="000000"/>
                <w:sz w:val="22"/>
                <w:szCs w:val="22"/>
              </w:rPr>
              <w:t>The Right to Higher Education</w:t>
            </w:r>
            <w:r w:rsidRP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. Routledge.</w:t>
            </w:r>
          </w:p>
          <w:p w:rsidR="000E2AB6" w:rsidRDefault="000E2AB6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E72360" w:rsidRDefault="000E2AB6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C</w:t>
            </w:r>
            <w:r w:rsidR="00E72360" w:rsidRPr="00E72360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ollini, S</w:t>
            </w:r>
            <w:r w:rsidR="00E72360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tefan</w:t>
            </w:r>
            <w:r w:rsidR="00E72360" w:rsidRPr="00E72360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. (2012). </w:t>
            </w:r>
            <w:r w:rsidR="00E72360" w:rsidRPr="00E72360">
              <w:rPr>
                <w:rFonts w:asciiTheme="majorHAnsi" w:hAnsiTheme="majorHAnsi" w:cs="Microsoft Sans Serif"/>
                <w:i/>
                <w:snapToGrid w:val="0"/>
                <w:color w:val="000000"/>
                <w:sz w:val="22"/>
                <w:szCs w:val="22"/>
              </w:rPr>
              <w:t>What are universities for?</w:t>
            </w:r>
            <w:r w:rsidR="00E72360" w:rsidRPr="00E72360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 Penguin UK.</w:t>
            </w:r>
          </w:p>
          <w:p w:rsidR="00E72360" w:rsidRDefault="00E72360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0E2AB6" w:rsidRPr="00663C2D" w:rsidRDefault="00E72360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C</w:t>
            </w:r>
            <w:r w:rsidR="000E2AB6"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ollini, S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tefan</w:t>
            </w:r>
            <w:r w:rsidR="000E2AB6"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. (2017). </w:t>
            </w:r>
            <w:r w:rsidR="000E2AB6">
              <w:rPr>
                <w:rFonts w:asciiTheme="majorHAnsi" w:hAnsiTheme="majorHAnsi" w:cs="Microsoft Sans Serif"/>
                <w:i/>
                <w:snapToGrid w:val="0"/>
                <w:color w:val="000000"/>
                <w:sz w:val="22"/>
                <w:szCs w:val="22"/>
              </w:rPr>
              <w:t>Speaking of U</w:t>
            </w:r>
            <w:r w:rsidR="000E2AB6" w:rsidRPr="000E2AB6">
              <w:rPr>
                <w:rFonts w:asciiTheme="majorHAnsi" w:hAnsiTheme="majorHAnsi" w:cs="Microsoft Sans Serif"/>
                <w:i/>
                <w:snapToGrid w:val="0"/>
                <w:color w:val="000000"/>
                <w:sz w:val="22"/>
                <w:szCs w:val="22"/>
              </w:rPr>
              <w:t>niversities</w:t>
            </w:r>
            <w:r w:rsidR="000E2AB6"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. Verso Books.</w:t>
            </w:r>
          </w:p>
          <w:p w:rsidR="00974DE2" w:rsidRPr="00663C2D" w:rsidRDefault="00974DE2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974DE2">
              <w:rPr>
                <w:rFonts w:asciiTheme="majorHAnsi" w:hAnsiTheme="majorHAnsi"/>
                <w:sz w:val="22"/>
                <w:szCs w:val="22"/>
              </w:rPr>
              <w:t xml:space="preserve">Ketteridge, Steve, Stephanie Marshall and Heather Fry (2002) </w:t>
            </w:r>
            <w:r w:rsidRPr="00974DE2">
              <w:rPr>
                <w:rFonts w:asciiTheme="majorHAnsi" w:hAnsiTheme="majorHAnsi"/>
                <w:i/>
                <w:sz w:val="22"/>
                <w:szCs w:val="22"/>
              </w:rPr>
              <w:t>The Effective Academic</w:t>
            </w:r>
            <w:r w:rsidRPr="00974DE2">
              <w:rPr>
                <w:rFonts w:asciiTheme="majorHAnsi" w:hAnsiTheme="majorHAnsi"/>
                <w:sz w:val="22"/>
                <w:szCs w:val="22"/>
              </w:rPr>
              <w:t>. Kogan Page.</w:t>
            </w:r>
          </w:p>
          <w:p w:rsidR="003428B9" w:rsidRDefault="003428B9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3428B9" w:rsidRDefault="003428B9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3428B9">
              <w:rPr>
                <w:rFonts w:asciiTheme="majorHAnsi" w:hAnsiTheme="majorHAnsi"/>
                <w:sz w:val="22"/>
                <w:szCs w:val="22"/>
              </w:rPr>
              <w:t>Marshall, S</w:t>
            </w:r>
            <w:r>
              <w:rPr>
                <w:rFonts w:asciiTheme="majorHAnsi" w:hAnsiTheme="majorHAnsi"/>
                <w:sz w:val="22"/>
                <w:szCs w:val="22"/>
              </w:rPr>
              <w:t>tephanie</w:t>
            </w:r>
            <w:r w:rsidRPr="003428B9">
              <w:rPr>
                <w:rFonts w:asciiTheme="majorHAnsi" w:hAnsiTheme="majorHAnsi"/>
                <w:sz w:val="22"/>
                <w:szCs w:val="22"/>
              </w:rPr>
              <w:t xml:space="preserve"> (2016) </w:t>
            </w:r>
            <w:r w:rsidRPr="003428B9">
              <w:rPr>
                <w:rFonts w:asciiTheme="majorHAnsi" w:hAnsiTheme="majorHAnsi"/>
                <w:i/>
                <w:sz w:val="22"/>
                <w:szCs w:val="22"/>
              </w:rPr>
              <w:t>A handbook for leaders in higher education: Transforming teaching and learning</w:t>
            </w:r>
            <w:r w:rsidRPr="003428B9">
              <w:rPr>
                <w:rFonts w:asciiTheme="majorHAnsi" w:hAnsiTheme="majorHAnsi"/>
                <w:sz w:val="22"/>
                <w:szCs w:val="22"/>
              </w:rPr>
              <w:t>. Routledge.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974DE2">
              <w:rPr>
                <w:rFonts w:asciiTheme="majorHAnsi" w:hAnsiTheme="majorHAnsi"/>
                <w:sz w:val="22"/>
                <w:szCs w:val="22"/>
              </w:rPr>
              <w:t xml:space="preserve">McGettigan, Andrew (2013) </w:t>
            </w:r>
            <w:r w:rsidRPr="00974DE2">
              <w:rPr>
                <w:rFonts w:asciiTheme="majorHAnsi" w:hAnsiTheme="majorHAnsi"/>
                <w:i/>
                <w:sz w:val="22"/>
                <w:szCs w:val="22"/>
              </w:rPr>
              <w:t>The Great University Gamble</w:t>
            </w:r>
            <w:r w:rsidRPr="00974DE2">
              <w:rPr>
                <w:rFonts w:asciiTheme="majorHAnsi" w:hAnsiTheme="majorHAnsi"/>
                <w:sz w:val="22"/>
                <w:szCs w:val="22"/>
              </w:rPr>
              <w:t>. Pluto Press.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974DE2">
              <w:rPr>
                <w:rFonts w:asciiTheme="majorHAnsi" w:hAnsiTheme="majorHAnsi"/>
                <w:sz w:val="22"/>
                <w:szCs w:val="22"/>
              </w:rPr>
              <w:t xml:space="preserve">Nixon, Jon (2012) </w:t>
            </w:r>
            <w:hyperlink r:id="rId10" w:history="1">
              <w:r w:rsidRPr="00974DE2">
                <w:rPr>
                  <w:rFonts w:asciiTheme="majorHAnsi" w:hAnsiTheme="majorHAnsi"/>
                  <w:i/>
                  <w:sz w:val="22"/>
                  <w:szCs w:val="22"/>
                </w:rPr>
                <w:t>Higher Education and the Public Good: Imagining the University</w:t>
              </w:r>
            </w:hyperlink>
            <w:r w:rsidRPr="00974DE2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  <w:r w:rsidRPr="00974DE2">
              <w:rPr>
                <w:rFonts w:asciiTheme="majorHAnsi" w:hAnsiTheme="majorHAnsi"/>
                <w:sz w:val="22"/>
                <w:szCs w:val="22"/>
              </w:rPr>
              <w:t xml:space="preserve">Continuum. 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Style w:val="description"/>
                <w:rFonts w:asciiTheme="majorHAnsi" w:hAnsiTheme="majorHAnsi"/>
                <w:sz w:val="22"/>
                <w:szCs w:val="22"/>
              </w:rPr>
            </w:pPr>
            <w:r w:rsidRPr="00974DE2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Shattock</w:t>
            </w:r>
            <w:r w:rsidRPr="00974DE2">
              <w:rPr>
                <w:rStyle w:val="description"/>
                <w:rFonts w:asciiTheme="majorHAnsi" w:hAnsiTheme="majorHAnsi"/>
                <w:sz w:val="22"/>
                <w:szCs w:val="22"/>
              </w:rPr>
              <w:t xml:space="preserve">, Michael (2003) </w:t>
            </w:r>
            <w:r w:rsidRPr="00974DE2">
              <w:rPr>
                <w:rStyle w:val="description"/>
                <w:rFonts w:asciiTheme="majorHAnsi" w:hAnsiTheme="majorHAnsi"/>
                <w:i/>
                <w:sz w:val="22"/>
                <w:szCs w:val="22"/>
              </w:rPr>
              <w:t>Managing Successful Universities</w:t>
            </w:r>
            <w:r w:rsidRPr="00974DE2">
              <w:rPr>
                <w:rStyle w:val="description"/>
                <w:rFonts w:asciiTheme="majorHAnsi" w:hAnsiTheme="majorHAnsi"/>
                <w:sz w:val="22"/>
                <w:szCs w:val="22"/>
              </w:rPr>
              <w:t>. SRHE.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</w:pPr>
            <w:r w:rsidRPr="00974DE2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Shattock</w:t>
            </w:r>
            <w:r w:rsidRPr="00974DE2">
              <w:rPr>
                <w:rStyle w:val="description"/>
                <w:rFonts w:asciiTheme="majorHAnsi" w:hAnsiTheme="majorHAnsi"/>
                <w:sz w:val="22"/>
                <w:szCs w:val="22"/>
              </w:rPr>
              <w:t xml:space="preserve">, Michael (2012) </w:t>
            </w:r>
            <w:r w:rsidRPr="00974DE2">
              <w:rPr>
                <w:rStyle w:val="Emphasis"/>
                <w:rFonts w:asciiTheme="majorHAnsi" w:hAnsiTheme="majorHAnsi"/>
                <w:iCs w:val="0"/>
                <w:sz w:val="22"/>
                <w:szCs w:val="22"/>
              </w:rPr>
              <w:t xml:space="preserve">Making Policy in Higher Education 1945-2011. </w:t>
            </w:r>
            <w:r w:rsidRPr="00974DE2"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  <w:t>McGraw-Hill.</w:t>
            </w:r>
          </w:p>
          <w:p w:rsidR="000E2AB6" w:rsidRDefault="000E2AB6" w:rsidP="008F47AB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</w:pPr>
          </w:p>
          <w:p w:rsidR="000E2AB6" w:rsidRDefault="000E2AB6" w:rsidP="008F47AB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</w:pPr>
            <w:r w:rsidRPr="000E2AB6"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  <w:t>Smyth, J</w:t>
            </w:r>
            <w:r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  <w:t>ohn</w:t>
            </w:r>
            <w:r w:rsidRPr="000E2AB6"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  <w:t xml:space="preserve">. (2017). </w:t>
            </w:r>
            <w:r w:rsidRPr="000E2AB6">
              <w:rPr>
                <w:rStyle w:val="Emphasis"/>
                <w:rFonts w:asciiTheme="majorHAnsi" w:hAnsiTheme="majorHAnsi"/>
                <w:iCs w:val="0"/>
                <w:sz w:val="22"/>
                <w:szCs w:val="22"/>
              </w:rPr>
              <w:t>The Toxic University: Zombie Leadership, Academic Rock Stars and Neoliberal Ideology</w:t>
            </w:r>
            <w:r w:rsidRPr="000E2AB6"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  <w:t>. London: Palgrave Macmillan.</w:t>
            </w:r>
          </w:p>
          <w:p w:rsidR="00974DE2" w:rsidRPr="00974DE2" w:rsidRDefault="00974DE2" w:rsidP="008F47AB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2"/>
                <w:szCs w:val="22"/>
              </w:rPr>
            </w:pPr>
          </w:p>
          <w:p w:rsid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974DE2">
              <w:rPr>
                <w:rFonts w:asciiTheme="majorHAnsi" w:hAnsiTheme="majorHAnsi"/>
                <w:sz w:val="22"/>
                <w:szCs w:val="22"/>
              </w:rPr>
              <w:t xml:space="preserve">Tight, Malcolm (2012) </w:t>
            </w:r>
            <w:hyperlink r:id="rId11" w:history="1">
              <w:r w:rsidRPr="00974DE2">
                <w:rPr>
                  <w:rFonts w:asciiTheme="majorHAnsi" w:hAnsiTheme="majorHAnsi"/>
                  <w:i/>
                  <w:sz w:val="22"/>
                  <w:szCs w:val="22"/>
                </w:rPr>
                <w:t>Researching Higher Education</w:t>
              </w:r>
            </w:hyperlink>
            <w:r w:rsidRPr="00974DE2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  <w:r w:rsidRPr="00974DE2">
              <w:rPr>
                <w:rFonts w:asciiTheme="majorHAnsi" w:hAnsiTheme="majorHAnsi"/>
                <w:sz w:val="22"/>
                <w:szCs w:val="22"/>
              </w:rPr>
              <w:t>SRHE.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974DE2" w:rsidRDefault="00860514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974DE2" w:rsidRPr="00974DE2">
                <w:rPr>
                  <w:rFonts w:asciiTheme="majorHAnsi" w:hAnsiTheme="majorHAnsi"/>
                  <w:sz w:val="22"/>
                  <w:szCs w:val="22"/>
                </w:rPr>
                <w:t xml:space="preserve">Whitchurch, Celia. (2012) </w:t>
              </w:r>
              <w:r w:rsidR="00974DE2" w:rsidRPr="00974DE2">
                <w:rPr>
                  <w:rFonts w:asciiTheme="majorHAnsi" w:hAnsiTheme="majorHAnsi"/>
                  <w:i/>
                  <w:sz w:val="22"/>
                  <w:szCs w:val="22"/>
                </w:rPr>
                <w:t>Reconstructing Identities in Higher Education: The rise of 'Third Space' professional</w:t>
              </w:r>
              <w:r w:rsidR="00974DE2" w:rsidRPr="00974DE2">
                <w:rPr>
                  <w:rFonts w:asciiTheme="majorHAnsi" w:hAnsiTheme="majorHAnsi"/>
                  <w:sz w:val="22"/>
                  <w:szCs w:val="22"/>
                </w:rPr>
                <w:t>.</w:t>
              </w:r>
            </w:hyperlink>
            <w:r w:rsidR="00974DE2" w:rsidRPr="00974DE2">
              <w:rPr>
                <w:rFonts w:asciiTheme="majorHAnsi" w:hAnsiTheme="majorHAnsi"/>
                <w:sz w:val="22"/>
                <w:szCs w:val="22"/>
              </w:rPr>
              <w:t xml:space="preserve"> SRHE.</w:t>
            </w:r>
          </w:p>
          <w:p w:rsidR="00974DE2" w:rsidRPr="00974DE2" w:rsidRDefault="00974DE2" w:rsidP="008F47A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:rsidR="00663C2D" w:rsidRDefault="00663C2D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Pr="005E3F78" w:rsidRDefault="00663C2D" w:rsidP="00D132EB">
            <w:pPr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</w:pPr>
            <w:r w:rsidRPr="005E3F78"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  <w:t>Trade Publications:</w:t>
            </w:r>
          </w:p>
          <w:p w:rsidR="00663C2D" w:rsidRDefault="00663C2D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860514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hyperlink r:id="rId13" w:history="1">
              <w:r w:rsidR="00663C2D" w:rsidRPr="005E3F78">
                <w:rPr>
                  <w:rStyle w:val="Hyperlink"/>
                  <w:rFonts w:asciiTheme="majorHAnsi" w:hAnsiTheme="majorHAnsi" w:cs="Microsoft Sans Serif"/>
                  <w:snapToGrid w:val="0"/>
                  <w:sz w:val="22"/>
                  <w:szCs w:val="22"/>
                </w:rPr>
                <w:t>Times Higher Education</w:t>
              </w:r>
            </w:hyperlink>
            <w:r w:rsid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 (timeshighereducation.co.uk)</w:t>
            </w: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860514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hyperlink r:id="rId14" w:history="1">
              <w:r w:rsidR="00663C2D" w:rsidRPr="005E3F78">
                <w:rPr>
                  <w:rStyle w:val="Hyperlink"/>
                  <w:rFonts w:asciiTheme="majorHAnsi" w:hAnsiTheme="majorHAnsi" w:cs="Microsoft Sans Serif"/>
                  <w:snapToGrid w:val="0"/>
                  <w:sz w:val="22"/>
                  <w:szCs w:val="22"/>
                </w:rPr>
                <w:t>Chronicle of Higher Education</w:t>
              </w:r>
            </w:hyperlink>
            <w:r w:rsid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 xml:space="preserve">  (c</w:t>
            </w:r>
            <w:r w:rsidR="00663C2D" w:rsidRP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hronicle.com</w:t>
            </w:r>
            <w:r w:rsidR="00663C2D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)</w:t>
            </w:r>
          </w:p>
          <w:p w:rsidR="00663C2D" w:rsidRDefault="00663C2D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Pr="005E3F78" w:rsidRDefault="00663C2D" w:rsidP="00D132EB">
            <w:pPr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</w:pPr>
            <w:r w:rsidRPr="005E3F78"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  <w:t>Twitter</w:t>
            </w:r>
            <w:r w:rsidR="005E3F78"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  <w:t xml:space="preserve"> Feeds</w:t>
            </w:r>
            <w:r w:rsidRPr="005E3F78">
              <w:rPr>
                <w:rFonts w:asciiTheme="majorHAnsi" w:hAnsiTheme="majorHAnsi" w:cs="Microsoft Sans Serif"/>
                <w:b/>
                <w:snapToGrid w:val="0"/>
                <w:color w:val="000000"/>
                <w:sz w:val="22"/>
                <w:szCs w:val="22"/>
              </w:rPr>
              <w:t>:</w:t>
            </w:r>
          </w:p>
          <w:p w:rsidR="00663C2D" w:rsidRDefault="00663C2D" w:rsidP="00D132EB">
            <w:pP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@HEonTap</w:t>
            </w: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@GdnHigherEd</w:t>
            </w: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663C2D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@TimesHigherEd</w:t>
            </w:r>
          </w:p>
          <w:p w:rsidR="000E2AB6" w:rsidRDefault="000E2AB6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</w:p>
          <w:p w:rsidR="00663C2D" w:rsidRDefault="000E2AB6" w:rsidP="005E3F78">
            <w:pPr>
              <w:ind w:left="720"/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</w:pPr>
            <w:r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@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W</w:t>
            </w:r>
            <w:r w:rsidRPr="000E2AB6"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onk</w:t>
            </w:r>
            <w:r>
              <w:rPr>
                <w:rFonts w:asciiTheme="majorHAnsi" w:hAnsiTheme="majorHAnsi" w:cs="Microsoft Sans Serif"/>
                <w:snapToGrid w:val="0"/>
                <w:color w:val="000000"/>
                <w:sz w:val="22"/>
                <w:szCs w:val="22"/>
              </w:rPr>
              <w:t>HE</w:t>
            </w:r>
          </w:p>
          <w:p w:rsidR="002653CB" w:rsidRPr="005D2AAF" w:rsidRDefault="002653CB" w:rsidP="000E2AB6">
            <w:pPr>
              <w:ind w:left="720"/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</w:p>
        </w:tc>
      </w:tr>
    </w:tbl>
    <w:p w:rsidR="002653CB" w:rsidRPr="002653CB" w:rsidRDefault="002653CB" w:rsidP="002653CB">
      <w:pPr>
        <w:pStyle w:val="Heading1"/>
        <w:rPr>
          <w:rFonts w:ascii="Microsoft Sans Serif" w:hAnsi="Microsoft Sans Serif" w:cs="Microsoft Sans Serif"/>
          <w:b w:val="0"/>
          <w:bCs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bCs w:val="0"/>
          <w:sz w:val="20"/>
          <w:szCs w:val="20"/>
        </w:rPr>
        <w:lastRenderedPageBreak/>
        <w:t xml:space="preserve">For </w:t>
      </w:r>
      <w:r w:rsidRPr="002653CB">
        <w:rPr>
          <w:rFonts w:ascii="Microsoft Sans Serif" w:hAnsi="Microsoft Sans Serif" w:cs="Microsoft Sans Serif"/>
          <w:b w:val="0"/>
          <w:bCs w:val="0"/>
          <w:sz w:val="20"/>
          <w:szCs w:val="20"/>
        </w:rPr>
        <w:t>Information and advice on Link2Lists reading list software</w:t>
      </w:r>
      <w:r>
        <w:rPr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, see: </w:t>
      </w:r>
    </w:p>
    <w:p w:rsidR="002653CB" w:rsidRPr="002653CB" w:rsidRDefault="00860514">
      <w:pPr>
        <w:rPr>
          <w:rFonts w:ascii="Microsoft Sans Serif" w:hAnsi="Microsoft Sans Serif" w:cs="Microsoft Sans Serif"/>
          <w:snapToGrid w:val="0"/>
          <w:color w:val="000000"/>
        </w:rPr>
      </w:pPr>
      <w:hyperlink r:id="rId15" w:history="1">
        <w:r w:rsidR="002653CB" w:rsidRPr="00A2106E">
          <w:rPr>
            <w:rStyle w:val="Hyperlink"/>
            <w:rFonts w:ascii="Microsoft Sans Serif" w:hAnsi="Microsoft Sans Serif" w:cs="Microsoft Sans Serif"/>
            <w:snapToGrid w:val="0"/>
          </w:rPr>
          <w:t>http://www.library.manchester.ac.uk/academicsupport/informationandadviceonlink2listsreadinglistsoftware/</w:t>
        </w:r>
      </w:hyperlink>
    </w:p>
    <w:p w:rsidR="00C90F53" w:rsidRPr="005D2AAF" w:rsidRDefault="00C90F53">
      <w:pPr>
        <w:rPr>
          <w:rFonts w:ascii="Microsoft Sans Serif" w:hAnsi="Microsoft Sans Serif" w:cs="Microsoft Sans Serif"/>
          <w:snapToGrid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</w:tblGrid>
      <w:tr w:rsidR="00C90F53" w:rsidRPr="005D2AAF">
        <w:tc>
          <w:tcPr>
            <w:tcW w:w="2943" w:type="dxa"/>
          </w:tcPr>
          <w:p w:rsidR="00C90F53" w:rsidRPr="005D2AAF" w:rsidRDefault="00C90F53">
            <w:pPr>
              <w:rPr>
                <w:rFonts w:ascii="Microsoft Sans Serif" w:hAnsi="Microsoft Sans Serif" w:cs="Microsoft Sans Serif"/>
                <w:b/>
                <w:snapToGrid w:val="0"/>
                <w:sz w:val="22"/>
              </w:rPr>
            </w:pPr>
            <w:r w:rsidRPr="005D2AAF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2"/>
              </w:rPr>
              <w:t>Date of current version</w:t>
            </w:r>
          </w:p>
        </w:tc>
        <w:tc>
          <w:tcPr>
            <w:tcW w:w="2410" w:type="dxa"/>
          </w:tcPr>
          <w:p w:rsidR="00C90F53" w:rsidRPr="005D2AAF" w:rsidRDefault="00821505">
            <w:pPr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  <w:r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26.4</w:t>
            </w:r>
            <w:r w:rsidR="00A95C63"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.1</w:t>
            </w:r>
            <w:r w:rsidR="008F47AB"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  <w:t>4</w:t>
            </w:r>
          </w:p>
          <w:p w:rsidR="00C90F53" w:rsidRPr="005D2AAF" w:rsidRDefault="00C90F53">
            <w:pPr>
              <w:rPr>
                <w:rFonts w:ascii="Microsoft Sans Serif" w:hAnsi="Microsoft Sans Serif" w:cs="Microsoft Sans Serif"/>
                <w:snapToGrid w:val="0"/>
                <w:color w:val="000000"/>
                <w:sz w:val="22"/>
              </w:rPr>
            </w:pPr>
          </w:p>
        </w:tc>
      </w:tr>
    </w:tbl>
    <w:p w:rsidR="00FE7FBA" w:rsidRPr="00387C21" w:rsidRDefault="00FE7FBA" w:rsidP="00FE7FBA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4840"/>
      </w:tblGrid>
      <w:tr w:rsidR="00FE7FBA" w:rsidRPr="00387C21" w:rsidTr="00A2106E">
        <w:trPr>
          <w:trHeight w:val="266"/>
        </w:trPr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Document control box </w:t>
            </w:r>
          </w:p>
        </w:tc>
      </w:tr>
      <w:tr w:rsidR="00FE7FBA" w:rsidRPr="00387C21" w:rsidTr="00A2106E">
        <w:trPr>
          <w:trHeight w:val="49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Policy / Procedure title: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rPr>
                <w:rFonts w:ascii="Arial" w:hAnsi="Arial" w:cs="Arial"/>
              </w:rPr>
            </w:pPr>
            <w:r w:rsidRPr="00FE7FBA">
              <w:rPr>
                <w:rFonts w:ascii="Arial" w:hAnsi="Arial" w:cs="Arial"/>
              </w:rPr>
              <w:t>Unit Specification Template</w:t>
            </w:r>
          </w:p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Date approved: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510E68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2106E">
              <w:rPr>
                <w:rFonts w:ascii="Arial" w:hAnsi="Arial" w:cs="Arial"/>
                <w:color w:val="000000"/>
                <w:lang w:val="en-US"/>
              </w:rPr>
              <w:t>January 2009</w:t>
            </w:r>
            <w:r w:rsidR="00FE7FBA" w:rsidRPr="00FE7FB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Approving body: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510E68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TLSO</w:t>
            </w: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Implementation date: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510E68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2106E">
              <w:rPr>
                <w:rFonts w:ascii="Arial" w:hAnsi="Arial" w:cs="Arial"/>
                <w:color w:val="000000"/>
                <w:lang w:val="en-US"/>
              </w:rPr>
              <w:t>January 2009</w:t>
            </w:r>
            <w:r w:rsidR="00FE7FBA" w:rsidRPr="00FE7FB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Version: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2653CB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A2106E">
              <w:rPr>
                <w:rFonts w:ascii="Arial" w:hAnsi="Arial" w:cs="Arial"/>
                <w:color w:val="000000"/>
                <w:lang w:val="en-US"/>
              </w:rPr>
              <w:t>.1</w:t>
            </w:r>
            <w:r w:rsidR="00E407DB">
              <w:rPr>
                <w:rFonts w:ascii="Arial" w:hAnsi="Arial" w:cs="Arial"/>
                <w:color w:val="000000"/>
                <w:lang w:val="en-US"/>
              </w:rPr>
              <w:t>, June 2012</w:t>
            </w:r>
            <w:r w:rsidR="00FE7FBA" w:rsidRPr="00FE7FB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FE7FBA" w:rsidRPr="00387C21" w:rsidTr="00A2106E">
        <w:trPr>
          <w:trHeight w:val="495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Supersedes: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2653CB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1.1</w:t>
            </w: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Previous review dates: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E7FBA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Next review date: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FBA" w:rsidRPr="00FE7FBA" w:rsidRDefault="00FE7FBA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tbc </w:t>
            </w:r>
          </w:p>
        </w:tc>
      </w:tr>
      <w:tr w:rsidR="00A2106E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Related Statutes, Ordinances, General Regulations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N/A </w:t>
            </w:r>
          </w:p>
        </w:tc>
      </w:tr>
      <w:tr w:rsidR="00A2106E" w:rsidRPr="00387C21" w:rsidTr="00A2106E">
        <w:trPr>
          <w:trHeight w:val="72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Related Policies: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N/A </w:t>
            </w:r>
          </w:p>
        </w:tc>
      </w:tr>
      <w:tr w:rsidR="00A2106E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Related Procedures and Guidance: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The Manual of Academic Procedures (MAP) - </w:t>
            </w:r>
            <w:r>
              <w:t xml:space="preserve"> </w:t>
            </w:r>
            <w:hyperlink r:id="rId16" w:history="1">
              <w:r w:rsidRPr="00C13505">
                <w:rPr>
                  <w:rStyle w:val="Hyperlink"/>
                  <w:rFonts w:ascii="Arial" w:hAnsi="Arial" w:cs="Arial"/>
                  <w:lang w:val="en-US"/>
                </w:rPr>
                <w:t>http://www.tlso.manchester.ac.uk/map/</w:t>
              </w:r>
            </w:hyperlink>
            <w:r>
              <w:rPr>
                <w:rFonts w:ascii="Arial" w:hAnsi="Arial" w:cs="Arial"/>
                <w:color w:val="0000FF"/>
                <w:lang w:val="en-US"/>
              </w:rPr>
              <w:t xml:space="preserve"> </w:t>
            </w:r>
          </w:p>
        </w:tc>
      </w:tr>
      <w:tr w:rsidR="00A2106E" w:rsidRPr="00387C21" w:rsidTr="00A2106E">
        <w:trPr>
          <w:trHeight w:val="49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Policy owner: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Louise Walmsley, Head of Teaching and Learning Support Office </w:t>
            </w:r>
          </w:p>
        </w:tc>
      </w:tr>
      <w:tr w:rsidR="00A2106E" w:rsidRPr="00387C21" w:rsidTr="00A2106E">
        <w:trPr>
          <w:trHeight w:val="266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Lead contact: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06E" w:rsidRPr="00FE7FBA" w:rsidRDefault="00A2106E" w:rsidP="00A21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E7FBA">
              <w:rPr>
                <w:rFonts w:ascii="Arial" w:hAnsi="Arial" w:cs="Arial"/>
                <w:color w:val="000000"/>
                <w:lang w:val="en-US"/>
              </w:rPr>
              <w:t xml:space="preserve">Miriam Graham, Teaching and Learning Adviser (Policies and Procedures) </w:t>
            </w:r>
          </w:p>
        </w:tc>
      </w:tr>
    </w:tbl>
    <w:p w:rsidR="00FE7FBA" w:rsidRPr="00E45C90" w:rsidRDefault="00FE7FBA" w:rsidP="00FE7FBA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C90F53" w:rsidRPr="005D2AAF" w:rsidRDefault="00C90F53">
      <w:pPr>
        <w:jc w:val="center"/>
        <w:rPr>
          <w:rFonts w:ascii="Microsoft Sans Serif" w:hAnsi="Microsoft Sans Serif" w:cs="Microsoft Sans Serif"/>
          <w:snapToGrid w:val="0"/>
          <w:sz w:val="22"/>
        </w:rPr>
      </w:pPr>
      <w:r w:rsidRPr="005D2AAF">
        <w:rPr>
          <w:rFonts w:ascii="Microsoft Sans Serif" w:hAnsi="Microsoft Sans Serif" w:cs="Microsoft Sans Serif"/>
          <w:snapToGrid w:val="0"/>
          <w:sz w:val="22"/>
        </w:rPr>
        <w:t xml:space="preserve"> </w:t>
      </w:r>
    </w:p>
    <w:sectPr w:rsidR="00C90F53" w:rsidRPr="005D2AAF" w:rsidSect="00BD6CDD">
      <w:headerReference w:type="default" r:id="rId17"/>
      <w:footerReference w:type="default" r:id="rId18"/>
      <w:pgSz w:w="11906" w:h="16838" w:code="9"/>
      <w:pgMar w:top="1418" w:right="1304" w:bottom="136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8A" w:rsidRDefault="00A96C8A">
      <w:r>
        <w:separator/>
      </w:r>
    </w:p>
  </w:endnote>
  <w:endnote w:type="continuationSeparator" w:id="0">
    <w:p w:rsidR="00A96C8A" w:rsidRDefault="00A9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42" w:rsidRDefault="006C0E42">
    <w:pPr>
      <w:pStyle w:val="Footer"/>
      <w:jc w:val="both"/>
    </w:pPr>
    <w:r>
      <w:rPr>
        <w:rStyle w:val="PageNumber"/>
      </w:rPr>
      <w:t>Unit specification template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51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8A" w:rsidRDefault="00A96C8A">
      <w:r>
        <w:separator/>
      </w:r>
    </w:p>
  </w:footnote>
  <w:footnote w:type="continuationSeparator" w:id="0">
    <w:p w:rsidR="00A96C8A" w:rsidRDefault="00A9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42" w:rsidRDefault="006C0E42">
    <w:pPr>
      <w:jc w:val="center"/>
      <w:rPr>
        <w:rFonts w:ascii="Arial" w:hAnsi="Arial"/>
        <w:b/>
        <w:snapToGrid w:val="0"/>
        <w:color w:val="000000"/>
        <w:sz w:val="24"/>
      </w:rPr>
    </w:pPr>
    <w:r>
      <w:rPr>
        <w:rFonts w:ascii="Arial" w:hAnsi="Arial"/>
        <w:b/>
        <w:snapToGrid w:val="0"/>
        <w:color w:val="000000"/>
        <w:sz w:val="24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  <w:b/>
            <w:snapToGrid w:val="0"/>
            <w:color w:val="000000"/>
            <w:sz w:val="24"/>
          </w:rPr>
          <w:t>UNIVERSITY</w:t>
        </w:r>
      </w:smartTag>
      <w:r>
        <w:rPr>
          <w:rFonts w:ascii="Arial" w:hAnsi="Arial"/>
          <w:b/>
          <w:snapToGrid w:val="0"/>
          <w:color w:val="000000"/>
          <w:sz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napToGrid w:val="0"/>
            <w:color w:val="000000"/>
            <w:sz w:val="24"/>
          </w:rPr>
          <w:t>MANCHESTER</w:t>
        </w:r>
      </w:smartTag>
    </w:smartTag>
  </w:p>
  <w:p w:rsidR="006C0E42" w:rsidRDefault="006C0E42">
    <w:pPr>
      <w:pStyle w:val="Header"/>
      <w:jc w:val="center"/>
    </w:pPr>
    <w:r>
      <w:rPr>
        <w:rFonts w:ascii="Arial" w:hAnsi="Arial"/>
        <w:b/>
        <w:snapToGrid w:val="0"/>
        <w:color w:val="000000"/>
        <w:sz w:val="24"/>
      </w:rPr>
      <w:t>Unit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D40"/>
    <w:multiLevelType w:val="singleLevel"/>
    <w:tmpl w:val="4DD2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" w15:restartNumberingAfterBreak="0">
    <w:nsid w:val="25293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E6DEB"/>
    <w:multiLevelType w:val="hybridMultilevel"/>
    <w:tmpl w:val="FB5CA6B6"/>
    <w:lvl w:ilvl="0" w:tplc="22022634">
      <w:start w:val="1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3809"/>
    <w:multiLevelType w:val="hybridMultilevel"/>
    <w:tmpl w:val="756C4948"/>
    <w:lvl w:ilvl="0" w:tplc="07B63D92">
      <w:start w:val="1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79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0C23A7"/>
    <w:multiLevelType w:val="hybridMultilevel"/>
    <w:tmpl w:val="3F90F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3"/>
    <w:rsid w:val="000148C3"/>
    <w:rsid w:val="000462F3"/>
    <w:rsid w:val="00067405"/>
    <w:rsid w:val="00071228"/>
    <w:rsid w:val="0008295E"/>
    <w:rsid w:val="000C399F"/>
    <w:rsid w:val="000E2AB6"/>
    <w:rsid w:val="000E591C"/>
    <w:rsid w:val="000F22E4"/>
    <w:rsid w:val="00156473"/>
    <w:rsid w:val="00166F88"/>
    <w:rsid w:val="00191174"/>
    <w:rsid w:val="001F4013"/>
    <w:rsid w:val="00203636"/>
    <w:rsid w:val="00230AAB"/>
    <w:rsid w:val="002653CB"/>
    <w:rsid w:val="00272866"/>
    <w:rsid w:val="002730D1"/>
    <w:rsid w:val="00287278"/>
    <w:rsid w:val="002B26DA"/>
    <w:rsid w:val="003428B9"/>
    <w:rsid w:val="003C2699"/>
    <w:rsid w:val="003D2466"/>
    <w:rsid w:val="003D30E3"/>
    <w:rsid w:val="00420010"/>
    <w:rsid w:val="00431DDE"/>
    <w:rsid w:val="005005D9"/>
    <w:rsid w:val="00510E68"/>
    <w:rsid w:val="0055446E"/>
    <w:rsid w:val="00563051"/>
    <w:rsid w:val="005D2AAF"/>
    <w:rsid w:val="005D58D5"/>
    <w:rsid w:val="005E3F78"/>
    <w:rsid w:val="006533C0"/>
    <w:rsid w:val="00663C2D"/>
    <w:rsid w:val="006838BC"/>
    <w:rsid w:val="0068531D"/>
    <w:rsid w:val="00696B20"/>
    <w:rsid w:val="006C0E42"/>
    <w:rsid w:val="006C498C"/>
    <w:rsid w:val="006F7C65"/>
    <w:rsid w:val="00717356"/>
    <w:rsid w:val="007A22AD"/>
    <w:rsid w:val="00803B64"/>
    <w:rsid w:val="00821505"/>
    <w:rsid w:val="00854D90"/>
    <w:rsid w:val="0085785F"/>
    <w:rsid w:val="00860514"/>
    <w:rsid w:val="0088085F"/>
    <w:rsid w:val="008947DF"/>
    <w:rsid w:val="008C511C"/>
    <w:rsid w:val="008C5D1E"/>
    <w:rsid w:val="008D631B"/>
    <w:rsid w:val="008F47AB"/>
    <w:rsid w:val="009113F4"/>
    <w:rsid w:val="00917270"/>
    <w:rsid w:val="00927980"/>
    <w:rsid w:val="009448A2"/>
    <w:rsid w:val="00974DE2"/>
    <w:rsid w:val="00985615"/>
    <w:rsid w:val="009B1133"/>
    <w:rsid w:val="009B74C6"/>
    <w:rsid w:val="009F2898"/>
    <w:rsid w:val="009F3180"/>
    <w:rsid w:val="00A2106E"/>
    <w:rsid w:val="00A26D5D"/>
    <w:rsid w:val="00A42386"/>
    <w:rsid w:val="00A546D9"/>
    <w:rsid w:val="00A95C63"/>
    <w:rsid w:val="00A96C8A"/>
    <w:rsid w:val="00AA0222"/>
    <w:rsid w:val="00AF548B"/>
    <w:rsid w:val="00B41B7A"/>
    <w:rsid w:val="00B57EB6"/>
    <w:rsid w:val="00B91593"/>
    <w:rsid w:val="00BC1102"/>
    <w:rsid w:val="00BD5972"/>
    <w:rsid w:val="00BD6CDD"/>
    <w:rsid w:val="00BE1412"/>
    <w:rsid w:val="00BE37A6"/>
    <w:rsid w:val="00C13177"/>
    <w:rsid w:val="00C13505"/>
    <w:rsid w:val="00C52C33"/>
    <w:rsid w:val="00C62729"/>
    <w:rsid w:val="00C75E38"/>
    <w:rsid w:val="00C90F53"/>
    <w:rsid w:val="00CC55CE"/>
    <w:rsid w:val="00CE2E48"/>
    <w:rsid w:val="00D132EB"/>
    <w:rsid w:val="00D358F0"/>
    <w:rsid w:val="00D404AC"/>
    <w:rsid w:val="00D56107"/>
    <w:rsid w:val="00D5647D"/>
    <w:rsid w:val="00D6019B"/>
    <w:rsid w:val="00D91DFD"/>
    <w:rsid w:val="00D92174"/>
    <w:rsid w:val="00DE689D"/>
    <w:rsid w:val="00E407DB"/>
    <w:rsid w:val="00E64F91"/>
    <w:rsid w:val="00E72360"/>
    <w:rsid w:val="00E9173E"/>
    <w:rsid w:val="00EC4D32"/>
    <w:rsid w:val="00EF22F4"/>
    <w:rsid w:val="00F044C3"/>
    <w:rsid w:val="00F11EAD"/>
    <w:rsid w:val="00F23ACC"/>
    <w:rsid w:val="00F251FC"/>
    <w:rsid w:val="00F2522D"/>
    <w:rsid w:val="00F31C43"/>
    <w:rsid w:val="00F547EE"/>
    <w:rsid w:val="00F66F5F"/>
    <w:rsid w:val="00F94E8E"/>
    <w:rsid w:val="00FB653F"/>
    <w:rsid w:val="00FB7CC1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45D8CF0-5327-4FFB-9B91-8095CF7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rsid w:val="002653CB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FE7FBA"/>
    <w:pPr>
      <w:spacing w:after="200"/>
      <w:ind w:left="720"/>
      <w:contextualSpacing/>
    </w:pPr>
    <w:rPr>
      <w:rFonts w:ascii="Gill Sans" w:hAnsi="Gill Sans"/>
      <w:sz w:val="24"/>
    </w:rPr>
  </w:style>
  <w:style w:type="paragraph" w:styleId="BalloonText">
    <w:name w:val="Balloon Text"/>
    <w:basedOn w:val="Normal"/>
    <w:semiHidden/>
    <w:rsid w:val="00E91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106E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8F47AB"/>
  </w:style>
  <w:style w:type="character" w:customStyle="1" w:styleId="bylinepipe">
    <w:name w:val="bylinepipe"/>
    <w:basedOn w:val="DefaultParagraphFont"/>
    <w:rsid w:val="008F47AB"/>
  </w:style>
  <w:style w:type="character" w:customStyle="1" w:styleId="lrgbold">
    <w:name w:val="lrg bold"/>
    <w:basedOn w:val="DefaultParagraphFont"/>
    <w:rsid w:val="008F47AB"/>
  </w:style>
  <w:style w:type="character" w:customStyle="1" w:styleId="medreg">
    <w:name w:val="med reg"/>
    <w:basedOn w:val="DefaultParagraphFont"/>
    <w:rsid w:val="008F47AB"/>
  </w:style>
  <w:style w:type="character" w:customStyle="1" w:styleId="description">
    <w:name w:val="description"/>
    <w:rsid w:val="008F47AB"/>
  </w:style>
  <w:style w:type="character" w:styleId="Strong">
    <w:name w:val="Strong"/>
    <w:uiPriority w:val="22"/>
    <w:qFormat/>
    <w:rsid w:val="008F47AB"/>
    <w:rPr>
      <w:b/>
      <w:bCs/>
    </w:rPr>
  </w:style>
  <w:style w:type="character" w:styleId="Emphasis">
    <w:name w:val="Emphasis"/>
    <w:uiPriority w:val="20"/>
    <w:qFormat/>
    <w:rsid w:val="008F47AB"/>
    <w:rPr>
      <w:i/>
      <w:iCs/>
    </w:rPr>
  </w:style>
  <w:style w:type="paragraph" w:styleId="NoSpacing">
    <w:name w:val="No Spacing"/>
    <w:uiPriority w:val="1"/>
    <w:qFormat/>
    <w:rsid w:val="008F47AB"/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D40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AC"/>
  </w:style>
  <w:style w:type="character" w:customStyle="1" w:styleId="CommentTextChar">
    <w:name w:val="Comment Text Char"/>
    <w:basedOn w:val="DefaultParagraphFont"/>
    <w:link w:val="CommentText"/>
    <w:rsid w:val="00D404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4AC"/>
    <w:rPr>
      <w:b/>
      <w:bCs/>
      <w:lang w:eastAsia="en-US"/>
    </w:rPr>
  </w:style>
  <w:style w:type="character" w:customStyle="1" w:styleId="authors">
    <w:name w:val="authors"/>
    <w:basedOn w:val="DefaultParagraphFont"/>
    <w:rsid w:val="00191174"/>
  </w:style>
  <w:style w:type="character" w:styleId="FollowedHyperlink">
    <w:name w:val="FollowedHyperlink"/>
    <w:basedOn w:val="DefaultParagraphFont"/>
    <w:semiHidden/>
    <w:unhideWhenUsed/>
    <w:rsid w:val="000E2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709">
          <w:marLeft w:val="132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771">
              <w:marLeft w:val="27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Analysing-Teaching-Learning-Interactions-Higher-Education/dp/1441191801/ref=sr_1_134?s=books&amp;ie=UTF8&amp;qid=1368866022&amp;sr=1-134&amp;keywords=widening+participation" TargetMode="External"/><Relationship Id="rId13" Type="http://schemas.openxmlformats.org/officeDocument/2006/relationships/hyperlink" Target="http://www.timeshighereducation.co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j@manchester.ac.uk" TargetMode="External"/><Relationship Id="rId12" Type="http://schemas.openxmlformats.org/officeDocument/2006/relationships/hyperlink" Target="http://www.amazon.co.uk/Reconstructing-Identities-Higher-Education-professionals/dp/0415564662/ref=sr_1_53?s=books&amp;ie=UTF8&amp;qid=1368865841&amp;sr=1-53&amp;keywords=widening+particip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lso.manchester.ac.uk/ma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.uk/Researching-Higher-Education-Malcolm-Tight/dp/0335241832/ref=sr_1_93?s=books&amp;ie=UTF8&amp;qid=1368865930&amp;sr=1-93&amp;keywords=widening+particip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rary.manchester.ac.uk/academicsupport/informationandadviceonlink2listsreadinglistsoftware/" TargetMode="External"/><Relationship Id="rId10" Type="http://schemas.openxmlformats.org/officeDocument/2006/relationships/hyperlink" Target="http://www.amazon.co.uk/Higher-Education-Public-Good-University/dp/144116491X/ref=sr_1_82?s=books&amp;ie=UTF8&amp;qid=1368865930&amp;sr=1-82&amp;keywords=widening+particip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Everything-Marketisation-Higher-Education-Research/dp/0415809800/ref=sr_1_26?s=books&amp;ie=UTF8&amp;qid=1368865733&amp;sr=1-26&amp;keywords=widening+participation" TargetMode="External"/><Relationship Id="rId14" Type="http://schemas.openxmlformats.org/officeDocument/2006/relationships/hyperlink" Target="http://chronicle.com/section/Hom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7519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text for MAP</vt:lpstr>
    </vt:vector>
  </TitlesOfParts>
  <Company>University of Manchester</Company>
  <LinksUpToDate>false</LinksUpToDate>
  <CharactersWithSpaces>8486</CharactersWithSpaces>
  <SharedDoc>false</SharedDoc>
  <HLinks>
    <vt:vector size="12" baseType="variant"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http://www.tlso.manchester.ac.uk/map/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http://www.library.manchester.ac.uk/academicsupport/informationandadviceonlink2listsreadinglistsoftware/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text for MAP</dc:title>
  <dc:creator>Kahn</dc:creator>
  <cp:lastModifiedBy>Jane Mortimer</cp:lastModifiedBy>
  <cp:revision>2</cp:revision>
  <cp:lastPrinted>2011-04-11T12:35:00Z</cp:lastPrinted>
  <dcterms:created xsi:type="dcterms:W3CDTF">2019-10-23T11:22:00Z</dcterms:created>
  <dcterms:modified xsi:type="dcterms:W3CDTF">2019-10-23T11:22:00Z</dcterms:modified>
</cp:coreProperties>
</file>