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2" w:rsidRDefault="00742542" w:rsidP="00B136B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Faculty of Humanities</w:t>
      </w:r>
    </w:p>
    <w:p w:rsidR="00091F86" w:rsidRDefault="00091F86" w:rsidP="00091F86">
      <w:pPr>
        <w:jc w:val="center"/>
        <w:outlineLvl w:val="0"/>
        <w:rPr>
          <w:b/>
          <w:bCs/>
          <w:sz w:val="20"/>
          <w:szCs w:val="20"/>
        </w:rPr>
      </w:pPr>
    </w:p>
    <w:p w:rsidR="00CF0B6A" w:rsidRPr="006865F2" w:rsidRDefault="00A97328" w:rsidP="00A97328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091F86">
        <w:rPr>
          <w:b/>
          <w:bCs/>
          <w:sz w:val="20"/>
          <w:szCs w:val="20"/>
        </w:rPr>
        <w:t>verview of</w:t>
      </w:r>
      <w:r>
        <w:rPr>
          <w:b/>
          <w:bCs/>
          <w:sz w:val="20"/>
          <w:szCs w:val="20"/>
        </w:rPr>
        <w:t xml:space="preserve"> Faculty</w:t>
      </w:r>
      <w:r w:rsidR="00091F86">
        <w:rPr>
          <w:b/>
          <w:bCs/>
          <w:sz w:val="20"/>
          <w:szCs w:val="20"/>
        </w:rPr>
        <w:t xml:space="preserve"> responsibilities - </w:t>
      </w:r>
      <w:r w:rsidR="0084511C" w:rsidRPr="006865F2">
        <w:rPr>
          <w:b/>
          <w:bCs/>
          <w:sz w:val="20"/>
          <w:szCs w:val="20"/>
        </w:rPr>
        <w:t>Teaching and Learning Director</w:t>
      </w:r>
      <w:r w:rsidR="00091F86">
        <w:rPr>
          <w:b/>
          <w:bCs/>
          <w:sz w:val="20"/>
          <w:szCs w:val="20"/>
        </w:rPr>
        <w:t>/ UG Director/ PGT Director</w:t>
      </w:r>
    </w:p>
    <w:p w:rsidR="00AA2986" w:rsidRPr="006865F2" w:rsidRDefault="00AA2986">
      <w:pPr>
        <w:rPr>
          <w:sz w:val="20"/>
          <w:szCs w:val="20"/>
        </w:rPr>
      </w:pPr>
    </w:p>
    <w:p w:rsidR="009E40ED" w:rsidRDefault="00AA2986">
      <w:pPr>
        <w:rPr>
          <w:b/>
          <w:sz w:val="20"/>
          <w:szCs w:val="20"/>
        </w:rPr>
      </w:pPr>
      <w:r w:rsidRPr="006865F2">
        <w:rPr>
          <w:b/>
          <w:sz w:val="20"/>
          <w:szCs w:val="20"/>
        </w:rPr>
        <w:t xml:space="preserve">1.  </w:t>
      </w:r>
      <w:r w:rsidR="007C449E" w:rsidRPr="006865F2">
        <w:rPr>
          <w:b/>
          <w:sz w:val="20"/>
          <w:szCs w:val="20"/>
        </w:rPr>
        <w:t>Introduction</w:t>
      </w:r>
      <w:r w:rsidR="005E17E1" w:rsidRPr="006865F2">
        <w:rPr>
          <w:b/>
          <w:sz w:val="20"/>
          <w:szCs w:val="20"/>
        </w:rPr>
        <w:t xml:space="preserve"> and Context</w:t>
      </w:r>
    </w:p>
    <w:p w:rsidR="00742542" w:rsidRDefault="00742542">
      <w:pPr>
        <w:rPr>
          <w:b/>
          <w:sz w:val="20"/>
          <w:szCs w:val="20"/>
        </w:rPr>
      </w:pPr>
    </w:p>
    <w:p w:rsidR="00D25290" w:rsidRPr="00D25290" w:rsidRDefault="00D25290" w:rsidP="008407B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The  Terms</w:t>
      </w:r>
      <w:proofErr w:type="gramEnd"/>
      <w:r>
        <w:rPr>
          <w:sz w:val="20"/>
          <w:szCs w:val="20"/>
        </w:rPr>
        <w:t xml:space="preserve"> of Reference</w:t>
      </w:r>
      <w:r w:rsidR="000E46E5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Pr="00D25290">
        <w:rPr>
          <w:sz w:val="20"/>
          <w:szCs w:val="20"/>
        </w:rPr>
        <w:t xml:space="preserve"> the Faculty Teaching and Learning</w:t>
      </w:r>
      <w:r>
        <w:rPr>
          <w:sz w:val="20"/>
          <w:szCs w:val="20"/>
        </w:rPr>
        <w:t xml:space="preserve"> </w:t>
      </w:r>
      <w:r w:rsidRPr="00D25290">
        <w:rPr>
          <w:sz w:val="20"/>
          <w:szCs w:val="20"/>
        </w:rPr>
        <w:t>Committee</w:t>
      </w:r>
      <w:r w:rsidR="004F4CAC">
        <w:rPr>
          <w:sz w:val="20"/>
          <w:szCs w:val="20"/>
        </w:rPr>
        <w:t xml:space="preserve"> (FTLC)</w:t>
      </w:r>
      <w:r w:rsidRPr="00D252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make it the principal body </w:t>
      </w:r>
      <w:r w:rsidRPr="00D25290">
        <w:rPr>
          <w:sz w:val="20"/>
          <w:szCs w:val="20"/>
        </w:rPr>
        <w:t xml:space="preserve">within the Faculty for </w:t>
      </w:r>
      <w:r w:rsidR="004F4CAC">
        <w:rPr>
          <w:sz w:val="20"/>
          <w:szCs w:val="20"/>
        </w:rPr>
        <w:t xml:space="preserve">strategic consideration of </w:t>
      </w:r>
      <w:r w:rsidRPr="00D25290">
        <w:rPr>
          <w:sz w:val="20"/>
          <w:szCs w:val="20"/>
        </w:rPr>
        <w:t>all teaching and</w:t>
      </w:r>
      <w:r>
        <w:rPr>
          <w:sz w:val="20"/>
          <w:szCs w:val="20"/>
        </w:rPr>
        <w:t xml:space="preserve"> learning activity. A</w:t>
      </w:r>
      <w:r w:rsidRPr="00D25290">
        <w:rPr>
          <w:sz w:val="20"/>
          <w:szCs w:val="20"/>
        </w:rPr>
        <w:t xml:space="preserve">pproval of </w:t>
      </w:r>
      <w:r w:rsidR="004F4CAC">
        <w:rPr>
          <w:sz w:val="20"/>
          <w:szCs w:val="20"/>
        </w:rPr>
        <w:t xml:space="preserve">all </w:t>
      </w:r>
      <w:r w:rsidR="00422CFB">
        <w:rPr>
          <w:sz w:val="20"/>
          <w:szCs w:val="20"/>
        </w:rPr>
        <w:t>undergraduate</w:t>
      </w:r>
      <w:r w:rsidRPr="00D25290">
        <w:rPr>
          <w:sz w:val="20"/>
          <w:szCs w:val="20"/>
        </w:rPr>
        <w:t xml:space="preserve"> </w:t>
      </w:r>
      <w:r w:rsidR="004F4CAC">
        <w:rPr>
          <w:sz w:val="20"/>
          <w:szCs w:val="20"/>
        </w:rPr>
        <w:t xml:space="preserve">and postgraduate taught </w:t>
      </w:r>
      <w:r w:rsidRPr="00D25290">
        <w:rPr>
          <w:sz w:val="20"/>
          <w:szCs w:val="20"/>
        </w:rPr>
        <w:t xml:space="preserve">programmes </w:t>
      </w:r>
      <w:r>
        <w:rPr>
          <w:sz w:val="20"/>
          <w:szCs w:val="20"/>
        </w:rPr>
        <w:t>has been devo</w:t>
      </w:r>
      <w:r w:rsidR="00D20EEC">
        <w:rPr>
          <w:sz w:val="20"/>
          <w:szCs w:val="20"/>
        </w:rPr>
        <w:t>l</w:t>
      </w:r>
      <w:r>
        <w:rPr>
          <w:sz w:val="20"/>
          <w:szCs w:val="20"/>
        </w:rPr>
        <w:t xml:space="preserve">ved to </w:t>
      </w:r>
      <w:r w:rsidR="00422CFB">
        <w:rPr>
          <w:sz w:val="20"/>
          <w:szCs w:val="20"/>
        </w:rPr>
        <w:t xml:space="preserve">the Undergraduate </w:t>
      </w:r>
      <w:r w:rsidR="004F4CAC">
        <w:rPr>
          <w:sz w:val="20"/>
          <w:szCs w:val="20"/>
        </w:rPr>
        <w:t xml:space="preserve">and Postgraduate </w:t>
      </w:r>
      <w:r w:rsidR="00422CFB">
        <w:rPr>
          <w:sz w:val="20"/>
          <w:szCs w:val="20"/>
        </w:rPr>
        <w:t>Sub-Committee</w:t>
      </w:r>
      <w:r w:rsidR="004F4CAC">
        <w:rPr>
          <w:sz w:val="20"/>
          <w:szCs w:val="20"/>
        </w:rPr>
        <w:t>s</w:t>
      </w:r>
      <w:r w:rsidR="00422CFB">
        <w:rPr>
          <w:sz w:val="20"/>
          <w:szCs w:val="20"/>
        </w:rPr>
        <w:t xml:space="preserve"> of </w:t>
      </w:r>
      <w:r w:rsidR="000E46E5">
        <w:rPr>
          <w:sz w:val="20"/>
          <w:szCs w:val="20"/>
        </w:rPr>
        <w:t>F</w:t>
      </w:r>
      <w:r w:rsidR="00422CFB">
        <w:rPr>
          <w:sz w:val="20"/>
          <w:szCs w:val="20"/>
        </w:rPr>
        <w:t>TLC</w:t>
      </w:r>
      <w:r w:rsidR="00995ED4">
        <w:rPr>
          <w:sz w:val="20"/>
          <w:szCs w:val="20"/>
        </w:rPr>
        <w:t xml:space="preserve">. </w:t>
      </w:r>
    </w:p>
    <w:p w:rsidR="00D20EEC" w:rsidRDefault="00D20EEC" w:rsidP="008C7EC6">
      <w:pPr>
        <w:rPr>
          <w:bCs/>
          <w:sz w:val="20"/>
          <w:szCs w:val="20"/>
        </w:rPr>
      </w:pPr>
    </w:p>
    <w:p w:rsidR="007C449E" w:rsidRPr="006865F2" w:rsidRDefault="00D20EEC" w:rsidP="0020503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In line with the  terms of reference and membership, </w:t>
      </w:r>
      <w:r w:rsidR="002E3F68">
        <w:rPr>
          <w:bCs/>
          <w:sz w:val="20"/>
          <w:szCs w:val="20"/>
        </w:rPr>
        <w:t xml:space="preserve">this document </w:t>
      </w:r>
      <w:r w:rsidR="00F44543" w:rsidRPr="00F44543">
        <w:rPr>
          <w:bCs/>
          <w:sz w:val="20"/>
          <w:szCs w:val="20"/>
        </w:rPr>
        <w:t xml:space="preserve">has been produced to outline the </w:t>
      </w:r>
      <w:r w:rsidR="002E3F68">
        <w:rPr>
          <w:bCs/>
          <w:sz w:val="20"/>
          <w:szCs w:val="20"/>
        </w:rPr>
        <w:t>responsibilities</w:t>
      </w:r>
      <w:r w:rsidR="00F44543" w:rsidRPr="00F44543">
        <w:rPr>
          <w:bCs/>
          <w:sz w:val="20"/>
          <w:szCs w:val="20"/>
        </w:rPr>
        <w:t xml:space="preserve"> of </w:t>
      </w:r>
      <w:r w:rsidR="002E3F68">
        <w:rPr>
          <w:bCs/>
          <w:sz w:val="20"/>
          <w:szCs w:val="20"/>
        </w:rPr>
        <w:t>School</w:t>
      </w:r>
      <w:r w:rsidR="00D2326B">
        <w:rPr>
          <w:bCs/>
          <w:sz w:val="20"/>
          <w:szCs w:val="20"/>
        </w:rPr>
        <w:t xml:space="preserve"> Teaching and Learning Director</w:t>
      </w:r>
      <w:r w:rsidR="002E3F68">
        <w:rPr>
          <w:bCs/>
          <w:sz w:val="20"/>
          <w:szCs w:val="20"/>
        </w:rPr>
        <w:t>s</w:t>
      </w:r>
      <w:r w:rsidR="00D2326B">
        <w:rPr>
          <w:bCs/>
          <w:sz w:val="20"/>
          <w:szCs w:val="20"/>
        </w:rPr>
        <w:t xml:space="preserve"> </w:t>
      </w:r>
      <w:r w:rsidR="00091F86">
        <w:rPr>
          <w:bCs/>
          <w:sz w:val="20"/>
          <w:szCs w:val="20"/>
        </w:rPr>
        <w:t>(or UG/PGT Directors as applicable</w:t>
      </w:r>
      <w:r w:rsidR="00205035">
        <w:rPr>
          <w:bCs/>
          <w:sz w:val="20"/>
          <w:szCs w:val="20"/>
        </w:rPr>
        <w:t>, although within this document we will refer to ‘T&amp;L Director’ from now on</w:t>
      </w:r>
      <w:r w:rsidR="00091F86">
        <w:rPr>
          <w:bCs/>
          <w:sz w:val="20"/>
          <w:szCs w:val="20"/>
        </w:rPr>
        <w:t xml:space="preserve">) </w:t>
      </w:r>
      <w:r w:rsidR="002E3F68">
        <w:rPr>
          <w:bCs/>
          <w:sz w:val="20"/>
          <w:szCs w:val="20"/>
        </w:rPr>
        <w:t>from a Faculty perspective</w:t>
      </w:r>
      <w:r w:rsidR="00D2326B">
        <w:rPr>
          <w:bCs/>
          <w:sz w:val="20"/>
          <w:szCs w:val="20"/>
        </w:rPr>
        <w:t>.</w:t>
      </w:r>
      <w:r w:rsidR="00742542" w:rsidRPr="00742542">
        <w:rPr>
          <w:sz w:val="20"/>
          <w:szCs w:val="20"/>
        </w:rPr>
        <w:t xml:space="preserve"> </w:t>
      </w:r>
      <w:r w:rsidR="00742542" w:rsidRPr="006865F2">
        <w:rPr>
          <w:sz w:val="20"/>
          <w:szCs w:val="20"/>
        </w:rPr>
        <w:t xml:space="preserve">In practice, the </w:t>
      </w:r>
      <w:r w:rsidR="00742542">
        <w:rPr>
          <w:sz w:val="20"/>
          <w:szCs w:val="20"/>
        </w:rPr>
        <w:t xml:space="preserve">role </w:t>
      </w:r>
      <w:r w:rsidR="00742542" w:rsidRPr="006865F2">
        <w:rPr>
          <w:sz w:val="20"/>
          <w:szCs w:val="20"/>
        </w:rPr>
        <w:t>may be undertaken by more than one academic member of staff</w:t>
      </w:r>
      <w:r w:rsidR="00742542">
        <w:rPr>
          <w:sz w:val="20"/>
          <w:szCs w:val="20"/>
        </w:rPr>
        <w:t xml:space="preserve"> as </w:t>
      </w:r>
      <w:r w:rsidR="00742542" w:rsidRPr="00D67E21">
        <w:rPr>
          <w:sz w:val="20"/>
          <w:szCs w:val="20"/>
        </w:rPr>
        <w:t>appropriate</w:t>
      </w:r>
      <w:r w:rsidR="00BD5C09" w:rsidRPr="00D67E21">
        <w:rPr>
          <w:sz w:val="20"/>
          <w:szCs w:val="20"/>
        </w:rPr>
        <w:t xml:space="preserve">. </w:t>
      </w:r>
      <w:r w:rsidR="004F4CAC" w:rsidRPr="00D67E21">
        <w:rPr>
          <w:sz w:val="20"/>
          <w:szCs w:val="20"/>
        </w:rPr>
        <w:t>However, it</w:t>
      </w:r>
      <w:r w:rsidR="004F4CAC" w:rsidRPr="00D67E21">
        <w:rPr>
          <w:rStyle w:val="apple-style-span"/>
          <w:sz w:val="20"/>
          <w:szCs w:val="20"/>
        </w:rPr>
        <w:t xml:space="preserve"> is strongly recommended that Schools take the opportunity to appoint a single director of Teaching and Learning, ensuring that the appointment is made at a senior level equivalent to a Head of Discipline, reporting directly to the Head of </w:t>
      </w:r>
      <w:proofErr w:type="gramStart"/>
      <w:r w:rsidR="004F4CAC" w:rsidRPr="00D67E21">
        <w:rPr>
          <w:rStyle w:val="apple-style-span"/>
          <w:sz w:val="20"/>
          <w:szCs w:val="20"/>
        </w:rPr>
        <w:t>School,</w:t>
      </w:r>
      <w:proofErr w:type="gramEnd"/>
      <w:r w:rsidR="004F4CAC" w:rsidRPr="00D67E21">
        <w:rPr>
          <w:rStyle w:val="apple-style-span"/>
          <w:sz w:val="20"/>
          <w:szCs w:val="20"/>
        </w:rPr>
        <w:t xml:space="preserve"> and with the authority to act on behalf of the Head of School</w:t>
      </w:r>
      <w:r w:rsidR="004F4CAC" w:rsidRPr="00D67E21">
        <w:rPr>
          <w:sz w:val="20"/>
          <w:szCs w:val="20"/>
        </w:rPr>
        <w:t xml:space="preserve">. </w:t>
      </w:r>
      <w:r w:rsidR="00D4336E">
        <w:rPr>
          <w:sz w:val="20"/>
          <w:szCs w:val="20"/>
        </w:rPr>
        <w:t>Th</w:t>
      </w:r>
      <w:r w:rsidR="008407B3">
        <w:rPr>
          <w:sz w:val="20"/>
          <w:szCs w:val="20"/>
        </w:rPr>
        <w:t xml:space="preserve">e T&amp;L Director is required </w:t>
      </w:r>
      <w:r w:rsidR="008407B3">
        <w:rPr>
          <w:bCs/>
          <w:sz w:val="20"/>
          <w:szCs w:val="20"/>
        </w:rPr>
        <w:t>to ensure</w:t>
      </w:r>
      <w:r w:rsidR="00AA2986" w:rsidRPr="006865F2">
        <w:rPr>
          <w:sz w:val="20"/>
          <w:szCs w:val="20"/>
        </w:rPr>
        <w:t xml:space="preserve"> </w:t>
      </w:r>
      <w:r w:rsidR="007C449E" w:rsidRPr="006865F2">
        <w:rPr>
          <w:sz w:val="20"/>
          <w:szCs w:val="20"/>
        </w:rPr>
        <w:t>appropriate academic</w:t>
      </w:r>
      <w:r w:rsidR="00AA2986" w:rsidRPr="006865F2">
        <w:rPr>
          <w:sz w:val="20"/>
          <w:szCs w:val="20"/>
        </w:rPr>
        <w:t xml:space="preserve"> input into</w:t>
      </w:r>
      <w:r w:rsidR="007C449E" w:rsidRPr="006865F2">
        <w:rPr>
          <w:sz w:val="20"/>
          <w:szCs w:val="20"/>
        </w:rPr>
        <w:t xml:space="preserve">: </w:t>
      </w:r>
    </w:p>
    <w:p w:rsidR="00AA2986" w:rsidRPr="006865F2" w:rsidRDefault="00AA2986" w:rsidP="007C449E">
      <w:pPr>
        <w:rPr>
          <w:sz w:val="20"/>
          <w:szCs w:val="20"/>
        </w:rPr>
      </w:pPr>
    </w:p>
    <w:p w:rsidR="007C449E" w:rsidRPr="006865F2" w:rsidRDefault="007C449E" w:rsidP="007C449E">
      <w:pPr>
        <w:numPr>
          <w:ilvl w:val="0"/>
          <w:numId w:val="5"/>
        </w:numPr>
        <w:rPr>
          <w:sz w:val="20"/>
          <w:szCs w:val="20"/>
        </w:rPr>
      </w:pPr>
      <w:r w:rsidRPr="006865F2">
        <w:rPr>
          <w:sz w:val="20"/>
          <w:szCs w:val="20"/>
        </w:rPr>
        <w:t>strategy and policy development</w:t>
      </w:r>
      <w:r w:rsidR="002023AB">
        <w:rPr>
          <w:sz w:val="20"/>
          <w:szCs w:val="20"/>
        </w:rPr>
        <w:t xml:space="preserve"> for teaching and learning</w:t>
      </w:r>
    </w:p>
    <w:p w:rsidR="007C449E" w:rsidRPr="006865F2" w:rsidRDefault="007C449E" w:rsidP="007C449E">
      <w:pPr>
        <w:numPr>
          <w:ilvl w:val="0"/>
          <w:numId w:val="5"/>
        </w:numPr>
        <w:rPr>
          <w:sz w:val="20"/>
          <w:szCs w:val="20"/>
        </w:rPr>
      </w:pPr>
      <w:r w:rsidRPr="006865F2">
        <w:rPr>
          <w:sz w:val="20"/>
          <w:szCs w:val="20"/>
        </w:rPr>
        <w:t xml:space="preserve">implementation </w:t>
      </w:r>
      <w:r w:rsidR="00AA2986" w:rsidRPr="006865F2">
        <w:rPr>
          <w:sz w:val="20"/>
          <w:szCs w:val="20"/>
        </w:rPr>
        <w:t xml:space="preserve">and monitoring </w:t>
      </w:r>
      <w:r w:rsidRPr="006865F2">
        <w:rPr>
          <w:sz w:val="20"/>
          <w:szCs w:val="20"/>
        </w:rPr>
        <w:t xml:space="preserve">of quality management and </w:t>
      </w:r>
      <w:r w:rsidR="00307B69">
        <w:rPr>
          <w:sz w:val="20"/>
          <w:szCs w:val="20"/>
        </w:rPr>
        <w:t xml:space="preserve">teaching and </w:t>
      </w:r>
      <w:r w:rsidRPr="006865F2">
        <w:rPr>
          <w:sz w:val="20"/>
          <w:szCs w:val="20"/>
        </w:rPr>
        <w:t>learning enhancement activities and processes</w:t>
      </w:r>
    </w:p>
    <w:p w:rsidR="007C449E" w:rsidRPr="006865F2" w:rsidRDefault="007C449E" w:rsidP="007C449E">
      <w:pPr>
        <w:rPr>
          <w:sz w:val="20"/>
          <w:szCs w:val="20"/>
        </w:rPr>
      </w:pPr>
    </w:p>
    <w:p w:rsidR="004F4CAC" w:rsidRDefault="007C449E" w:rsidP="004F4CAC">
      <w:pPr>
        <w:rPr>
          <w:rFonts w:ascii="Century Gothic" w:hAnsi="Century Gothic"/>
          <w:color w:val="0000FF"/>
        </w:rPr>
      </w:pPr>
      <w:r w:rsidRPr="006865F2">
        <w:rPr>
          <w:sz w:val="20"/>
          <w:szCs w:val="20"/>
        </w:rPr>
        <w:t xml:space="preserve">Reflecting the varied structures within </w:t>
      </w:r>
      <w:r w:rsidR="000D7101">
        <w:rPr>
          <w:sz w:val="20"/>
          <w:szCs w:val="20"/>
        </w:rPr>
        <w:t>Schools in the Faculty</w:t>
      </w:r>
      <w:r w:rsidR="00A14DD3" w:rsidRPr="006865F2">
        <w:rPr>
          <w:sz w:val="20"/>
          <w:szCs w:val="20"/>
        </w:rPr>
        <w:t xml:space="preserve">, the necessary </w:t>
      </w:r>
      <w:r w:rsidRPr="006865F2">
        <w:rPr>
          <w:sz w:val="20"/>
          <w:szCs w:val="20"/>
        </w:rPr>
        <w:t xml:space="preserve">roles, responsibilities and activities </w:t>
      </w:r>
      <w:r w:rsidR="000D7101">
        <w:rPr>
          <w:sz w:val="20"/>
          <w:szCs w:val="20"/>
        </w:rPr>
        <w:t xml:space="preserve">of the Teaching and Learning Director </w:t>
      </w:r>
      <w:r w:rsidR="002E3F68">
        <w:rPr>
          <w:sz w:val="20"/>
          <w:szCs w:val="20"/>
        </w:rPr>
        <w:t xml:space="preserve">from a Faculty perspective </w:t>
      </w:r>
      <w:r w:rsidR="00A14DD3" w:rsidRPr="006865F2">
        <w:rPr>
          <w:sz w:val="20"/>
          <w:szCs w:val="20"/>
        </w:rPr>
        <w:t>have been defined (outlined below)</w:t>
      </w:r>
      <w:r w:rsidR="00304251" w:rsidRPr="006865F2">
        <w:rPr>
          <w:sz w:val="20"/>
          <w:szCs w:val="20"/>
        </w:rPr>
        <w:t xml:space="preserve">. </w:t>
      </w:r>
      <w:r w:rsidRPr="006865F2">
        <w:rPr>
          <w:sz w:val="20"/>
          <w:szCs w:val="20"/>
        </w:rPr>
        <w:t xml:space="preserve"> </w:t>
      </w:r>
      <w:r w:rsidR="00C82AB6" w:rsidRPr="006865F2">
        <w:rPr>
          <w:sz w:val="20"/>
          <w:szCs w:val="20"/>
        </w:rPr>
        <w:t xml:space="preserve">This </w:t>
      </w:r>
      <w:r w:rsidR="00A14DD3" w:rsidRPr="006865F2">
        <w:rPr>
          <w:sz w:val="20"/>
          <w:szCs w:val="20"/>
        </w:rPr>
        <w:t xml:space="preserve">approach </w:t>
      </w:r>
      <w:r w:rsidR="00C82AB6" w:rsidRPr="006865F2">
        <w:rPr>
          <w:sz w:val="20"/>
          <w:szCs w:val="20"/>
        </w:rPr>
        <w:t xml:space="preserve">does not prescribe a specific job title or organisational structure but allows Schools </w:t>
      </w:r>
      <w:r w:rsidR="00C82AB6" w:rsidRPr="004F4CAC">
        <w:rPr>
          <w:sz w:val="20"/>
          <w:szCs w:val="20"/>
        </w:rPr>
        <w:t>flexibility to implement the most appropriate structures.</w:t>
      </w:r>
      <w:r w:rsidR="004F4CAC" w:rsidRPr="004F4CAC">
        <w:rPr>
          <w:sz w:val="20"/>
          <w:szCs w:val="20"/>
        </w:rPr>
        <w:t xml:space="preserve"> </w:t>
      </w:r>
    </w:p>
    <w:p w:rsidR="00FF179E" w:rsidRDefault="00FF179E" w:rsidP="0025201F">
      <w:pPr>
        <w:rPr>
          <w:sz w:val="20"/>
          <w:szCs w:val="20"/>
        </w:rPr>
      </w:pPr>
    </w:p>
    <w:p w:rsidR="00CF7849" w:rsidRDefault="00CF7849" w:rsidP="00FF179E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25201F">
        <w:rPr>
          <w:sz w:val="20"/>
          <w:szCs w:val="20"/>
        </w:rPr>
        <w:t xml:space="preserve">is is a significant role, and this should be taken into consideration in terms of </w:t>
      </w:r>
      <w:r w:rsidR="00FF179E">
        <w:rPr>
          <w:sz w:val="20"/>
          <w:szCs w:val="20"/>
        </w:rPr>
        <w:t xml:space="preserve">provision of an honorarium and </w:t>
      </w:r>
      <w:r w:rsidR="0025201F">
        <w:rPr>
          <w:sz w:val="20"/>
          <w:szCs w:val="20"/>
        </w:rPr>
        <w:t>reduction of workload/other duties</w:t>
      </w:r>
      <w:r w:rsidR="00AF4157">
        <w:rPr>
          <w:sz w:val="20"/>
          <w:szCs w:val="20"/>
        </w:rPr>
        <w:t xml:space="preserve"> within the School</w:t>
      </w:r>
      <w:r w:rsidR="0025201F">
        <w:rPr>
          <w:sz w:val="20"/>
          <w:szCs w:val="20"/>
        </w:rPr>
        <w:t xml:space="preserve"> to account for the role, (for example 50%), and when </w:t>
      </w:r>
      <w:r>
        <w:rPr>
          <w:sz w:val="20"/>
          <w:szCs w:val="20"/>
        </w:rPr>
        <w:t xml:space="preserve">considering such colleagues for promotion (providing there is evidence that the role has been performed well). </w:t>
      </w:r>
    </w:p>
    <w:p w:rsidR="004F4CAC" w:rsidRDefault="004F4CAC" w:rsidP="00FF179E">
      <w:pPr>
        <w:rPr>
          <w:sz w:val="20"/>
          <w:szCs w:val="20"/>
        </w:rPr>
      </w:pPr>
    </w:p>
    <w:p w:rsidR="00091F86" w:rsidRPr="006865F2" w:rsidRDefault="004F4CAC" w:rsidP="00940DA8">
      <w:pPr>
        <w:rPr>
          <w:sz w:val="20"/>
          <w:szCs w:val="20"/>
        </w:rPr>
      </w:pPr>
      <w:r>
        <w:rPr>
          <w:sz w:val="20"/>
          <w:szCs w:val="20"/>
        </w:rPr>
        <w:t xml:space="preserve">The responsibilities listed in this document are those relating to requirements of membership of the Faculty’s teaching and learning committees. However, it is recognised that Directors will have a separate job description listing School-level responsibilities, and therefore this overview of responsibilities is expected to exist alongside such a document. </w:t>
      </w:r>
      <w:r w:rsidR="00091F86">
        <w:rPr>
          <w:sz w:val="20"/>
          <w:szCs w:val="20"/>
        </w:rPr>
        <w:t xml:space="preserve">In practice, there may be some delegation of the roles and responsibilities listed here within Schools, </w:t>
      </w:r>
      <w:r w:rsidR="00940DA8">
        <w:rPr>
          <w:sz w:val="20"/>
          <w:szCs w:val="20"/>
        </w:rPr>
        <w:t xml:space="preserve">similarly </w:t>
      </w:r>
      <w:r w:rsidR="00091F86">
        <w:rPr>
          <w:sz w:val="20"/>
          <w:szCs w:val="20"/>
        </w:rPr>
        <w:t xml:space="preserve">the T&amp;L Director may </w:t>
      </w:r>
      <w:r w:rsidR="00940DA8">
        <w:rPr>
          <w:sz w:val="20"/>
          <w:szCs w:val="20"/>
        </w:rPr>
        <w:t xml:space="preserve">be required </w:t>
      </w:r>
      <w:r w:rsidR="00091F86">
        <w:rPr>
          <w:sz w:val="20"/>
          <w:szCs w:val="20"/>
        </w:rPr>
        <w:t xml:space="preserve">to deputise for the Head of School in some </w:t>
      </w:r>
      <w:r w:rsidR="00940DA8">
        <w:rPr>
          <w:sz w:val="20"/>
          <w:szCs w:val="20"/>
        </w:rPr>
        <w:t>matters, as agreed.</w:t>
      </w:r>
    </w:p>
    <w:p w:rsidR="007C449E" w:rsidRPr="006865F2" w:rsidRDefault="007C449E" w:rsidP="007C449E">
      <w:pPr>
        <w:rPr>
          <w:sz w:val="20"/>
          <w:szCs w:val="20"/>
        </w:rPr>
      </w:pPr>
    </w:p>
    <w:p w:rsidR="00AA2986" w:rsidRDefault="00AA2986" w:rsidP="007C449E">
      <w:pPr>
        <w:rPr>
          <w:b/>
          <w:sz w:val="20"/>
          <w:szCs w:val="20"/>
        </w:rPr>
      </w:pPr>
      <w:r w:rsidRPr="006865F2">
        <w:rPr>
          <w:b/>
          <w:sz w:val="20"/>
          <w:szCs w:val="20"/>
        </w:rPr>
        <w:t>2.  Roles</w:t>
      </w:r>
    </w:p>
    <w:p w:rsidR="00091F86" w:rsidRPr="006865F2" w:rsidRDefault="00091F86" w:rsidP="007C449E">
      <w:pPr>
        <w:rPr>
          <w:b/>
          <w:sz w:val="20"/>
          <w:szCs w:val="20"/>
        </w:rPr>
      </w:pPr>
    </w:p>
    <w:p w:rsidR="00CD40EC" w:rsidRDefault="00CD40EC" w:rsidP="008407B3">
      <w:pPr>
        <w:rPr>
          <w:sz w:val="20"/>
          <w:szCs w:val="20"/>
        </w:rPr>
      </w:pPr>
      <w:r w:rsidRPr="006865F2">
        <w:rPr>
          <w:sz w:val="20"/>
          <w:szCs w:val="20"/>
        </w:rPr>
        <w:t xml:space="preserve">Teaching and Learning Directors will </w:t>
      </w:r>
      <w:r>
        <w:rPr>
          <w:sz w:val="20"/>
          <w:szCs w:val="20"/>
        </w:rPr>
        <w:t>w</w:t>
      </w:r>
      <w:r w:rsidRPr="006865F2">
        <w:rPr>
          <w:sz w:val="20"/>
          <w:szCs w:val="20"/>
        </w:rPr>
        <w:t xml:space="preserve">ork in collaboration with the </w:t>
      </w:r>
      <w:r>
        <w:rPr>
          <w:sz w:val="20"/>
          <w:szCs w:val="20"/>
        </w:rPr>
        <w:t>F</w:t>
      </w:r>
      <w:r w:rsidRPr="006865F2">
        <w:rPr>
          <w:sz w:val="20"/>
          <w:szCs w:val="20"/>
        </w:rPr>
        <w:t xml:space="preserve">aculty Teaching and Learning </w:t>
      </w:r>
      <w:r>
        <w:rPr>
          <w:sz w:val="20"/>
          <w:szCs w:val="20"/>
        </w:rPr>
        <w:t>T</w:t>
      </w:r>
      <w:r w:rsidRPr="006865F2">
        <w:rPr>
          <w:sz w:val="20"/>
          <w:szCs w:val="20"/>
        </w:rPr>
        <w:t>eam</w:t>
      </w:r>
      <w:r>
        <w:rPr>
          <w:sz w:val="20"/>
          <w:szCs w:val="20"/>
        </w:rPr>
        <w:t xml:space="preserve"> and </w:t>
      </w:r>
      <w:r w:rsidRPr="006865F2">
        <w:rPr>
          <w:sz w:val="20"/>
          <w:szCs w:val="20"/>
        </w:rPr>
        <w:t>Associate Dean</w:t>
      </w:r>
      <w:r>
        <w:rPr>
          <w:sz w:val="20"/>
          <w:szCs w:val="20"/>
        </w:rPr>
        <w:t xml:space="preserve">s (for </w:t>
      </w:r>
      <w:proofErr w:type="spellStart"/>
      <w:r>
        <w:rPr>
          <w:sz w:val="20"/>
          <w:szCs w:val="20"/>
        </w:rPr>
        <w:t>Teaching</w:t>
      </w:r>
      <w:r w:rsidR="008407B3">
        <w:rPr>
          <w:sz w:val="20"/>
          <w:szCs w:val="20"/>
        </w:rPr>
        <w:t>,</w:t>
      </w:r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</w:t>
      </w:r>
      <w:r w:rsidR="008407B3">
        <w:rPr>
          <w:sz w:val="20"/>
          <w:szCs w:val="20"/>
        </w:rPr>
        <w:t xml:space="preserve">and Students </w:t>
      </w:r>
      <w:r>
        <w:rPr>
          <w:sz w:val="20"/>
          <w:szCs w:val="20"/>
        </w:rPr>
        <w:t>and/or Graduate Education as required), as well as the internal support structures within the School</w:t>
      </w:r>
      <w:r w:rsidRPr="006865F2">
        <w:rPr>
          <w:sz w:val="20"/>
          <w:szCs w:val="20"/>
        </w:rPr>
        <w:t>.</w:t>
      </w:r>
      <w:r w:rsidRPr="00CD40E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6865F2">
        <w:rPr>
          <w:sz w:val="20"/>
          <w:szCs w:val="20"/>
        </w:rPr>
        <w:t xml:space="preserve">t is expected that the </w:t>
      </w:r>
      <w:r>
        <w:rPr>
          <w:sz w:val="20"/>
          <w:szCs w:val="20"/>
        </w:rPr>
        <w:t xml:space="preserve">T&amp;L Director </w:t>
      </w:r>
      <w:r w:rsidRPr="006865F2">
        <w:rPr>
          <w:sz w:val="20"/>
          <w:szCs w:val="20"/>
        </w:rPr>
        <w:t xml:space="preserve">should be a member </w:t>
      </w:r>
      <w:r>
        <w:rPr>
          <w:sz w:val="20"/>
          <w:szCs w:val="20"/>
        </w:rPr>
        <w:t xml:space="preserve">or chair </w:t>
      </w:r>
      <w:r w:rsidRPr="006865F2">
        <w:rPr>
          <w:sz w:val="20"/>
          <w:szCs w:val="20"/>
        </w:rPr>
        <w:t xml:space="preserve">of the relevant </w:t>
      </w:r>
      <w:r>
        <w:rPr>
          <w:sz w:val="20"/>
          <w:szCs w:val="20"/>
        </w:rPr>
        <w:t xml:space="preserve">school </w:t>
      </w:r>
      <w:r w:rsidRPr="006865F2">
        <w:rPr>
          <w:sz w:val="20"/>
          <w:szCs w:val="20"/>
        </w:rPr>
        <w:t>Committees dealing with teaching and learning and quality management</w:t>
      </w:r>
      <w:r>
        <w:rPr>
          <w:sz w:val="20"/>
          <w:szCs w:val="20"/>
        </w:rPr>
        <w:t xml:space="preserve"> in order that the following can be achieved:</w:t>
      </w:r>
    </w:p>
    <w:p w:rsidR="00091F86" w:rsidRPr="006865F2" w:rsidRDefault="00091F86" w:rsidP="00CD40EC">
      <w:pPr>
        <w:rPr>
          <w:sz w:val="20"/>
          <w:szCs w:val="20"/>
        </w:rPr>
      </w:pPr>
    </w:p>
    <w:p w:rsidR="00CD40EC" w:rsidRPr="006865F2" w:rsidRDefault="00CD40EC" w:rsidP="00995ED4">
      <w:pPr>
        <w:numPr>
          <w:ilvl w:val="0"/>
          <w:numId w:val="13"/>
        </w:numPr>
        <w:rPr>
          <w:sz w:val="20"/>
          <w:szCs w:val="20"/>
        </w:rPr>
      </w:pPr>
      <w:r w:rsidRPr="006865F2">
        <w:rPr>
          <w:sz w:val="20"/>
          <w:szCs w:val="20"/>
        </w:rPr>
        <w:t>communicat</w:t>
      </w:r>
      <w:r>
        <w:rPr>
          <w:sz w:val="20"/>
          <w:szCs w:val="20"/>
        </w:rPr>
        <w:t>ing</w:t>
      </w:r>
      <w:r w:rsidRPr="006865F2">
        <w:rPr>
          <w:sz w:val="20"/>
          <w:szCs w:val="20"/>
        </w:rPr>
        <w:t xml:space="preserve"> decisions</w:t>
      </w:r>
      <w:r>
        <w:rPr>
          <w:sz w:val="20"/>
          <w:szCs w:val="20"/>
        </w:rPr>
        <w:t xml:space="preserve"> </w:t>
      </w:r>
      <w:r w:rsidR="00995ED4">
        <w:rPr>
          <w:sz w:val="20"/>
          <w:szCs w:val="20"/>
        </w:rPr>
        <w:t>and information from School to Faculty, and from Faculty to all relevant areas of the School</w:t>
      </w:r>
    </w:p>
    <w:p w:rsidR="00CD40EC" w:rsidRDefault="00CD40EC" w:rsidP="008E2EB4">
      <w:pPr>
        <w:numPr>
          <w:ilvl w:val="0"/>
          <w:numId w:val="13"/>
        </w:numPr>
        <w:rPr>
          <w:sz w:val="20"/>
          <w:szCs w:val="20"/>
        </w:rPr>
      </w:pPr>
      <w:r w:rsidRPr="006865F2">
        <w:rPr>
          <w:sz w:val="20"/>
          <w:szCs w:val="20"/>
        </w:rPr>
        <w:t>implement</w:t>
      </w:r>
      <w:r>
        <w:rPr>
          <w:sz w:val="20"/>
          <w:szCs w:val="20"/>
        </w:rPr>
        <w:t>ing</w:t>
      </w:r>
      <w:r w:rsidRPr="006865F2">
        <w:rPr>
          <w:sz w:val="20"/>
          <w:szCs w:val="20"/>
        </w:rPr>
        <w:t xml:space="preserve"> developments </w:t>
      </w:r>
      <w:r w:rsidR="008E2EB4">
        <w:rPr>
          <w:sz w:val="20"/>
          <w:szCs w:val="20"/>
        </w:rPr>
        <w:t>in policy and procedure</w:t>
      </w:r>
    </w:p>
    <w:p w:rsidR="00CD40EC" w:rsidRDefault="00CD40EC" w:rsidP="00CD40EC">
      <w:pPr>
        <w:numPr>
          <w:ilvl w:val="0"/>
          <w:numId w:val="13"/>
        </w:numPr>
        <w:rPr>
          <w:sz w:val="20"/>
          <w:szCs w:val="20"/>
        </w:rPr>
      </w:pPr>
      <w:r w:rsidRPr="006865F2">
        <w:rPr>
          <w:sz w:val="20"/>
          <w:szCs w:val="20"/>
        </w:rPr>
        <w:t>gain</w:t>
      </w:r>
      <w:r>
        <w:rPr>
          <w:sz w:val="20"/>
          <w:szCs w:val="20"/>
        </w:rPr>
        <w:t>ing</w:t>
      </w:r>
      <w:r w:rsidRPr="006865F2">
        <w:rPr>
          <w:sz w:val="20"/>
          <w:szCs w:val="20"/>
        </w:rPr>
        <w:t xml:space="preserve"> input and gather</w:t>
      </w:r>
      <w:r>
        <w:rPr>
          <w:sz w:val="20"/>
          <w:szCs w:val="20"/>
        </w:rPr>
        <w:t>ing</w:t>
      </w:r>
      <w:r w:rsidRPr="006865F2">
        <w:rPr>
          <w:sz w:val="20"/>
          <w:szCs w:val="20"/>
        </w:rPr>
        <w:t xml:space="preserve"> opinion on matters for consultation</w:t>
      </w:r>
    </w:p>
    <w:p w:rsidR="00CD40EC" w:rsidRDefault="00CD40EC" w:rsidP="00B94015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enhancement and promotion of </w:t>
      </w:r>
      <w:r w:rsidR="00B94015">
        <w:rPr>
          <w:sz w:val="20"/>
          <w:szCs w:val="20"/>
        </w:rPr>
        <w:t>teaching and learning</w:t>
      </w:r>
      <w:r>
        <w:rPr>
          <w:sz w:val="20"/>
          <w:szCs w:val="20"/>
        </w:rPr>
        <w:t xml:space="preserve"> activity </w:t>
      </w:r>
    </w:p>
    <w:p w:rsidR="00091F86" w:rsidRDefault="00091F86" w:rsidP="00091F86">
      <w:pPr>
        <w:rPr>
          <w:sz w:val="20"/>
          <w:szCs w:val="20"/>
        </w:rPr>
      </w:pPr>
    </w:p>
    <w:p w:rsidR="00AA2986" w:rsidRPr="006865F2" w:rsidRDefault="00AA2986" w:rsidP="008E2EB4">
      <w:pPr>
        <w:outlineLvl w:val="0"/>
        <w:rPr>
          <w:sz w:val="20"/>
          <w:szCs w:val="20"/>
        </w:rPr>
      </w:pPr>
      <w:r w:rsidRPr="006865F2">
        <w:rPr>
          <w:b/>
          <w:sz w:val="20"/>
          <w:szCs w:val="20"/>
        </w:rPr>
        <w:t>3.  Responsibilities</w:t>
      </w:r>
      <w:r w:rsidR="00304251" w:rsidRPr="006865F2">
        <w:rPr>
          <w:b/>
          <w:sz w:val="20"/>
          <w:szCs w:val="20"/>
        </w:rPr>
        <w:t xml:space="preserve"> of the </w:t>
      </w:r>
      <w:r w:rsidR="0084511C" w:rsidRPr="006865F2">
        <w:rPr>
          <w:b/>
          <w:sz w:val="20"/>
          <w:szCs w:val="20"/>
        </w:rPr>
        <w:t>Teaching and Learning Director</w:t>
      </w:r>
      <w:r w:rsidRPr="006865F2">
        <w:rPr>
          <w:sz w:val="20"/>
          <w:szCs w:val="20"/>
        </w:rPr>
        <w:t xml:space="preserve"> </w:t>
      </w:r>
      <w:r w:rsidR="00205035">
        <w:rPr>
          <w:sz w:val="20"/>
          <w:szCs w:val="20"/>
        </w:rPr>
        <w:t>/ UG Director / PGT Director</w:t>
      </w:r>
    </w:p>
    <w:p w:rsidR="00E65676" w:rsidRPr="006865F2" w:rsidRDefault="00E65676" w:rsidP="00AA2986">
      <w:pPr>
        <w:rPr>
          <w:sz w:val="20"/>
          <w:szCs w:val="20"/>
        </w:rPr>
      </w:pPr>
    </w:p>
    <w:p w:rsidR="00C05846" w:rsidRDefault="00C82AB6" w:rsidP="00C05846">
      <w:pPr>
        <w:numPr>
          <w:ilvl w:val="1"/>
          <w:numId w:val="12"/>
        </w:numPr>
        <w:rPr>
          <w:sz w:val="20"/>
          <w:szCs w:val="20"/>
        </w:rPr>
      </w:pPr>
      <w:r w:rsidRPr="006865F2">
        <w:rPr>
          <w:sz w:val="20"/>
          <w:szCs w:val="20"/>
        </w:rPr>
        <w:t xml:space="preserve"> Teaching </w:t>
      </w:r>
      <w:r w:rsidR="007A3943">
        <w:rPr>
          <w:sz w:val="20"/>
          <w:szCs w:val="20"/>
        </w:rPr>
        <w:t xml:space="preserve">and Learning </w:t>
      </w:r>
      <w:r w:rsidRPr="006865F2">
        <w:rPr>
          <w:sz w:val="20"/>
          <w:szCs w:val="20"/>
        </w:rPr>
        <w:t>Enhancement</w:t>
      </w:r>
    </w:p>
    <w:p w:rsidR="00C82AB6" w:rsidRPr="006865F2" w:rsidRDefault="00C82AB6" w:rsidP="00C82AB6">
      <w:pPr>
        <w:rPr>
          <w:sz w:val="20"/>
          <w:szCs w:val="20"/>
        </w:rPr>
      </w:pPr>
    </w:p>
    <w:p w:rsidR="00BD47DF" w:rsidRDefault="00C82AB6" w:rsidP="00B0737A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lastRenderedPageBreak/>
        <w:t xml:space="preserve">Play an active role in the </w:t>
      </w:r>
      <w:r w:rsidR="00B0737A">
        <w:rPr>
          <w:sz w:val="20"/>
          <w:szCs w:val="20"/>
        </w:rPr>
        <w:t xml:space="preserve">development, </w:t>
      </w:r>
      <w:r w:rsidR="00F42C5F">
        <w:rPr>
          <w:sz w:val="20"/>
          <w:szCs w:val="20"/>
        </w:rPr>
        <w:t xml:space="preserve">promotion and </w:t>
      </w:r>
      <w:r w:rsidR="00DD61E3">
        <w:rPr>
          <w:sz w:val="20"/>
          <w:szCs w:val="20"/>
        </w:rPr>
        <w:t xml:space="preserve">monitoring </w:t>
      </w:r>
      <w:r w:rsidRPr="006865F2">
        <w:rPr>
          <w:sz w:val="20"/>
          <w:szCs w:val="20"/>
        </w:rPr>
        <w:t xml:space="preserve">of </w:t>
      </w:r>
      <w:r w:rsidR="00832B9F">
        <w:rPr>
          <w:sz w:val="20"/>
          <w:szCs w:val="20"/>
        </w:rPr>
        <w:t>University, F</w:t>
      </w:r>
      <w:r w:rsidRPr="006865F2">
        <w:rPr>
          <w:sz w:val="20"/>
          <w:szCs w:val="20"/>
        </w:rPr>
        <w:t>aculty</w:t>
      </w:r>
      <w:r w:rsidR="00832B9F">
        <w:rPr>
          <w:sz w:val="20"/>
          <w:szCs w:val="20"/>
        </w:rPr>
        <w:t>, S</w:t>
      </w:r>
      <w:r w:rsidRPr="006865F2">
        <w:rPr>
          <w:sz w:val="20"/>
          <w:szCs w:val="20"/>
        </w:rPr>
        <w:t>chool</w:t>
      </w:r>
      <w:r w:rsidR="00832B9F">
        <w:rPr>
          <w:sz w:val="20"/>
          <w:szCs w:val="20"/>
        </w:rPr>
        <w:t>, and where applicable, external</w:t>
      </w:r>
      <w:r w:rsidRPr="006865F2">
        <w:rPr>
          <w:sz w:val="20"/>
          <w:szCs w:val="20"/>
        </w:rPr>
        <w:t xml:space="preserve"> </w:t>
      </w:r>
      <w:r w:rsidR="00AA7C04" w:rsidRPr="006865F2">
        <w:rPr>
          <w:sz w:val="20"/>
          <w:szCs w:val="20"/>
        </w:rPr>
        <w:t xml:space="preserve">strategy </w:t>
      </w:r>
      <w:r w:rsidR="00832B9F">
        <w:rPr>
          <w:sz w:val="20"/>
          <w:szCs w:val="20"/>
        </w:rPr>
        <w:t xml:space="preserve">and policy </w:t>
      </w:r>
      <w:r w:rsidR="00F42C5F">
        <w:rPr>
          <w:sz w:val="20"/>
          <w:szCs w:val="20"/>
        </w:rPr>
        <w:t xml:space="preserve">in relation to </w:t>
      </w:r>
      <w:r w:rsidRPr="006865F2">
        <w:rPr>
          <w:sz w:val="20"/>
          <w:szCs w:val="20"/>
        </w:rPr>
        <w:t xml:space="preserve">teaching, learning and </w:t>
      </w:r>
      <w:r w:rsidR="00BD47DF">
        <w:rPr>
          <w:sz w:val="20"/>
          <w:szCs w:val="20"/>
        </w:rPr>
        <w:t>the student experience, including;</w:t>
      </w:r>
    </w:p>
    <w:p w:rsidR="00BD47DF" w:rsidRDefault="00BD47DF" w:rsidP="00BD47D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eLearning</w:t>
      </w:r>
      <w:r w:rsidR="00752C93">
        <w:rPr>
          <w:sz w:val="20"/>
          <w:szCs w:val="20"/>
        </w:rPr>
        <w:t>, blended learning</w:t>
      </w:r>
      <w:r>
        <w:rPr>
          <w:sz w:val="20"/>
          <w:szCs w:val="20"/>
        </w:rPr>
        <w:t xml:space="preserve"> and distance learning;</w:t>
      </w:r>
    </w:p>
    <w:p w:rsidR="00BD47DF" w:rsidRPr="00233D24" w:rsidRDefault="00BD47DF" w:rsidP="00BD47DF">
      <w:pPr>
        <w:numPr>
          <w:ilvl w:val="1"/>
          <w:numId w:val="1"/>
        </w:numPr>
        <w:tabs>
          <w:tab w:val="num" w:pos="900"/>
        </w:tabs>
        <w:jc w:val="both"/>
        <w:rPr>
          <w:sz w:val="20"/>
          <w:szCs w:val="20"/>
        </w:rPr>
      </w:pPr>
      <w:r w:rsidRPr="00233D24">
        <w:rPr>
          <w:sz w:val="20"/>
          <w:szCs w:val="20"/>
        </w:rPr>
        <w:t>student representation, and obtaining feedback from students;</w:t>
      </w:r>
    </w:p>
    <w:p w:rsidR="00BD47DF" w:rsidRPr="00233D24" w:rsidRDefault="00BD47DF" w:rsidP="008001E9">
      <w:pPr>
        <w:numPr>
          <w:ilvl w:val="1"/>
          <w:numId w:val="1"/>
        </w:numPr>
        <w:tabs>
          <w:tab w:val="num" w:pos="900"/>
        </w:tabs>
        <w:jc w:val="both"/>
        <w:rPr>
          <w:sz w:val="20"/>
          <w:szCs w:val="20"/>
        </w:rPr>
      </w:pPr>
      <w:proofErr w:type="gramStart"/>
      <w:r w:rsidRPr="00233D24">
        <w:rPr>
          <w:sz w:val="20"/>
          <w:szCs w:val="20"/>
        </w:rPr>
        <w:t>the</w:t>
      </w:r>
      <w:proofErr w:type="gramEnd"/>
      <w:r w:rsidRPr="00233D24">
        <w:rPr>
          <w:sz w:val="20"/>
          <w:szCs w:val="20"/>
        </w:rPr>
        <w:t xml:space="preserve"> provision of support for students’ learning, including academic guidance, </w:t>
      </w:r>
      <w:r w:rsidR="008001E9">
        <w:rPr>
          <w:sz w:val="20"/>
          <w:szCs w:val="20"/>
        </w:rPr>
        <w:t>Academic Advising</w:t>
      </w:r>
      <w:r w:rsidRPr="00233D24">
        <w:rPr>
          <w:sz w:val="20"/>
          <w:szCs w:val="20"/>
        </w:rPr>
        <w:t>, pastoral support, student peer support</w:t>
      </w:r>
      <w:r w:rsidR="00CA0011">
        <w:rPr>
          <w:sz w:val="20"/>
          <w:szCs w:val="20"/>
        </w:rPr>
        <w:t xml:space="preserve">, including </w:t>
      </w:r>
      <w:r w:rsidRPr="00233D24">
        <w:rPr>
          <w:sz w:val="20"/>
          <w:szCs w:val="20"/>
        </w:rPr>
        <w:t>peer mentoring</w:t>
      </w:r>
      <w:r w:rsidR="00CA0011">
        <w:rPr>
          <w:sz w:val="20"/>
          <w:szCs w:val="20"/>
        </w:rPr>
        <w:t xml:space="preserve"> and Peer Assisted Study Sessions activities</w:t>
      </w:r>
      <w:r w:rsidRPr="00233D24">
        <w:rPr>
          <w:sz w:val="20"/>
          <w:szCs w:val="20"/>
        </w:rPr>
        <w:t xml:space="preserve"> etc.</w:t>
      </w:r>
    </w:p>
    <w:p w:rsidR="00BD47DF" w:rsidRPr="00233D24" w:rsidRDefault="00BD47DF" w:rsidP="00BD47DF">
      <w:pPr>
        <w:numPr>
          <w:ilvl w:val="1"/>
          <w:numId w:val="1"/>
        </w:numPr>
        <w:tabs>
          <w:tab w:val="num" w:pos="900"/>
        </w:tabs>
        <w:jc w:val="both"/>
        <w:rPr>
          <w:sz w:val="20"/>
          <w:szCs w:val="20"/>
        </w:rPr>
      </w:pPr>
      <w:proofErr w:type="gramStart"/>
      <w:r w:rsidRPr="00233D24">
        <w:rPr>
          <w:sz w:val="20"/>
          <w:szCs w:val="20"/>
        </w:rPr>
        <w:t>the</w:t>
      </w:r>
      <w:proofErr w:type="gramEnd"/>
      <w:r w:rsidRPr="00233D24">
        <w:rPr>
          <w:sz w:val="20"/>
          <w:szCs w:val="20"/>
        </w:rPr>
        <w:t xml:space="preserve"> provision of resources to support learning, including rooms and spaces for teaching and learning; AV support, etc.</w:t>
      </w:r>
    </w:p>
    <w:p w:rsidR="00BD47DF" w:rsidRDefault="00BD47DF" w:rsidP="00BD47DF">
      <w:pPr>
        <w:numPr>
          <w:ilvl w:val="1"/>
          <w:numId w:val="1"/>
        </w:numPr>
        <w:tabs>
          <w:tab w:val="num" w:pos="900"/>
        </w:tabs>
        <w:jc w:val="both"/>
        <w:rPr>
          <w:sz w:val="20"/>
          <w:szCs w:val="20"/>
        </w:rPr>
      </w:pPr>
      <w:proofErr w:type="gramStart"/>
      <w:r w:rsidRPr="00233D24">
        <w:rPr>
          <w:sz w:val="20"/>
          <w:szCs w:val="20"/>
        </w:rPr>
        <w:t>the</w:t>
      </w:r>
      <w:proofErr w:type="gramEnd"/>
      <w:r w:rsidRPr="00233D24">
        <w:rPr>
          <w:sz w:val="20"/>
          <w:szCs w:val="20"/>
        </w:rPr>
        <w:t xml:space="preserve"> management of published information about provision in Humanities.</w:t>
      </w:r>
    </w:p>
    <w:p w:rsidR="00F42C5F" w:rsidRDefault="00F42C5F" w:rsidP="00F42C5F">
      <w:pPr>
        <w:tabs>
          <w:tab w:val="num" w:pos="1440"/>
        </w:tabs>
        <w:ind w:left="1080"/>
        <w:jc w:val="both"/>
        <w:rPr>
          <w:sz w:val="20"/>
          <w:szCs w:val="20"/>
        </w:rPr>
      </w:pPr>
    </w:p>
    <w:p w:rsidR="00F42C5F" w:rsidRDefault="00F42C5F" w:rsidP="0001318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Input to development</w:t>
      </w:r>
      <w:r w:rsidR="0001318C">
        <w:rPr>
          <w:sz w:val="20"/>
          <w:szCs w:val="20"/>
        </w:rPr>
        <w:t>, implementation and monitoring of the Faculty of Humanities Teaching and Learning Strategy and review of its success against key performance indicators</w:t>
      </w:r>
      <w:r w:rsidR="00B94015">
        <w:rPr>
          <w:sz w:val="20"/>
          <w:szCs w:val="20"/>
        </w:rPr>
        <w:t>.</w:t>
      </w:r>
    </w:p>
    <w:p w:rsidR="00BD47DF" w:rsidRPr="006865F2" w:rsidRDefault="00BD47DF" w:rsidP="00BD47DF">
      <w:pPr>
        <w:ind w:left="360"/>
        <w:rPr>
          <w:sz w:val="20"/>
          <w:szCs w:val="20"/>
        </w:rPr>
      </w:pPr>
    </w:p>
    <w:p w:rsidR="00C82AB6" w:rsidRPr="006865F2" w:rsidRDefault="00C82AB6" w:rsidP="00C82AB6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t xml:space="preserve">Contribute to the development of a programme of </w:t>
      </w:r>
      <w:r w:rsidR="00DA34A1">
        <w:rPr>
          <w:sz w:val="20"/>
          <w:szCs w:val="20"/>
        </w:rPr>
        <w:t xml:space="preserve">Faculty-level </w:t>
      </w:r>
      <w:r w:rsidRPr="006865F2">
        <w:rPr>
          <w:sz w:val="20"/>
          <w:szCs w:val="20"/>
        </w:rPr>
        <w:t>events to encourage the enhancement of learning, teaching and assessment that meets the needs of the School</w:t>
      </w:r>
      <w:r w:rsidR="006865F2" w:rsidRPr="006865F2">
        <w:rPr>
          <w:sz w:val="20"/>
          <w:szCs w:val="20"/>
        </w:rPr>
        <w:t xml:space="preserve"> and Faculty. </w:t>
      </w:r>
    </w:p>
    <w:p w:rsidR="00C82AB6" w:rsidRPr="006865F2" w:rsidRDefault="00C82AB6" w:rsidP="00C82AB6">
      <w:pPr>
        <w:rPr>
          <w:sz w:val="20"/>
          <w:szCs w:val="20"/>
        </w:rPr>
      </w:pPr>
    </w:p>
    <w:p w:rsidR="00C82AB6" w:rsidRPr="006865F2" w:rsidRDefault="00C82AB6" w:rsidP="00B0737A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t xml:space="preserve">Disseminate information and </w:t>
      </w:r>
      <w:r w:rsidR="005F0A9D">
        <w:rPr>
          <w:sz w:val="20"/>
          <w:szCs w:val="20"/>
        </w:rPr>
        <w:t xml:space="preserve">examples of </w:t>
      </w:r>
      <w:r w:rsidR="00B0737A">
        <w:rPr>
          <w:sz w:val="20"/>
          <w:szCs w:val="20"/>
        </w:rPr>
        <w:t>teaching and learning</w:t>
      </w:r>
      <w:r w:rsidRPr="006865F2">
        <w:rPr>
          <w:sz w:val="20"/>
          <w:szCs w:val="20"/>
        </w:rPr>
        <w:t xml:space="preserve"> practice</w:t>
      </w:r>
      <w:r w:rsidR="00B0737A">
        <w:rPr>
          <w:sz w:val="20"/>
          <w:szCs w:val="20"/>
        </w:rPr>
        <w:t xml:space="preserve"> from elsewhere in the Faculty </w:t>
      </w:r>
      <w:r w:rsidRPr="006865F2">
        <w:rPr>
          <w:sz w:val="20"/>
          <w:szCs w:val="20"/>
        </w:rPr>
        <w:t>to members of staff in the School.</w:t>
      </w:r>
    </w:p>
    <w:p w:rsidR="00C82AB6" w:rsidRPr="006865F2" w:rsidRDefault="00C82AB6" w:rsidP="00C82AB6">
      <w:pPr>
        <w:rPr>
          <w:sz w:val="20"/>
          <w:szCs w:val="20"/>
        </w:rPr>
      </w:pPr>
    </w:p>
    <w:p w:rsidR="00C82AB6" w:rsidRDefault="00C82AB6" w:rsidP="00B0737A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t xml:space="preserve">Channel ideas and examples of </w:t>
      </w:r>
      <w:r w:rsidR="00B0737A">
        <w:rPr>
          <w:sz w:val="20"/>
          <w:szCs w:val="20"/>
        </w:rPr>
        <w:t xml:space="preserve">teaching and learning </w:t>
      </w:r>
      <w:r w:rsidRPr="006865F2">
        <w:rPr>
          <w:sz w:val="20"/>
          <w:szCs w:val="20"/>
        </w:rPr>
        <w:t>practice</w:t>
      </w:r>
      <w:r w:rsidR="00B0737A">
        <w:rPr>
          <w:sz w:val="20"/>
          <w:szCs w:val="20"/>
        </w:rPr>
        <w:t xml:space="preserve"> from schools</w:t>
      </w:r>
      <w:r w:rsidRPr="006865F2">
        <w:rPr>
          <w:sz w:val="20"/>
          <w:szCs w:val="20"/>
        </w:rPr>
        <w:t xml:space="preserve"> to the relevant </w:t>
      </w:r>
      <w:r w:rsidR="00B0737A">
        <w:rPr>
          <w:sz w:val="20"/>
          <w:szCs w:val="20"/>
        </w:rPr>
        <w:t>F</w:t>
      </w:r>
      <w:r w:rsidRPr="006865F2">
        <w:rPr>
          <w:sz w:val="20"/>
          <w:szCs w:val="20"/>
        </w:rPr>
        <w:t>aculty committees.</w:t>
      </w:r>
    </w:p>
    <w:p w:rsidR="00C05846" w:rsidRDefault="00C05846" w:rsidP="00C05846">
      <w:pPr>
        <w:rPr>
          <w:sz w:val="20"/>
          <w:szCs w:val="20"/>
        </w:rPr>
      </w:pPr>
    </w:p>
    <w:p w:rsidR="009E40ED" w:rsidRPr="006865F2" w:rsidRDefault="00304251" w:rsidP="00AA2986">
      <w:pPr>
        <w:numPr>
          <w:ilvl w:val="1"/>
          <w:numId w:val="10"/>
        </w:numPr>
        <w:rPr>
          <w:bCs/>
          <w:sz w:val="20"/>
          <w:szCs w:val="20"/>
        </w:rPr>
      </w:pPr>
      <w:r w:rsidRPr="006865F2">
        <w:rPr>
          <w:bCs/>
          <w:sz w:val="20"/>
          <w:szCs w:val="20"/>
        </w:rPr>
        <w:t>Communication</w:t>
      </w:r>
      <w:r w:rsidR="00AA2986" w:rsidRPr="006865F2">
        <w:rPr>
          <w:bCs/>
          <w:sz w:val="20"/>
          <w:szCs w:val="20"/>
        </w:rPr>
        <w:t xml:space="preserve"> and General Support</w:t>
      </w:r>
    </w:p>
    <w:p w:rsidR="00AA2986" w:rsidRPr="006865F2" w:rsidRDefault="00AA2986" w:rsidP="00AA2986">
      <w:pPr>
        <w:rPr>
          <w:bCs/>
          <w:sz w:val="20"/>
          <w:szCs w:val="20"/>
        </w:rPr>
      </w:pPr>
    </w:p>
    <w:p w:rsidR="00D7540A" w:rsidRPr="006865F2" w:rsidRDefault="00D7540A" w:rsidP="009E40ED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t>Oversee and monitor the implementation of teaching, learning and assessment strategies and action plans.</w:t>
      </w:r>
    </w:p>
    <w:p w:rsidR="00AA7C04" w:rsidRPr="006865F2" w:rsidRDefault="00AA7C04" w:rsidP="00AA7C04">
      <w:pPr>
        <w:ind w:left="360"/>
        <w:rPr>
          <w:sz w:val="20"/>
          <w:szCs w:val="20"/>
        </w:rPr>
      </w:pPr>
    </w:p>
    <w:p w:rsidR="00DD3526" w:rsidRDefault="00DD3526" w:rsidP="00422C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Within schools, </w:t>
      </w:r>
      <w:r w:rsidR="008E2EB4">
        <w:rPr>
          <w:sz w:val="20"/>
          <w:szCs w:val="20"/>
        </w:rPr>
        <w:t>encourage</w:t>
      </w:r>
      <w:r w:rsidR="00AA7C04" w:rsidRPr="006865F2">
        <w:rPr>
          <w:sz w:val="20"/>
          <w:szCs w:val="20"/>
        </w:rPr>
        <w:t xml:space="preserve"> and pursue opportunities for funding </w:t>
      </w:r>
      <w:r>
        <w:rPr>
          <w:sz w:val="20"/>
          <w:szCs w:val="20"/>
        </w:rPr>
        <w:t>to support the development of teaching, learning assess</w:t>
      </w:r>
      <w:r w:rsidR="00422CFB">
        <w:rPr>
          <w:sz w:val="20"/>
          <w:szCs w:val="20"/>
        </w:rPr>
        <w:t>ment and the student experience.</w:t>
      </w:r>
    </w:p>
    <w:p w:rsidR="00422CFB" w:rsidRDefault="00422CFB" w:rsidP="00422CFB">
      <w:pPr>
        <w:rPr>
          <w:sz w:val="20"/>
          <w:szCs w:val="20"/>
        </w:rPr>
      </w:pPr>
    </w:p>
    <w:p w:rsidR="00C05846" w:rsidRDefault="00DD3526" w:rsidP="00DD352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Facilitate opportunities for development of inter-school/inter-disciplinary activities. </w:t>
      </w:r>
    </w:p>
    <w:p w:rsidR="00C05846" w:rsidRDefault="00C05846" w:rsidP="00C05846">
      <w:pPr>
        <w:rPr>
          <w:sz w:val="20"/>
          <w:szCs w:val="20"/>
        </w:rPr>
      </w:pPr>
    </w:p>
    <w:p w:rsidR="00C05846" w:rsidRDefault="00F42C5F" w:rsidP="00C0584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i</w:t>
      </w:r>
      <w:r w:rsidR="00C05846">
        <w:rPr>
          <w:sz w:val="20"/>
          <w:szCs w:val="20"/>
        </w:rPr>
        <w:t xml:space="preserve">nput to development of strategy and procedures for recruitment and admission to programmes in the Faculty. </w:t>
      </w:r>
    </w:p>
    <w:p w:rsidR="00CD21D6" w:rsidRDefault="00CD21D6" w:rsidP="00CD21D6">
      <w:pPr>
        <w:rPr>
          <w:sz w:val="20"/>
          <w:szCs w:val="20"/>
        </w:rPr>
      </w:pPr>
    </w:p>
    <w:p w:rsidR="00CD21D6" w:rsidRPr="006865F2" w:rsidRDefault="00CD21D6" w:rsidP="002E3F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Conveying information and decisions made at Teaching and Learning Committee to all relevant areas of the School</w:t>
      </w:r>
      <w:r w:rsidR="002E3F68">
        <w:rPr>
          <w:sz w:val="20"/>
          <w:szCs w:val="20"/>
        </w:rPr>
        <w:t>, and ensuring that a representative School perspective is conveyed at relevant Faculty meetings.</w:t>
      </w:r>
    </w:p>
    <w:p w:rsidR="00CD21D6" w:rsidRPr="006865F2" w:rsidRDefault="00CD21D6" w:rsidP="00CD21D6">
      <w:pPr>
        <w:ind w:left="360"/>
        <w:rPr>
          <w:sz w:val="20"/>
          <w:szCs w:val="20"/>
        </w:rPr>
      </w:pPr>
    </w:p>
    <w:p w:rsidR="00C82AB6" w:rsidRPr="006865F2" w:rsidRDefault="00C82AB6" w:rsidP="00C82AB6">
      <w:pPr>
        <w:rPr>
          <w:sz w:val="20"/>
          <w:szCs w:val="20"/>
        </w:rPr>
      </w:pPr>
    </w:p>
    <w:p w:rsidR="00C82AB6" w:rsidRDefault="00C82AB6" w:rsidP="00C82AB6">
      <w:pPr>
        <w:rPr>
          <w:sz w:val="20"/>
          <w:szCs w:val="20"/>
        </w:rPr>
      </w:pPr>
      <w:proofErr w:type="gramStart"/>
      <w:r w:rsidRPr="006865F2">
        <w:rPr>
          <w:sz w:val="20"/>
          <w:szCs w:val="20"/>
        </w:rPr>
        <w:t>3.3  Quality</w:t>
      </w:r>
      <w:proofErr w:type="gramEnd"/>
      <w:r w:rsidRPr="006865F2">
        <w:rPr>
          <w:sz w:val="20"/>
          <w:szCs w:val="20"/>
        </w:rPr>
        <w:t xml:space="preserve"> Man</w:t>
      </w:r>
      <w:r w:rsidR="00B94015">
        <w:rPr>
          <w:sz w:val="20"/>
          <w:szCs w:val="20"/>
        </w:rPr>
        <w:t>agement</w:t>
      </w:r>
    </w:p>
    <w:p w:rsidR="00BB1633" w:rsidRPr="006865F2" w:rsidRDefault="00BB1633" w:rsidP="00C82AB6">
      <w:pPr>
        <w:rPr>
          <w:sz w:val="20"/>
          <w:szCs w:val="20"/>
        </w:rPr>
      </w:pPr>
    </w:p>
    <w:p w:rsidR="00AA7C04" w:rsidRDefault="00837267" w:rsidP="00B940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Play an active role in </w:t>
      </w:r>
      <w:r w:rsidR="00DD61E3">
        <w:rPr>
          <w:sz w:val="20"/>
          <w:szCs w:val="20"/>
        </w:rPr>
        <w:t xml:space="preserve">providing guidance on </w:t>
      </w:r>
      <w:r>
        <w:rPr>
          <w:sz w:val="20"/>
          <w:szCs w:val="20"/>
        </w:rPr>
        <w:t>the formulation and implementation of</w:t>
      </w:r>
      <w:r w:rsidR="005F0A9D">
        <w:rPr>
          <w:sz w:val="20"/>
          <w:szCs w:val="20"/>
        </w:rPr>
        <w:t xml:space="preserve"> new policy, procedures and guidance issuing from the Faculty, University,</w:t>
      </w:r>
      <w:r w:rsidR="005035BA">
        <w:rPr>
          <w:sz w:val="20"/>
          <w:szCs w:val="20"/>
        </w:rPr>
        <w:t xml:space="preserve"> </w:t>
      </w:r>
      <w:r w:rsidR="00B94015">
        <w:rPr>
          <w:sz w:val="20"/>
          <w:szCs w:val="20"/>
        </w:rPr>
        <w:t>HEFCE, QAA and other</w:t>
      </w:r>
      <w:r w:rsidR="005035BA">
        <w:rPr>
          <w:sz w:val="20"/>
          <w:szCs w:val="20"/>
        </w:rPr>
        <w:t xml:space="preserve"> external</w:t>
      </w:r>
      <w:r w:rsidR="005F0A9D">
        <w:rPr>
          <w:sz w:val="20"/>
          <w:szCs w:val="20"/>
        </w:rPr>
        <w:t xml:space="preserve"> bodies, that affects taught provision in the Faculty</w:t>
      </w:r>
      <w:r w:rsidR="00B0737A">
        <w:rPr>
          <w:sz w:val="20"/>
          <w:szCs w:val="20"/>
        </w:rPr>
        <w:t>.</w:t>
      </w:r>
    </w:p>
    <w:p w:rsidR="00B0737A" w:rsidRPr="006865F2" w:rsidRDefault="00B0737A" w:rsidP="00B0737A">
      <w:pPr>
        <w:ind w:left="360"/>
        <w:rPr>
          <w:sz w:val="20"/>
          <w:szCs w:val="20"/>
        </w:rPr>
      </w:pPr>
    </w:p>
    <w:p w:rsidR="00BB1633" w:rsidRPr="00BB1633" w:rsidRDefault="0001318C" w:rsidP="008407B3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Provide advice and guidance on all </w:t>
      </w:r>
      <w:r w:rsidR="00BB1633">
        <w:rPr>
          <w:sz w:val="20"/>
          <w:szCs w:val="20"/>
        </w:rPr>
        <w:t>NPP1 stage new programme proposals</w:t>
      </w:r>
      <w:r w:rsidR="008407B3">
        <w:rPr>
          <w:sz w:val="20"/>
          <w:szCs w:val="20"/>
        </w:rPr>
        <w:t xml:space="preserve">, within the Faculty and input to </w:t>
      </w:r>
      <w:r w:rsidR="00BB1633">
        <w:rPr>
          <w:sz w:val="20"/>
          <w:szCs w:val="20"/>
        </w:rPr>
        <w:t xml:space="preserve">major programme amendments </w:t>
      </w:r>
      <w:r w:rsidR="008407B3">
        <w:rPr>
          <w:sz w:val="20"/>
          <w:szCs w:val="20"/>
        </w:rPr>
        <w:t>and NPP2 proposals where appointed as Internal Advisor</w:t>
      </w:r>
      <w:r w:rsidR="00837267">
        <w:rPr>
          <w:sz w:val="20"/>
          <w:szCs w:val="20"/>
        </w:rPr>
        <w:t xml:space="preserve"> </w:t>
      </w:r>
      <w:r w:rsidR="00BB1633">
        <w:rPr>
          <w:sz w:val="20"/>
          <w:szCs w:val="20"/>
        </w:rPr>
        <w:t>(</w:t>
      </w:r>
      <w:r w:rsidR="00B94015">
        <w:rPr>
          <w:sz w:val="20"/>
          <w:szCs w:val="20"/>
        </w:rPr>
        <w:t>further advice for FTLC members is provided in</w:t>
      </w:r>
      <w:r w:rsidR="00BB1633" w:rsidRPr="00BB1633">
        <w:rPr>
          <w:b/>
          <w:bCs/>
          <w:sz w:val="20"/>
          <w:szCs w:val="20"/>
        </w:rPr>
        <w:t xml:space="preserve"> </w:t>
      </w:r>
      <w:r w:rsidR="00B94015">
        <w:rPr>
          <w:sz w:val="20"/>
          <w:szCs w:val="20"/>
        </w:rPr>
        <w:t>the</w:t>
      </w:r>
      <w:r w:rsidR="00F42C5F" w:rsidRPr="00F42C5F">
        <w:rPr>
          <w:sz w:val="20"/>
          <w:szCs w:val="20"/>
        </w:rPr>
        <w:t xml:space="preserve"> </w:t>
      </w:r>
      <w:r w:rsidR="00BB1633" w:rsidRPr="00F42C5F">
        <w:rPr>
          <w:sz w:val="20"/>
          <w:szCs w:val="20"/>
        </w:rPr>
        <w:t>document ‘</w:t>
      </w:r>
      <w:r w:rsidR="00BB1633" w:rsidRPr="00BB1633">
        <w:rPr>
          <w:sz w:val="20"/>
          <w:szCs w:val="20"/>
        </w:rPr>
        <w:t>Guidance on approval of new/amended programme proposals</w:t>
      </w:r>
      <w:r w:rsidR="00BB1633">
        <w:rPr>
          <w:sz w:val="20"/>
          <w:szCs w:val="20"/>
        </w:rPr>
        <w:t>’)</w:t>
      </w:r>
      <w:r>
        <w:rPr>
          <w:sz w:val="20"/>
          <w:szCs w:val="20"/>
        </w:rPr>
        <w:t>.</w:t>
      </w:r>
    </w:p>
    <w:p w:rsidR="00BB1633" w:rsidRDefault="00BB1633" w:rsidP="00BB1633">
      <w:pPr>
        <w:rPr>
          <w:b/>
          <w:bCs/>
          <w:sz w:val="20"/>
          <w:szCs w:val="20"/>
        </w:rPr>
      </w:pPr>
    </w:p>
    <w:p w:rsidR="00BB1633" w:rsidRPr="005035BA" w:rsidRDefault="003404A2" w:rsidP="00B94015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Act </w:t>
      </w:r>
      <w:r>
        <w:rPr>
          <w:rFonts w:eastAsia="SimSun"/>
          <w:sz w:val="20"/>
          <w:szCs w:val="20"/>
        </w:rPr>
        <w:t>as Internal academic advis</w:t>
      </w:r>
      <w:r w:rsidR="00BB1633">
        <w:rPr>
          <w:rFonts w:eastAsia="SimSun"/>
          <w:sz w:val="20"/>
          <w:szCs w:val="20"/>
        </w:rPr>
        <w:t>e</w:t>
      </w:r>
      <w:r>
        <w:rPr>
          <w:rFonts w:eastAsia="SimSun"/>
          <w:sz w:val="20"/>
          <w:szCs w:val="20"/>
        </w:rPr>
        <w:t>r (</w:t>
      </w:r>
      <w:r w:rsidR="00832B9F">
        <w:rPr>
          <w:rFonts w:eastAsia="SimSun"/>
          <w:sz w:val="20"/>
          <w:szCs w:val="20"/>
        </w:rPr>
        <w:t xml:space="preserve">appointed </w:t>
      </w:r>
      <w:r>
        <w:rPr>
          <w:rFonts w:eastAsia="SimSun"/>
          <w:sz w:val="20"/>
          <w:szCs w:val="20"/>
        </w:rPr>
        <w:t xml:space="preserve">on a rotational basis, for UG/PGT programmes as appropriate) for major </w:t>
      </w:r>
      <w:r w:rsidR="00BB1633">
        <w:rPr>
          <w:rFonts w:eastAsia="SimSun"/>
          <w:sz w:val="20"/>
          <w:szCs w:val="20"/>
        </w:rPr>
        <w:t xml:space="preserve">programme proposals and </w:t>
      </w:r>
      <w:r>
        <w:rPr>
          <w:rFonts w:eastAsia="SimSun"/>
          <w:sz w:val="20"/>
          <w:szCs w:val="20"/>
        </w:rPr>
        <w:t>programme amendments</w:t>
      </w:r>
      <w:r w:rsidRPr="001E378C">
        <w:rPr>
          <w:rFonts w:eastAsia="SimSun"/>
          <w:sz w:val="20"/>
          <w:szCs w:val="20"/>
        </w:rPr>
        <w:t xml:space="preserve"> recommended by Schools, including those delivered by partner institutions, to determine whether they are academically appropriate and financially sustainable, and make recommendations</w:t>
      </w:r>
      <w:r>
        <w:rPr>
          <w:rFonts w:eastAsia="SimSun"/>
          <w:sz w:val="20"/>
          <w:szCs w:val="20"/>
        </w:rPr>
        <w:t xml:space="preserve"> regarding approval</w:t>
      </w:r>
      <w:r w:rsidRPr="001E378C">
        <w:rPr>
          <w:rFonts w:eastAsia="SimSun"/>
          <w:sz w:val="20"/>
          <w:szCs w:val="20"/>
        </w:rPr>
        <w:t xml:space="preserve"> to the </w:t>
      </w:r>
      <w:r>
        <w:rPr>
          <w:rFonts w:eastAsia="SimSun"/>
          <w:sz w:val="20"/>
          <w:szCs w:val="20"/>
        </w:rPr>
        <w:t>Committee</w:t>
      </w:r>
      <w:r w:rsidRPr="001E378C">
        <w:rPr>
          <w:rFonts w:eastAsia="SimSun"/>
          <w:sz w:val="20"/>
          <w:szCs w:val="20"/>
        </w:rPr>
        <w:t xml:space="preserve"> accordingly</w:t>
      </w:r>
      <w:r w:rsidR="00BB1633">
        <w:rPr>
          <w:rFonts w:eastAsia="SimSun"/>
          <w:sz w:val="20"/>
          <w:szCs w:val="20"/>
        </w:rPr>
        <w:t xml:space="preserve"> (</w:t>
      </w:r>
      <w:r w:rsidR="00B94015">
        <w:rPr>
          <w:sz w:val="20"/>
          <w:szCs w:val="20"/>
        </w:rPr>
        <w:t>further advice for FTLC members is provided in the</w:t>
      </w:r>
      <w:r w:rsidR="00B94015">
        <w:rPr>
          <w:b/>
          <w:bCs/>
          <w:sz w:val="20"/>
          <w:szCs w:val="20"/>
        </w:rPr>
        <w:t xml:space="preserve"> </w:t>
      </w:r>
      <w:r w:rsidR="00BB1633" w:rsidRPr="00BB1633">
        <w:rPr>
          <w:sz w:val="20"/>
          <w:szCs w:val="20"/>
        </w:rPr>
        <w:t>document ‘Guidance on approval of new/amended programme proposals</w:t>
      </w:r>
      <w:r w:rsidR="00BB1633">
        <w:rPr>
          <w:sz w:val="20"/>
          <w:szCs w:val="20"/>
        </w:rPr>
        <w:t>’</w:t>
      </w:r>
      <w:r>
        <w:rPr>
          <w:rFonts w:eastAsia="SimSun"/>
          <w:sz w:val="20"/>
          <w:szCs w:val="20"/>
        </w:rPr>
        <w:t>)</w:t>
      </w:r>
      <w:r w:rsidR="00422CFB">
        <w:rPr>
          <w:rFonts w:eastAsia="SimSun"/>
          <w:sz w:val="20"/>
          <w:szCs w:val="20"/>
        </w:rPr>
        <w:t>.</w:t>
      </w:r>
    </w:p>
    <w:p w:rsidR="005035BA" w:rsidRDefault="005035BA" w:rsidP="005035BA">
      <w:pPr>
        <w:rPr>
          <w:b/>
          <w:bCs/>
          <w:sz w:val="20"/>
          <w:szCs w:val="20"/>
        </w:rPr>
      </w:pPr>
    </w:p>
    <w:p w:rsidR="00C82AB6" w:rsidRDefault="00C82AB6" w:rsidP="00DC3893">
      <w:pPr>
        <w:numPr>
          <w:ilvl w:val="0"/>
          <w:numId w:val="1"/>
        </w:numPr>
        <w:rPr>
          <w:sz w:val="20"/>
          <w:szCs w:val="20"/>
        </w:rPr>
      </w:pPr>
      <w:r w:rsidRPr="006865F2">
        <w:rPr>
          <w:sz w:val="20"/>
          <w:szCs w:val="20"/>
        </w:rPr>
        <w:lastRenderedPageBreak/>
        <w:t xml:space="preserve">Attend Periodic Reviews in other Schools in the Faculty </w:t>
      </w:r>
      <w:r w:rsidR="0014370C" w:rsidRPr="006865F2">
        <w:rPr>
          <w:sz w:val="20"/>
          <w:szCs w:val="20"/>
        </w:rPr>
        <w:t>(and occasionally in other Faculties</w:t>
      </w:r>
      <w:r w:rsidR="00DD61E3">
        <w:rPr>
          <w:sz w:val="20"/>
          <w:szCs w:val="20"/>
        </w:rPr>
        <w:t>/Partner Institutions</w:t>
      </w:r>
      <w:r w:rsidR="0014370C" w:rsidRPr="006865F2">
        <w:rPr>
          <w:sz w:val="20"/>
          <w:szCs w:val="20"/>
        </w:rPr>
        <w:t xml:space="preserve">) </w:t>
      </w:r>
      <w:r w:rsidRPr="006865F2">
        <w:rPr>
          <w:sz w:val="20"/>
          <w:szCs w:val="20"/>
        </w:rPr>
        <w:t xml:space="preserve">as a </w:t>
      </w:r>
      <w:r w:rsidR="00F42C5F">
        <w:rPr>
          <w:sz w:val="20"/>
          <w:szCs w:val="20"/>
        </w:rPr>
        <w:t>p</w:t>
      </w:r>
      <w:r w:rsidRPr="006865F2">
        <w:rPr>
          <w:sz w:val="20"/>
          <w:szCs w:val="20"/>
        </w:rPr>
        <w:t xml:space="preserve">anel </w:t>
      </w:r>
      <w:r w:rsidR="00F42C5F">
        <w:rPr>
          <w:sz w:val="20"/>
          <w:szCs w:val="20"/>
        </w:rPr>
        <w:t>m</w:t>
      </w:r>
      <w:r w:rsidRPr="006865F2">
        <w:rPr>
          <w:sz w:val="20"/>
          <w:szCs w:val="20"/>
        </w:rPr>
        <w:t>ember</w:t>
      </w:r>
      <w:r w:rsidR="0014370C" w:rsidRPr="006865F2">
        <w:rPr>
          <w:sz w:val="20"/>
          <w:szCs w:val="20"/>
        </w:rPr>
        <w:t xml:space="preserve"> on a rotational basis, including providing comments on material drafted </w:t>
      </w:r>
      <w:r w:rsidR="00F42C5F">
        <w:rPr>
          <w:sz w:val="20"/>
          <w:szCs w:val="20"/>
        </w:rPr>
        <w:t>in advance of</w:t>
      </w:r>
      <w:r w:rsidR="0014370C" w:rsidRPr="006865F2">
        <w:rPr>
          <w:sz w:val="20"/>
          <w:szCs w:val="20"/>
        </w:rPr>
        <w:t xml:space="preserve"> the events and attending</w:t>
      </w:r>
      <w:r w:rsidR="00B94015">
        <w:rPr>
          <w:sz w:val="20"/>
          <w:szCs w:val="20"/>
        </w:rPr>
        <w:t xml:space="preserve"> the review meeting</w:t>
      </w:r>
      <w:r w:rsidR="0014370C" w:rsidRPr="006865F2">
        <w:rPr>
          <w:sz w:val="20"/>
          <w:szCs w:val="20"/>
        </w:rPr>
        <w:t xml:space="preserve"> (usually 2 full days</w:t>
      </w:r>
      <w:r w:rsidR="00B94015">
        <w:rPr>
          <w:sz w:val="20"/>
          <w:szCs w:val="20"/>
        </w:rPr>
        <w:t>)</w:t>
      </w:r>
      <w:r w:rsidR="00422CFB">
        <w:rPr>
          <w:sz w:val="20"/>
          <w:szCs w:val="20"/>
        </w:rPr>
        <w:t>.</w:t>
      </w:r>
    </w:p>
    <w:p w:rsidR="001C014D" w:rsidRDefault="001C014D" w:rsidP="001C014D">
      <w:pPr>
        <w:rPr>
          <w:sz w:val="20"/>
          <w:szCs w:val="20"/>
        </w:rPr>
      </w:pPr>
    </w:p>
    <w:p w:rsidR="001C014D" w:rsidRDefault="001C014D" w:rsidP="001C01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oversight of quality assurance procedures within own School (including annual monitoring, periodic review) and provide advice and guidance to colleagues.</w:t>
      </w:r>
    </w:p>
    <w:p w:rsidR="00B136BD" w:rsidRDefault="00B136BD">
      <w:pPr>
        <w:pStyle w:val="ListParagraph"/>
        <w:rPr>
          <w:sz w:val="20"/>
          <w:szCs w:val="20"/>
        </w:rPr>
      </w:pPr>
    </w:p>
    <w:p w:rsidR="008524DF" w:rsidRPr="006865F2" w:rsidRDefault="008524DF" w:rsidP="001C01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Input to development of the School’s Student Experience Action Plan and attend bi-annual meetings with Faculty representatives to discuss the plan. </w:t>
      </w:r>
    </w:p>
    <w:p w:rsidR="00837267" w:rsidRDefault="00837267" w:rsidP="00837267">
      <w:pPr>
        <w:ind w:left="360"/>
        <w:rPr>
          <w:sz w:val="20"/>
          <w:szCs w:val="20"/>
        </w:rPr>
      </w:pPr>
    </w:p>
    <w:p w:rsidR="00837267" w:rsidRDefault="00837267" w:rsidP="00C82A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 input and advice to decisions </w:t>
      </w:r>
      <w:r w:rsidR="008918E4">
        <w:rPr>
          <w:sz w:val="20"/>
          <w:szCs w:val="20"/>
        </w:rPr>
        <w:t>regarding the approval of collaborative activity within the Faculty with organisations external to the University.</w:t>
      </w:r>
    </w:p>
    <w:p w:rsidR="00DC3893" w:rsidRDefault="00DC3893" w:rsidP="00DC3893">
      <w:pPr>
        <w:rPr>
          <w:sz w:val="20"/>
          <w:szCs w:val="20"/>
        </w:rPr>
      </w:pPr>
    </w:p>
    <w:p w:rsidR="00DC3893" w:rsidRDefault="00DC3893" w:rsidP="00C82A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input and advice to attempts to seek accreditation/validation for progr</w:t>
      </w:r>
      <w:r w:rsidR="00256F61">
        <w:rPr>
          <w:sz w:val="20"/>
          <w:szCs w:val="20"/>
        </w:rPr>
        <w:t>ammes from external bodies, where applicable.</w:t>
      </w:r>
    </w:p>
    <w:p w:rsidR="00A47904" w:rsidRDefault="00A47904" w:rsidP="00A47904">
      <w:pPr>
        <w:rPr>
          <w:sz w:val="20"/>
          <w:szCs w:val="20"/>
        </w:rPr>
      </w:pPr>
    </w:p>
    <w:p w:rsidR="00A47904" w:rsidRDefault="00A47904" w:rsidP="008524D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and analysis of feedback from students via Unit </w:t>
      </w:r>
      <w:r w:rsidR="008524DF">
        <w:rPr>
          <w:sz w:val="20"/>
          <w:szCs w:val="20"/>
        </w:rPr>
        <w:t xml:space="preserve">Survey </w:t>
      </w:r>
      <w:r>
        <w:rPr>
          <w:sz w:val="20"/>
          <w:szCs w:val="20"/>
        </w:rPr>
        <w:t>Questionnaires, National Stude</w:t>
      </w:r>
      <w:r w:rsidR="001C014D">
        <w:rPr>
          <w:sz w:val="20"/>
          <w:szCs w:val="20"/>
        </w:rPr>
        <w:t>nt Survey</w:t>
      </w:r>
      <w:r w:rsidR="00A934C1">
        <w:rPr>
          <w:sz w:val="20"/>
          <w:szCs w:val="20"/>
        </w:rPr>
        <w:t>, Student Barometer</w:t>
      </w:r>
      <w:r w:rsidR="001C014D">
        <w:rPr>
          <w:sz w:val="20"/>
          <w:szCs w:val="20"/>
        </w:rPr>
        <w:t xml:space="preserve"> and other mechanisms. </w:t>
      </w:r>
    </w:p>
    <w:p w:rsidR="00C82AB6" w:rsidRDefault="00C82AB6" w:rsidP="00B94015"/>
    <w:p w:rsidR="00837267" w:rsidRDefault="00837267" w:rsidP="008E2EB4">
      <w:pPr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E9731E">
        <w:rPr>
          <w:b/>
          <w:bCs/>
          <w:sz w:val="20"/>
          <w:szCs w:val="20"/>
        </w:rPr>
        <w:t>Meetings</w:t>
      </w:r>
      <w:r>
        <w:rPr>
          <w:b/>
          <w:bCs/>
          <w:sz w:val="20"/>
          <w:szCs w:val="20"/>
        </w:rPr>
        <w:t xml:space="preserve"> – attendance requirements</w:t>
      </w:r>
    </w:p>
    <w:p w:rsidR="00837267" w:rsidRPr="00E9731E" w:rsidRDefault="00837267" w:rsidP="00837267">
      <w:pPr>
        <w:jc w:val="both"/>
        <w:rPr>
          <w:b/>
          <w:bCs/>
          <w:sz w:val="20"/>
          <w:szCs w:val="20"/>
        </w:rPr>
      </w:pPr>
    </w:p>
    <w:p w:rsidR="00837267" w:rsidRDefault="00837267" w:rsidP="008E2EB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a) Faculty Teaching and Learning Committee </w:t>
      </w:r>
      <w:r w:rsidR="00FF179E">
        <w:rPr>
          <w:sz w:val="20"/>
          <w:szCs w:val="20"/>
        </w:rPr>
        <w:t>(FTLC)</w:t>
      </w:r>
    </w:p>
    <w:p w:rsidR="00837267" w:rsidRDefault="00837267" w:rsidP="00FF179E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233D24">
        <w:rPr>
          <w:sz w:val="20"/>
          <w:szCs w:val="20"/>
        </w:rPr>
        <w:t>ormally meet</w:t>
      </w:r>
      <w:r>
        <w:rPr>
          <w:sz w:val="20"/>
          <w:szCs w:val="20"/>
        </w:rPr>
        <w:t>s</w:t>
      </w:r>
      <w:r w:rsidRPr="00233D24">
        <w:rPr>
          <w:sz w:val="20"/>
          <w:szCs w:val="20"/>
        </w:rPr>
        <w:t xml:space="preserve"> </w:t>
      </w:r>
      <w:r>
        <w:rPr>
          <w:sz w:val="20"/>
          <w:szCs w:val="20"/>
        </w:rPr>
        <w:t>monthly during the semester, in line with the University’s Teaching and Learning Group.  Meetings will be cancelled if there is insufficient business.</w:t>
      </w:r>
      <w:r w:rsidRPr="00233D24">
        <w:rPr>
          <w:sz w:val="20"/>
          <w:szCs w:val="20"/>
        </w:rPr>
        <w:t xml:space="preserve">  </w:t>
      </w:r>
    </w:p>
    <w:p w:rsidR="00837267" w:rsidRDefault="00837267" w:rsidP="00837267">
      <w:pPr>
        <w:jc w:val="both"/>
        <w:rPr>
          <w:sz w:val="20"/>
          <w:szCs w:val="20"/>
        </w:rPr>
      </w:pPr>
    </w:p>
    <w:p w:rsidR="00837267" w:rsidRDefault="00837267" w:rsidP="008E2EB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b) Faculty Undergraduate Sub-Committee of </w:t>
      </w:r>
      <w:r w:rsidR="000E46E5">
        <w:rPr>
          <w:sz w:val="20"/>
          <w:szCs w:val="20"/>
        </w:rPr>
        <w:t>F</w:t>
      </w:r>
      <w:r>
        <w:rPr>
          <w:sz w:val="20"/>
          <w:szCs w:val="20"/>
        </w:rPr>
        <w:t>TLC*</w:t>
      </w:r>
    </w:p>
    <w:p w:rsidR="00837267" w:rsidRPr="00233D24" w:rsidRDefault="00837267" w:rsidP="0083726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Meets three times per year in N</w:t>
      </w:r>
      <w:r w:rsidRPr="00233D24">
        <w:rPr>
          <w:sz w:val="20"/>
          <w:szCs w:val="20"/>
        </w:rPr>
        <w:t>ovember</w:t>
      </w:r>
      <w:r>
        <w:rPr>
          <w:sz w:val="20"/>
          <w:szCs w:val="20"/>
        </w:rPr>
        <w:t xml:space="preserve">, </w:t>
      </w:r>
      <w:r w:rsidRPr="00233D24">
        <w:rPr>
          <w:sz w:val="20"/>
          <w:szCs w:val="20"/>
        </w:rPr>
        <w:t>February</w:t>
      </w:r>
      <w:r>
        <w:rPr>
          <w:sz w:val="20"/>
          <w:szCs w:val="20"/>
        </w:rPr>
        <w:t xml:space="preserve"> and </w:t>
      </w:r>
      <w:r w:rsidRPr="00233D24">
        <w:rPr>
          <w:sz w:val="20"/>
          <w:szCs w:val="20"/>
        </w:rPr>
        <w:t>May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</w:p>
    <w:p w:rsidR="00837267" w:rsidRDefault="00837267" w:rsidP="00837267">
      <w:pPr>
        <w:jc w:val="both"/>
        <w:rPr>
          <w:sz w:val="20"/>
          <w:szCs w:val="20"/>
        </w:rPr>
      </w:pPr>
    </w:p>
    <w:p w:rsidR="00837267" w:rsidRDefault="00837267" w:rsidP="00FF179E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c) Faculty Postgraduate</w:t>
      </w:r>
      <w:r w:rsidR="00FF179E">
        <w:rPr>
          <w:sz w:val="20"/>
          <w:szCs w:val="20"/>
        </w:rPr>
        <w:t>-Sub-</w:t>
      </w:r>
      <w:r>
        <w:rPr>
          <w:sz w:val="20"/>
          <w:szCs w:val="20"/>
        </w:rPr>
        <w:t>Committee</w:t>
      </w:r>
      <w:r w:rsidR="00FF179E">
        <w:rPr>
          <w:sz w:val="20"/>
          <w:szCs w:val="20"/>
        </w:rPr>
        <w:t xml:space="preserve"> of </w:t>
      </w:r>
      <w:r w:rsidR="000E46E5">
        <w:rPr>
          <w:sz w:val="20"/>
          <w:szCs w:val="20"/>
        </w:rPr>
        <w:t>F</w:t>
      </w:r>
      <w:r w:rsidR="00FF179E">
        <w:rPr>
          <w:sz w:val="20"/>
          <w:szCs w:val="20"/>
        </w:rPr>
        <w:t>TLC</w:t>
      </w:r>
      <w:r>
        <w:rPr>
          <w:sz w:val="20"/>
          <w:szCs w:val="20"/>
        </w:rPr>
        <w:t>*</w:t>
      </w:r>
    </w:p>
    <w:p w:rsidR="00837267" w:rsidRDefault="00837267" w:rsidP="008524D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Meets three times per year in </w:t>
      </w:r>
      <w:r w:rsidR="008524DF">
        <w:rPr>
          <w:sz w:val="20"/>
          <w:szCs w:val="20"/>
        </w:rPr>
        <w:t>December</w:t>
      </w:r>
      <w:r>
        <w:rPr>
          <w:sz w:val="20"/>
          <w:szCs w:val="20"/>
        </w:rPr>
        <w:t xml:space="preserve">, </w:t>
      </w:r>
      <w:r w:rsidRPr="00233D24">
        <w:rPr>
          <w:sz w:val="20"/>
          <w:szCs w:val="20"/>
        </w:rPr>
        <w:t>February</w:t>
      </w:r>
      <w:r w:rsidR="008524DF">
        <w:rPr>
          <w:sz w:val="20"/>
          <w:szCs w:val="20"/>
        </w:rPr>
        <w:t>, March</w:t>
      </w:r>
      <w:r>
        <w:rPr>
          <w:sz w:val="20"/>
          <w:szCs w:val="20"/>
        </w:rPr>
        <w:t xml:space="preserve"> and </w:t>
      </w:r>
      <w:r w:rsidRPr="00233D24">
        <w:rPr>
          <w:sz w:val="20"/>
          <w:szCs w:val="20"/>
        </w:rPr>
        <w:t>May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</w:p>
    <w:p w:rsidR="008524DF" w:rsidRDefault="008524DF" w:rsidP="008524DF">
      <w:pPr>
        <w:jc w:val="both"/>
        <w:rPr>
          <w:sz w:val="20"/>
          <w:szCs w:val="20"/>
        </w:rPr>
      </w:pPr>
    </w:p>
    <w:p w:rsidR="008524DF" w:rsidRDefault="008524DF" w:rsidP="008524D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 eLearning Strategy Sub-Group (Membership and mode of operation of the eLearning Strategy Sub-group is detailed in separate terms of reference)</w:t>
      </w:r>
    </w:p>
    <w:p w:rsidR="008524DF" w:rsidRPr="00233D24" w:rsidRDefault="008524DF" w:rsidP="008524DF">
      <w:pPr>
        <w:jc w:val="both"/>
        <w:rPr>
          <w:sz w:val="20"/>
          <w:szCs w:val="20"/>
        </w:rPr>
      </w:pPr>
    </w:p>
    <w:p w:rsidR="00837267" w:rsidRDefault="00FF179E" w:rsidP="008E2EB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</w:t>
      </w:r>
      <w:r w:rsidR="00837267">
        <w:rPr>
          <w:sz w:val="20"/>
          <w:szCs w:val="20"/>
        </w:rPr>
        <w:t>) School Boards/Committees as appropriate</w:t>
      </w:r>
    </w:p>
    <w:p w:rsidR="00837267" w:rsidRDefault="00837267" w:rsidP="00837267">
      <w:pPr>
        <w:jc w:val="both"/>
        <w:rPr>
          <w:b/>
          <w:sz w:val="20"/>
          <w:szCs w:val="20"/>
        </w:rPr>
      </w:pPr>
    </w:p>
    <w:p w:rsidR="00B136BD" w:rsidRDefault="008524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*Members of FTLC who have distinct UGT and PGT responsibilities should attend the appropriate Sub-Committee meetings. </w:t>
      </w:r>
      <w:r w:rsidR="00837267" w:rsidRPr="003404A2">
        <w:rPr>
          <w:sz w:val="20"/>
          <w:szCs w:val="20"/>
        </w:rPr>
        <w:t xml:space="preserve">Members of FTLC who have distinct UG responsibilities need not attend the PGT </w:t>
      </w:r>
      <w:r w:rsidR="00572FF9">
        <w:rPr>
          <w:sz w:val="20"/>
          <w:szCs w:val="20"/>
        </w:rPr>
        <w:t>Sub-</w:t>
      </w:r>
      <w:r w:rsidR="00837267" w:rsidRPr="003404A2">
        <w:rPr>
          <w:sz w:val="20"/>
          <w:szCs w:val="20"/>
        </w:rPr>
        <w:t>Committee meetings, and vice versa.</w:t>
      </w:r>
    </w:p>
    <w:p w:rsidR="00837267" w:rsidRDefault="00837267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FF179E" w:rsidRDefault="00FF179E" w:rsidP="00995ED4">
      <w:pPr>
        <w:rPr>
          <w:sz w:val="20"/>
          <w:szCs w:val="20"/>
        </w:rPr>
      </w:pPr>
    </w:p>
    <w:p w:rsidR="00CE3D8A" w:rsidRDefault="00CE3D8A" w:rsidP="00995ED4">
      <w:pPr>
        <w:rPr>
          <w:sz w:val="20"/>
          <w:szCs w:val="20"/>
        </w:rPr>
      </w:pPr>
    </w:p>
    <w:p w:rsidR="00CE3D8A" w:rsidRPr="00841B9D" w:rsidRDefault="00CE3D8A" w:rsidP="00CE3D8A">
      <w:pPr>
        <w:jc w:val="center"/>
        <w:rPr>
          <w:b/>
          <w:bCs/>
        </w:rPr>
      </w:pPr>
      <w:r w:rsidRPr="00841B9D">
        <w:rPr>
          <w:b/>
          <w:bCs/>
        </w:rPr>
        <w:t>Document Control</w:t>
      </w:r>
    </w:p>
    <w:p w:rsidR="00091F86" w:rsidRDefault="00091F86" w:rsidP="00995ED4">
      <w:pPr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7585"/>
      </w:tblGrid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Policy Title:</w:t>
            </w:r>
          </w:p>
        </w:tc>
        <w:tc>
          <w:tcPr>
            <w:tcW w:w="7585" w:type="dxa"/>
          </w:tcPr>
          <w:p w:rsidR="00CE3D8A" w:rsidRPr="00CE3D8A" w:rsidRDefault="00CE3D8A" w:rsidP="00CE3D8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Overview of Faculty responsibilities - Teaching and Learning Director/ UG Director/ PGT Director</w:t>
            </w:r>
          </w:p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Date Approved: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Approving Body: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Faculty of Humanities</w:t>
            </w:r>
            <w:r w:rsidR="004F4CAC">
              <w:rPr>
                <w:b/>
                <w:bCs/>
                <w:sz w:val="20"/>
                <w:szCs w:val="20"/>
              </w:rPr>
              <w:t>,</w:t>
            </w:r>
            <w:r w:rsidRPr="00CE3D8A">
              <w:rPr>
                <w:b/>
                <w:bCs/>
                <w:sz w:val="20"/>
                <w:szCs w:val="20"/>
              </w:rPr>
              <w:t xml:space="preserve"> Teaching and Learning Committee</w:t>
            </w:r>
          </w:p>
          <w:p w:rsid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Faculty of Humanities</w:t>
            </w:r>
            <w:r w:rsidR="004F4CAC">
              <w:rPr>
                <w:b/>
                <w:bCs/>
                <w:sz w:val="20"/>
                <w:szCs w:val="20"/>
              </w:rPr>
              <w:t>,</w:t>
            </w:r>
            <w:r w:rsidRPr="00CE3D8A">
              <w:rPr>
                <w:b/>
                <w:bCs/>
                <w:sz w:val="20"/>
                <w:szCs w:val="20"/>
              </w:rPr>
              <w:t xml:space="preserve"> Policy and Resources Committee</w:t>
            </w:r>
          </w:p>
          <w:p w:rsidR="004F4CAC" w:rsidRPr="00CE3D8A" w:rsidRDefault="004F4CAC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of Humanities, Humanities Deans Advisory Group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Version: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Supersedes:</w:t>
            </w:r>
          </w:p>
        </w:tc>
        <w:tc>
          <w:tcPr>
            <w:tcW w:w="7585" w:type="dxa"/>
          </w:tcPr>
          <w:p w:rsidR="00CE3D8A" w:rsidRPr="00CE3D8A" w:rsidRDefault="005D598A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Previous Review Dates:</w:t>
            </w:r>
          </w:p>
        </w:tc>
        <w:tc>
          <w:tcPr>
            <w:tcW w:w="7585" w:type="dxa"/>
          </w:tcPr>
          <w:p w:rsidR="00CE3D8A" w:rsidRPr="00CE3D8A" w:rsidRDefault="008407B3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2012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Next Review Date</w:t>
            </w:r>
          </w:p>
        </w:tc>
        <w:tc>
          <w:tcPr>
            <w:tcW w:w="7585" w:type="dxa"/>
          </w:tcPr>
          <w:p w:rsidR="00CE3D8A" w:rsidRPr="00CE3D8A" w:rsidRDefault="008407B3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2013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Related Statutes, Ordinances, General Regulations: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Related Policies: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Related Procedures: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Related Guidance and/or Codes of Practice: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Related Information:</w:t>
            </w:r>
          </w:p>
        </w:tc>
        <w:tc>
          <w:tcPr>
            <w:tcW w:w="7585" w:type="dxa"/>
          </w:tcPr>
          <w:p w:rsidR="00CE3D8A" w:rsidRPr="00CE3D8A" w:rsidRDefault="005D598A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of Humanities Teaching and Learning Director Handbook</w:t>
            </w: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Policy Owner:</w:t>
            </w:r>
          </w:p>
        </w:tc>
        <w:tc>
          <w:tcPr>
            <w:tcW w:w="7585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D8A" w:rsidTr="007F4347">
        <w:tc>
          <w:tcPr>
            <w:tcW w:w="2268" w:type="dxa"/>
          </w:tcPr>
          <w:p w:rsidR="00CE3D8A" w:rsidRPr="00CE3D8A" w:rsidRDefault="00CE3D8A" w:rsidP="007F4347">
            <w:pPr>
              <w:rPr>
                <w:b/>
                <w:bCs/>
                <w:sz w:val="20"/>
                <w:szCs w:val="20"/>
              </w:rPr>
            </w:pPr>
            <w:r w:rsidRPr="00CE3D8A">
              <w:rPr>
                <w:b/>
                <w:bCs/>
                <w:sz w:val="20"/>
                <w:szCs w:val="20"/>
              </w:rPr>
              <w:t>Lead Contact:</w:t>
            </w:r>
          </w:p>
        </w:tc>
        <w:tc>
          <w:tcPr>
            <w:tcW w:w="7585" w:type="dxa"/>
          </w:tcPr>
          <w:p w:rsidR="00CE3D8A" w:rsidRPr="00CE3D8A" w:rsidRDefault="004F4CAC" w:rsidP="007F4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Humanities Teaching and Learning Office</w:t>
            </w:r>
          </w:p>
        </w:tc>
      </w:tr>
    </w:tbl>
    <w:p w:rsidR="00915DAE" w:rsidRPr="00915DAE" w:rsidRDefault="00915DAE" w:rsidP="0014370C">
      <w:pPr>
        <w:rPr>
          <w:sz w:val="16"/>
          <w:szCs w:val="16"/>
        </w:rPr>
      </w:pPr>
    </w:p>
    <w:sectPr w:rsidR="00915DAE" w:rsidRPr="00915DAE" w:rsidSect="00B668BB">
      <w:headerReference w:type="default" r:id="rId7"/>
      <w:footerReference w:type="even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BD" w:rsidRDefault="00B136BD">
      <w:r>
        <w:separator/>
      </w:r>
    </w:p>
  </w:endnote>
  <w:endnote w:type="continuationSeparator" w:id="0">
    <w:p w:rsidR="00B136BD" w:rsidRDefault="00B1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D" w:rsidRDefault="00B136BD" w:rsidP="00D75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6BD" w:rsidRDefault="00B136BD" w:rsidP="00D754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D" w:rsidRDefault="00B136BD" w:rsidP="00D75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5CC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6BD" w:rsidRDefault="00B136BD" w:rsidP="00D754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BD" w:rsidRDefault="00B136BD">
      <w:r>
        <w:separator/>
      </w:r>
    </w:p>
  </w:footnote>
  <w:footnote w:type="continuationSeparator" w:id="0">
    <w:p w:rsidR="00B136BD" w:rsidRDefault="00B1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D" w:rsidRDefault="00B136BD" w:rsidP="00551F83">
    <w:pPr>
      <w:pStyle w:val="Header"/>
      <w:ind w:left="3767" w:firstLine="4153"/>
    </w:pPr>
  </w:p>
  <w:p w:rsidR="00B136BD" w:rsidRDefault="00B136BD" w:rsidP="008466FB">
    <w:pPr>
      <w:pStyle w:val="Header"/>
      <w:ind w:left="3767" w:firstLine="415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4D"/>
    <w:multiLevelType w:val="multilevel"/>
    <w:tmpl w:val="E01897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242030"/>
    <w:multiLevelType w:val="hybridMultilevel"/>
    <w:tmpl w:val="296EE9E2"/>
    <w:lvl w:ilvl="0" w:tplc="5A1C5A9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9C2A7E"/>
    <w:multiLevelType w:val="hybridMultilevel"/>
    <w:tmpl w:val="A8D8F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20FBD"/>
    <w:multiLevelType w:val="hybridMultilevel"/>
    <w:tmpl w:val="0B68E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811A1"/>
    <w:multiLevelType w:val="hybridMultilevel"/>
    <w:tmpl w:val="0CA0C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12BBB"/>
    <w:multiLevelType w:val="hybridMultilevel"/>
    <w:tmpl w:val="B1D81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35B03"/>
    <w:multiLevelType w:val="hybridMultilevel"/>
    <w:tmpl w:val="7548B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A1232"/>
    <w:multiLevelType w:val="hybridMultilevel"/>
    <w:tmpl w:val="94E45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F0C95"/>
    <w:multiLevelType w:val="hybridMultilevel"/>
    <w:tmpl w:val="AE6E3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F52CA"/>
    <w:multiLevelType w:val="multilevel"/>
    <w:tmpl w:val="929E5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431F35"/>
    <w:multiLevelType w:val="hybridMultilevel"/>
    <w:tmpl w:val="B57E4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50B23"/>
    <w:multiLevelType w:val="hybridMultilevel"/>
    <w:tmpl w:val="DE3E8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142114"/>
    <w:multiLevelType w:val="hybridMultilevel"/>
    <w:tmpl w:val="7E027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74FC7"/>
    <w:multiLevelType w:val="hybridMultilevel"/>
    <w:tmpl w:val="1DF8F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50687"/>
    <w:multiLevelType w:val="hybridMultilevel"/>
    <w:tmpl w:val="1E889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A4F3A"/>
    <w:multiLevelType w:val="multilevel"/>
    <w:tmpl w:val="305C80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581E52"/>
    <w:multiLevelType w:val="hybridMultilevel"/>
    <w:tmpl w:val="BBBCB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6F"/>
    <w:rsid w:val="0001318C"/>
    <w:rsid w:val="00063F8F"/>
    <w:rsid w:val="00083C2B"/>
    <w:rsid w:val="00091F86"/>
    <w:rsid w:val="00093F04"/>
    <w:rsid w:val="0009725D"/>
    <w:rsid w:val="000D7101"/>
    <w:rsid w:val="000E46E5"/>
    <w:rsid w:val="0012772B"/>
    <w:rsid w:val="00133AAF"/>
    <w:rsid w:val="0014370C"/>
    <w:rsid w:val="001525CC"/>
    <w:rsid w:val="00161184"/>
    <w:rsid w:val="00181698"/>
    <w:rsid w:val="001B65A3"/>
    <w:rsid w:val="001C014D"/>
    <w:rsid w:val="001C7BC9"/>
    <w:rsid w:val="001E3C24"/>
    <w:rsid w:val="001E4126"/>
    <w:rsid w:val="002023AB"/>
    <w:rsid w:val="00205035"/>
    <w:rsid w:val="00213E2E"/>
    <w:rsid w:val="00214D0A"/>
    <w:rsid w:val="0025201F"/>
    <w:rsid w:val="00256F61"/>
    <w:rsid w:val="002738DC"/>
    <w:rsid w:val="00291CCE"/>
    <w:rsid w:val="002A68F4"/>
    <w:rsid w:val="002E3F68"/>
    <w:rsid w:val="00304251"/>
    <w:rsid w:val="00307B69"/>
    <w:rsid w:val="003202FA"/>
    <w:rsid w:val="00337928"/>
    <w:rsid w:val="003404A2"/>
    <w:rsid w:val="003D458D"/>
    <w:rsid w:val="003D4B3C"/>
    <w:rsid w:val="003E584F"/>
    <w:rsid w:val="003F049D"/>
    <w:rsid w:val="00422CFB"/>
    <w:rsid w:val="00434A16"/>
    <w:rsid w:val="00437985"/>
    <w:rsid w:val="00440556"/>
    <w:rsid w:val="00444B83"/>
    <w:rsid w:val="004C76BB"/>
    <w:rsid w:val="004F4CAC"/>
    <w:rsid w:val="005035BA"/>
    <w:rsid w:val="00511C7D"/>
    <w:rsid w:val="005458EA"/>
    <w:rsid w:val="00551F83"/>
    <w:rsid w:val="00552631"/>
    <w:rsid w:val="00570F54"/>
    <w:rsid w:val="00571162"/>
    <w:rsid w:val="00572FF9"/>
    <w:rsid w:val="005D598A"/>
    <w:rsid w:val="005E17E1"/>
    <w:rsid w:val="005F0A9D"/>
    <w:rsid w:val="00645931"/>
    <w:rsid w:val="006714B5"/>
    <w:rsid w:val="006865F2"/>
    <w:rsid w:val="006F0BA9"/>
    <w:rsid w:val="0070203F"/>
    <w:rsid w:val="00742542"/>
    <w:rsid w:val="00742C03"/>
    <w:rsid w:val="00752C93"/>
    <w:rsid w:val="00772F6B"/>
    <w:rsid w:val="007935AA"/>
    <w:rsid w:val="00795063"/>
    <w:rsid w:val="007A3943"/>
    <w:rsid w:val="007C449E"/>
    <w:rsid w:val="007F3B6F"/>
    <w:rsid w:val="007F4347"/>
    <w:rsid w:val="008001E9"/>
    <w:rsid w:val="00817D82"/>
    <w:rsid w:val="00832B9F"/>
    <w:rsid w:val="00837267"/>
    <w:rsid w:val="008407B3"/>
    <w:rsid w:val="0084511C"/>
    <w:rsid w:val="008466FB"/>
    <w:rsid w:val="0084754E"/>
    <w:rsid w:val="008524DF"/>
    <w:rsid w:val="00854082"/>
    <w:rsid w:val="00855CF5"/>
    <w:rsid w:val="00872C5E"/>
    <w:rsid w:val="008918E4"/>
    <w:rsid w:val="008A6932"/>
    <w:rsid w:val="008C7EC6"/>
    <w:rsid w:val="008E2EB4"/>
    <w:rsid w:val="008E7D26"/>
    <w:rsid w:val="00915DAE"/>
    <w:rsid w:val="00937888"/>
    <w:rsid w:val="00940DA8"/>
    <w:rsid w:val="009420E6"/>
    <w:rsid w:val="00945262"/>
    <w:rsid w:val="00963AD6"/>
    <w:rsid w:val="00966FD4"/>
    <w:rsid w:val="00975D83"/>
    <w:rsid w:val="00980007"/>
    <w:rsid w:val="00995ED4"/>
    <w:rsid w:val="009B1FF2"/>
    <w:rsid w:val="009D2399"/>
    <w:rsid w:val="009E08CA"/>
    <w:rsid w:val="009E40ED"/>
    <w:rsid w:val="009F418D"/>
    <w:rsid w:val="00A12C40"/>
    <w:rsid w:val="00A14DD3"/>
    <w:rsid w:val="00A47904"/>
    <w:rsid w:val="00A922C8"/>
    <w:rsid w:val="00A934C1"/>
    <w:rsid w:val="00A97328"/>
    <w:rsid w:val="00AA2986"/>
    <w:rsid w:val="00AA7C04"/>
    <w:rsid w:val="00AB3AAF"/>
    <w:rsid w:val="00AF4157"/>
    <w:rsid w:val="00B0737A"/>
    <w:rsid w:val="00B136BD"/>
    <w:rsid w:val="00B206C6"/>
    <w:rsid w:val="00B668BB"/>
    <w:rsid w:val="00B94015"/>
    <w:rsid w:val="00BB1633"/>
    <w:rsid w:val="00BB3A5C"/>
    <w:rsid w:val="00BC2E38"/>
    <w:rsid w:val="00BD47DF"/>
    <w:rsid w:val="00BD5C09"/>
    <w:rsid w:val="00BE10D8"/>
    <w:rsid w:val="00BF514A"/>
    <w:rsid w:val="00C05846"/>
    <w:rsid w:val="00C309B7"/>
    <w:rsid w:val="00C40892"/>
    <w:rsid w:val="00C41152"/>
    <w:rsid w:val="00C82AB6"/>
    <w:rsid w:val="00CA0011"/>
    <w:rsid w:val="00CA2EA5"/>
    <w:rsid w:val="00CC2E37"/>
    <w:rsid w:val="00CD21D6"/>
    <w:rsid w:val="00CD40EC"/>
    <w:rsid w:val="00CE3D8A"/>
    <w:rsid w:val="00CF0B6A"/>
    <w:rsid w:val="00CF7849"/>
    <w:rsid w:val="00D20EEC"/>
    <w:rsid w:val="00D2326B"/>
    <w:rsid w:val="00D25290"/>
    <w:rsid w:val="00D3525B"/>
    <w:rsid w:val="00D4336E"/>
    <w:rsid w:val="00D67E21"/>
    <w:rsid w:val="00D7540A"/>
    <w:rsid w:val="00D92915"/>
    <w:rsid w:val="00D952BD"/>
    <w:rsid w:val="00DA34A1"/>
    <w:rsid w:val="00DC3893"/>
    <w:rsid w:val="00DD3526"/>
    <w:rsid w:val="00DD61E3"/>
    <w:rsid w:val="00E006CB"/>
    <w:rsid w:val="00E05F90"/>
    <w:rsid w:val="00E10D69"/>
    <w:rsid w:val="00E21CE9"/>
    <w:rsid w:val="00E33E7C"/>
    <w:rsid w:val="00E530C6"/>
    <w:rsid w:val="00E5337C"/>
    <w:rsid w:val="00E65676"/>
    <w:rsid w:val="00E7170A"/>
    <w:rsid w:val="00E95B27"/>
    <w:rsid w:val="00EC236F"/>
    <w:rsid w:val="00EE5AF8"/>
    <w:rsid w:val="00EF1230"/>
    <w:rsid w:val="00F211A2"/>
    <w:rsid w:val="00F42C5F"/>
    <w:rsid w:val="00F44543"/>
    <w:rsid w:val="00F45BEE"/>
    <w:rsid w:val="00FA40C2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06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54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540A"/>
  </w:style>
  <w:style w:type="paragraph" w:styleId="Header">
    <w:name w:val="header"/>
    <w:basedOn w:val="Normal"/>
    <w:rsid w:val="00AA29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2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37267"/>
    <w:rPr>
      <w:sz w:val="16"/>
      <w:szCs w:val="16"/>
    </w:rPr>
  </w:style>
  <w:style w:type="paragraph" w:styleId="CommentText">
    <w:name w:val="annotation text"/>
    <w:basedOn w:val="Normal"/>
    <w:semiHidden/>
    <w:rsid w:val="008372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267"/>
    <w:rPr>
      <w:b/>
      <w:bCs/>
    </w:rPr>
  </w:style>
  <w:style w:type="paragraph" w:styleId="DocumentMap">
    <w:name w:val="Document Map"/>
    <w:basedOn w:val="Normal"/>
    <w:semiHidden/>
    <w:rsid w:val="008E2EB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E3D8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CAC"/>
  </w:style>
  <w:style w:type="paragraph" w:styleId="ListParagraph">
    <w:name w:val="List Paragraph"/>
    <w:basedOn w:val="Normal"/>
    <w:uiPriority w:val="34"/>
    <w:qFormat/>
    <w:rsid w:val="008524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79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14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0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04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0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38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93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70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1360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</vt:lpstr>
    </vt:vector>
  </TitlesOfParts>
  <Company>Manchester Computing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</dc:title>
  <dc:subject/>
  <dc:creator>CLIP3 development team</dc:creator>
  <cp:keywords/>
  <dc:description/>
  <cp:lastModifiedBy>mfztsnl2</cp:lastModifiedBy>
  <cp:revision>7</cp:revision>
  <cp:lastPrinted>2009-03-02T14:14:00Z</cp:lastPrinted>
  <dcterms:created xsi:type="dcterms:W3CDTF">2012-09-28T11:11:00Z</dcterms:created>
  <dcterms:modified xsi:type="dcterms:W3CDTF">2012-10-01T14:50:00Z</dcterms:modified>
</cp:coreProperties>
</file>