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4471" w:tblpY="3"/>
        <w:tblW w:w="0" w:type="auto"/>
        <w:tblLook w:val="04A0" w:firstRow="1" w:lastRow="0" w:firstColumn="1" w:lastColumn="0" w:noHBand="0" w:noVBand="1"/>
      </w:tblPr>
      <w:tblGrid>
        <w:gridCol w:w="6204"/>
      </w:tblGrid>
      <w:tr w:rsidR="00DD2559" w:rsidTr="00DD2559">
        <w:tc>
          <w:tcPr>
            <w:tcW w:w="6204" w:type="dxa"/>
          </w:tcPr>
          <w:p w:rsidR="00DD2559" w:rsidRPr="00DD2559" w:rsidRDefault="00DD2559" w:rsidP="00DD2559">
            <w:pPr>
              <w:jc w:val="center"/>
              <w:rPr>
                <w:b/>
                <w:sz w:val="28"/>
                <w:szCs w:val="28"/>
              </w:rPr>
            </w:pPr>
            <w:bookmarkStart w:id="0" w:name="_GoBack"/>
            <w:bookmarkEnd w:id="0"/>
            <w:r w:rsidRPr="00DD2559">
              <w:rPr>
                <w:b/>
                <w:sz w:val="28"/>
                <w:szCs w:val="28"/>
              </w:rPr>
              <w:t>Faculty of Humanities</w:t>
            </w:r>
          </w:p>
          <w:p w:rsidR="00DD2559" w:rsidRPr="00DD2559" w:rsidRDefault="00DD2559" w:rsidP="00DD2559">
            <w:pPr>
              <w:jc w:val="center"/>
              <w:rPr>
                <w:b/>
                <w:sz w:val="28"/>
                <w:szCs w:val="28"/>
              </w:rPr>
            </w:pPr>
            <w:r w:rsidRPr="00DD2559">
              <w:rPr>
                <w:b/>
                <w:sz w:val="28"/>
                <w:szCs w:val="28"/>
              </w:rPr>
              <w:t>Reduced Scale Stepped Marking FAQs for Staff</w:t>
            </w:r>
          </w:p>
          <w:p w:rsidR="00DD2559" w:rsidRDefault="00DD2559" w:rsidP="00DD2559">
            <w:pPr>
              <w:rPr>
                <w:b/>
                <w:sz w:val="28"/>
                <w:szCs w:val="28"/>
              </w:rPr>
            </w:pPr>
          </w:p>
        </w:tc>
      </w:tr>
    </w:tbl>
    <w:p w:rsidR="00DD2559" w:rsidRDefault="00DD2559" w:rsidP="00DD2559">
      <w:pPr>
        <w:rPr>
          <w:b/>
          <w:sz w:val="28"/>
          <w:szCs w:val="28"/>
        </w:rPr>
      </w:pPr>
      <w:r>
        <w:rPr>
          <w:noProof/>
          <w:lang w:eastAsia="en-GB"/>
        </w:rPr>
        <w:drawing>
          <wp:inline distT="0" distB="0" distL="0" distR="0" wp14:anchorId="6D1BB531" wp14:editId="5B0314E1">
            <wp:extent cx="1609725" cy="682625"/>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682625"/>
                    </a:xfrm>
                    <a:prstGeom prst="rect">
                      <a:avLst/>
                    </a:prstGeom>
                    <a:noFill/>
                  </pic:spPr>
                </pic:pic>
              </a:graphicData>
            </a:graphic>
          </wp:inline>
        </w:drawing>
      </w:r>
    </w:p>
    <w:p w:rsidR="003328D1" w:rsidRDefault="004B1D17">
      <w:pPr>
        <w:pStyle w:val="ListParagraph"/>
        <w:numPr>
          <w:ilvl w:val="0"/>
          <w:numId w:val="2"/>
        </w:numPr>
        <w:rPr>
          <w:b/>
        </w:rPr>
      </w:pPr>
      <w:r>
        <w:rPr>
          <w:b/>
        </w:rPr>
        <w:t>What is reduced scale stepped marking?</w:t>
      </w:r>
    </w:p>
    <w:p w:rsidR="003328D1" w:rsidRDefault="004B1D17">
      <w:pPr>
        <w:ind w:firstLine="360"/>
      </w:pPr>
      <w:r>
        <w:t xml:space="preserve">Marking that uses a restricted number of marks with the 0-100% range.  </w:t>
      </w:r>
    </w:p>
    <w:p w:rsidR="003328D1" w:rsidRDefault="004B1D17">
      <w:pPr>
        <w:pStyle w:val="ListParagraph"/>
        <w:numPr>
          <w:ilvl w:val="0"/>
          <w:numId w:val="2"/>
        </w:numPr>
        <w:rPr>
          <w:b/>
        </w:rPr>
      </w:pPr>
      <w:r>
        <w:rPr>
          <w:b/>
        </w:rPr>
        <w:t>What are the fixed percentage points on the reduced scale stepped marking scale?</w:t>
      </w:r>
    </w:p>
    <w:p w:rsidR="003328D1" w:rsidRDefault="004B1D17">
      <w:pPr>
        <w:ind w:left="360"/>
      </w:pPr>
      <w:r>
        <w:t>See Appendix 1 (UG) and Appendix 2 (PGT).</w:t>
      </w:r>
    </w:p>
    <w:p w:rsidR="003328D1" w:rsidRDefault="004B1D17">
      <w:pPr>
        <w:pStyle w:val="ListParagraph"/>
        <w:numPr>
          <w:ilvl w:val="0"/>
          <w:numId w:val="2"/>
        </w:numPr>
        <w:rPr>
          <w:b/>
        </w:rPr>
      </w:pPr>
      <w:r>
        <w:rPr>
          <w:b/>
        </w:rPr>
        <w:t>Why has reduced scale stepped marking been introduced?</w:t>
      </w:r>
    </w:p>
    <w:p w:rsidR="003328D1" w:rsidRDefault="004B1D17">
      <w:pPr>
        <w:ind w:left="360"/>
      </w:pPr>
      <w:r>
        <w:t xml:space="preserve">Student feedback suggests that students are not sure about the difference between different percentage marks (e.g. what the difference is between a piece of work that is graded at 66% and one that is graded at 68%).  They often comment on their perception of inconsistency between markers.  </w:t>
      </w:r>
    </w:p>
    <w:p w:rsidR="003328D1" w:rsidRDefault="004B1D17">
      <w:pPr>
        <w:ind w:left="360"/>
      </w:pPr>
      <w:r>
        <w:t>This view reinforces research that suggests that a scale of 0-100 presents an unrealistic degree of accuracy in the marking process because it is difficult/impossible to devise marking schemes that differentiate to 1% accuracy.  Pedagogic research recommends the adoption of grading scales with a smaller number of points.</w:t>
      </w:r>
    </w:p>
    <w:p w:rsidR="003328D1" w:rsidRDefault="004B1D17">
      <w:pPr>
        <w:ind w:left="360"/>
      </w:pPr>
      <w:r>
        <w:t>Reduced scale stepped marking should simplify the marking process by requiring markers only to make a judgement of high/medium/low within each class and then to assign the appropriate mark.  This should improve consistency across markers.  In turn, it should support student learning by adding greater clarity to outcomes.  For example, a student whose work is awarded 62% will know that the mark represents a low 2.1/low Merit.  The feedback provided should then support student learning in achieving a higher mark in the next assignment.</w:t>
      </w:r>
    </w:p>
    <w:p w:rsidR="003328D1" w:rsidRDefault="004B1D17">
      <w:pPr>
        <w:ind w:left="360"/>
      </w:pPr>
      <w:r>
        <w:t>Reduced scale stepped marking is also intended to allow excellence to be appropriately rewarded.  Although we currently have a notional 0-100 scale, in practice, some disciplines only award marks in the range of 35-75.  This is unfair to our students, who are competing against others in highly competitive, interdisciplinary and global job markets, or who are competing against such students for postgraduate funding.</w:t>
      </w:r>
    </w:p>
    <w:p w:rsidR="003328D1" w:rsidRDefault="004B1D17">
      <w:pPr>
        <w:ind w:left="360"/>
      </w:pPr>
      <w:r>
        <w:t xml:space="preserve">The failure to use marks at the top end of the marking scale has meant that exceptional or outstanding work is often awarded a mark in the low 70s and is therefore not clearly distinguishable from work that has marginally achieved a first-class mark.  Markers are encouraged to reward the best quality work.  For example, work which is judged to be a lower-range First/Distinction should be awarded 72, 75 or 78, and work deemed exceptional or outstanding should be awarded a mark in the upper First/Distinction zone.  Similarly, markers should make use of the full range of marks at the lower end of the scale, thus ensuring that marks reflect the quality of the work presented. </w:t>
      </w:r>
    </w:p>
    <w:p w:rsidR="003328D1" w:rsidRDefault="004B1D17">
      <w:pPr>
        <w:pStyle w:val="ListParagraph"/>
        <w:numPr>
          <w:ilvl w:val="0"/>
          <w:numId w:val="2"/>
        </w:numPr>
        <w:rPr>
          <w:b/>
        </w:rPr>
      </w:pPr>
      <w:r>
        <w:rPr>
          <w:b/>
        </w:rPr>
        <w:t>Is reduced scale stepped marking used elsewhere?</w:t>
      </w:r>
    </w:p>
    <w:p w:rsidR="003328D1" w:rsidRDefault="004B1D17">
      <w:pPr>
        <w:ind w:left="360"/>
      </w:pPr>
      <w:r>
        <w:t>Yes.  Reduced scale marking is used in a number of other institutions in the UK and elsewhere.  Scales used in other countries are often significantly less granular than those used in the new scheme in Manchester (for example, Harvard used 12 bands: A, A-, B+, B, B-, C+, C, C-, D+, D, D-, E).</w:t>
      </w:r>
    </w:p>
    <w:p w:rsidR="003328D1" w:rsidRDefault="004B1D17">
      <w:pPr>
        <w:pStyle w:val="ListParagraph"/>
        <w:numPr>
          <w:ilvl w:val="0"/>
          <w:numId w:val="2"/>
        </w:numPr>
        <w:rPr>
          <w:b/>
        </w:rPr>
      </w:pPr>
      <w:r>
        <w:rPr>
          <w:b/>
        </w:rPr>
        <w:lastRenderedPageBreak/>
        <w:t>Have students been consulted on the proposed changes?</w:t>
      </w:r>
    </w:p>
    <w:p w:rsidR="003328D1" w:rsidRDefault="004B1D17">
      <w:pPr>
        <w:ind w:left="360"/>
      </w:pPr>
      <w:r>
        <w:t>Student views were collected through focus groups in 2014 (see Appendix 3), when the proposed changes in the marking scheme were first suggested.  Subsequently, student union representatives on HTLC sought feedback from students on assessment and the possible introduction of reduced scale stepped marking in March 2016.  On both occasions, students were generally supportive of the proposed changes.  Further student views will be sought in the end of year review of the new marking scheme.</w:t>
      </w:r>
    </w:p>
    <w:p w:rsidR="003328D1" w:rsidRDefault="004B1D17">
      <w:pPr>
        <w:pStyle w:val="ListParagraph"/>
        <w:numPr>
          <w:ilvl w:val="0"/>
          <w:numId w:val="2"/>
        </w:numPr>
        <w:rPr>
          <w:b/>
        </w:rPr>
      </w:pPr>
      <w:r>
        <w:rPr>
          <w:b/>
        </w:rPr>
        <w:t>Will reduced scale stepped marking result in grade inflation?</w:t>
      </w:r>
    </w:p>
    <w:p w:rsidR="003328D1" w:rsidRDefault="004B1D17">
      <w:pPr>
        <w:ind w:left="360"/>
      </w:pPr>
      <w:r>
        <w:t>No.  There is no intention that this marking scheme will result in grade inflation.  It is, however, intended to encourage colleagues to use the full mark range at the top and the bottom of the scale.  All marks will continue to be moderated in line with the current policy and the expectation that average course unit marks fall within the 60-70% range.</w:t>
      </w:r>
    </w:p>
    <w:p w:rsidR="003328D1" w:rsidRDefault="004B1D17">
      <w:pPr>
        <w:pStyle w:val="ListParagraph"/>
        <w:numPr>
          <w:ilvl w:val="0"/>
          <w:numId w:val="2"/>
        </w:numPr>
        <w:rPr>
          <w:b/>
        </w:rPr>
      </w:pPr>
      <w:r>
        <w:rPr>
          <w:b/>
        </w:rPr>
        <w:t xml:space="preserve">When should the reduced scale stepped marking scale be used? </w:t>
      </w:r>
    </w:p>
    <w:p w:rsidR="003328D1" w:rsidRDefault="004B1D17">
      <w:pPr>
        <w:ind w:left="360"/>
        <w:rPr>
          <w:b/>
        </w:rPr>
      </w:pPr>
      <w:r>
        <w:t xml:space="preserve">Reduced scale stepped marking should be used where a scale of 0-100% would normally be used when marking an individual summative component (e.g. essay-based assessments, examination answers, presentations, etc.).  </w:t>
      </w:r>
    </w:p>
    <w:p w:rsidR="003328D1" w:rsidRDefault="004B1D17">
      <w:pPr>
        <w:ind w:left="360"/>
      </w:pPr>
      <w:r>
        <w:t>Assessed work which is quantitative (e.g. numerical or multiple-choice tests) or where there are ‘right or wrong’ answers can still be marked using the 0-100% scale, since the full range of marks (including 100%) is demonstrably available and the highest marks are achievable by the best students.</w:t>
      </w:r>
    </w:p>
    <w:p w:rsidR="003328D1" w:rsidRDefault="004B1D17">
      <w:pPr>
        <w:ind w:left="360"/>
      </w:pPr>
      <w:r>
        <w:t xml:space="preserve">There may be some other exceptions where reduced scale stepped marking is not appropriate, such as language tests and exam papers with small numbers of marks for each question.  </w:t>
      </w:r>
    </w:p>
    <w:p w:rsidR="003328D1" w:rsidRDefault="004B1D17">
      <w:pPr>
        <w:ind w:left="360"/>
      </w:pPr>
      <w:r>
        <w:t>Course units which are subject to professional statutory regulatory body (PSRB) requirements should be marked in line with the requirements of the PSRB.</w:t>
      </w:r>
    </w:p>
    <w:p w:rsidR="003328D1" w:rsidRDefault="004B1D17">
      <w:pPr>
        <w:pStyle w:val="ListParagraph"/>
        <w:numPr>
          <w:ilvl w:val="0"/>
          <w:numId w:val="2"/>
        </w:numPr>
        <w:rPr>
          <w:b/>
        </w:rPr>
      </w:pPr>
      <w:r>
        <w:rPr>
          <w:b/>
        </w:rPr>
        <w:t>How do I mark using the reduced scale stepped marking scale?</w:t>
      </w:r>
    </w:p>
    <w:p w:rsidR="003328D1" w:rsidRDefault="004B1D17">
      <w:pPr>
        <w:ind w:left="360"/>
      </w:pPr>
      <w:r>
        <w:t>The process for marking is as follows:</w:t>
      </w:r>
    </w:p>
    <w:p w:rsidR="003328D1" w:rsidRDefault="004B1D17">
      <w:pPr>
        <w:ind w:left="360"/>
      </w:pPr>
      <w:r>
        <w:t>For each component of assessment (e.g. a coursework essay, dissertation or a question in an exam paper):</w:t>
      </w:r>
    </w:p>
    <w:p w:rsidR="003328D1" w:rsidRDefault="004B1D17">
      <w:pPr>
        <w:pStyle w:val="ListParagraph"/>
        <w:numPr>
          <w:ilvl w:val="0"/>
          <w:numId w:val="3"/>
        </w:numPr>
      </w:pPr>
      <w:r>
        <w:t>first decide on the class (e.g. First, 2.1, 2.2 etc.);</w:t>
      </w:r>
    </w:p>
    <w:p w:rsidR="003328D1" w:rsidRDefault="004B1D17">
      <w:pPr>
        <w:pStyle w:val="ListParagraph"/>
        <w:numPr>
          <w:ilvl w:val="0"/>
          <w:numId w:val="3"/>
        </w:numPr>
      </w:pPr>
      <w:r>
        <w:t xml:space="preserve">next, assign the component of assessment to a point within the class (e.g. lower range First, </w:t>
      </w:r>
      <w:r>
        <w:rPr>
          <w:vertAlign w:val="superscript"/>
        </w:rPr>
        <w:t xml:space="preserve"> </w:t>
      </w:r>
      <w:r>
        <w:t>mid-range 2.2) by considering the grade descriptors;</w:t>
      </w:r>
    </w:p>
    <w:p w:rsidR="003328D1" w:rsidRDefault="004B1D17">
      <w:pPr>
        <w:pStyle w:val="ListParagraph"/>
        <w:numPr>
          <w:ilvl w:val="0"/>
          <w:numId w:val="3"/>
        </w:numPr>
      </w:pPr>
      <w:r>
        <w:t>then, determine the fixed percentage point to be awarded (e.g. 82, 85, 88, etc.).</w:t>
      </w:r>
    </w:p>
    <w:p w:rsidR="00F8208A" w:rsidRDefault="00F8208A" w:rsidP="00D81022">
      <w:pPr>
        <w:pStyle w:val="ListParagraph"/>
        <w:ind w:left="1080"/>
      </w:pPr>
    </w:p>
    <w:p w:rsidR="003328D1" w:rsidRDefault="004B1D17">
      <w:pPr>
        <w:pStyle w:val="ListParagraph"/>
        <w:numPr>
          <w:ilvl w:val="0"/>
          <w:numId w:val="2"/>
        </w:numPr>
        <w:rPr>
          <w:b/>
        </w:rPr>
      </w:pPr>
      <w:r>
        <w:rPr>
          <w:b/>
        </w:rPr>
        <w:t>How are the final marks for a course unit determined?</w:t>
      </w:r>
    </w:p>
    <w:p w:rsidR="003328D1" w:rsidRDefault="004B1D17">
      <w:pPr>
        <w:ind w:left="360"/>
      </w:pPr>
      <w:r>
        <w:t xml:space="preserve">If the course unit is assessed by one component of assessment only (e.g. an essay or dissertation), the fixed percentage point becomes the overall course unit mark.  If the course unit is assessed by more than one component of assessment, the fixed percentage points for each component should be averaged (according to the course unit weightings) to produce the overall unit mark.  As the overall </w:t>
      </w:r>
      <w:r>
        <w:lastRenderedPageBreak/>
        <w:t>course unit mark is calculated by averaging the fixed percentage-point marks, it does not need to be one of the fixed percentage points on the scale.</w:t>
      </w:r>
    </w:p>
    <w:p w:rsidR="003328D1" w:rsidRDefault="004B1D17">
      <w:pPr>
        <w:ind w:left="360"/>
      </w:pPr>
      <w:r>
        <w:t>For example, a course unit is assessed by a single exam with the paper made up of three questions (equally weighted).  The questions have been awarded marks within the 2.1 class with the following fixed percentage points: 62, 65 and 65.  The average of 62, 65 and 65 is 64; 64% is therefore the overall course unit mark.</w:t>
      </w:r>
    </w:p>
    <w:p w:rsidR="003328D1" w:rsidRDefault="004B1D17">
      <w:pPr>
        <w:ind w:left="360"/>
      </w:pPr>
      <w:r>
        <w:t>If the course unit is assessed partly by exam and partly by essay, the overall mark is calculated by averaging (with appropriate weighting) the fixed percentage points for each question to produce the mark for the exam paper (as in the example above), and then averaging (with appropriate weighting) the mark for the exam and the fixed percentage point for the essay.  The overall course unit result will be the mathematical average and does not need to be one of the fixed percentage points on the scale.</w:t>
      </w:r>
    </w:p>
    <w:p w:rsidR="003328D1" w:rsidRDefault="004B1D17">
      <w:pPr>
        <w:pStyle w:val="ListParagraph"/>
        <w:numPr>
          <w:ilvl w:val="0"/>
          <w:numId w:val="2"/>
        </w:numPr>
        <w:rPr>
          <w:b/>
        </w:rPr>
      </w:pPr>
      <w:r>
        <w:rPr>
          <w:b/>
        </w:rPr>
        <w:t>What is the impact of a late submission penalty on the mark awarded using the reduced scale stepped marking scale?</w:t>
      </w:r>
    </w:p>
    <w:p w:rsidR="003328D1" w:rsidRDefault="004B1D17">
      <w:pPr>
        <w:ind w:left="360"/>
      </w:pPr>
      <w:r>
        <w:t>If a student submits a piece of coursework late (without an approved extension)</w:t>
      </w:r>
      <w:r w:rsidR="00F8208A">
        <w:t xml:space="preserve"> </w:t>
      </w:r>
      <w:r>
        <w:t xml:space="preserve">it will be subject to a penalty in accordance with the University’s </w:t>
      </w:r>
      <w:hyperlink r:id="rId10" w:history="1">
        <w:r>
          <w:rPr>
            <w:rStyle w:val="Hyperlink"/>
          </w:rPr>
          <w:t>Late Submission Policy</w:t>
        </w:r>
      </w:hyperlink>
      <w:r>
        <w:t>.  The coursework should be marked as normal and the penalty applied once the fixed percentage point from the reduced scale stepped marking scale has been determined.  The final mark, after deducting the penalty, does not need to be one of the fixed percentage points on the scale.</w:t>
      </w:r>
    </w:p>
    <w:p w:rsidR="003328D1" w:rsidRDefault="004B1D17">
      <w:pPr>
        <w:pStyle w:val="ListParagraph"/>
        <w:numPr>
          <w:ilvl w:val="0"/>
          <w:numId w:val="2"/>
        </w:numPr>
        <w:rPr>
          <w:b/>
        </w:rPr>
      </w:pPr>
      <w:r>
        <w:rPr>
          <w:b/>
        </w:rPr>
        <w:t>How does moderation work with the reduced scale stepped marking?</w:t>
      </w:r>
    </w:p>
    <w:p w:rsidR="003328D1" w:rsidRDefault="004B1D17">
      <w:pPr>
        <w:ind w:left="360"/>
      </w:pPr>
      <w:r>
        <w:t xml:space="preserve">The role of the moderator is to sample marked assessment to ensure that the marking is appropriate, regardless of the scale being used (reduced scale stepped marking, 0-100%, pass/fail).  </w:t>
      </w:r>
    </w:p>
    <w:p w:rsidR="003328D1" w:rsidRDefault="004B1D17">
      <w:pPr>
        <w:pStyle w:val="ListParagraph"/>
        <w:numPr>
          <w:ilvl w:val="0"/>
          <w:numId w:val="2"/>
        </w:numPr>
        <w:rPr>
          <w:b/>
        </w:rPr>
      </w:pPr>
      <w:r>
        <w:rPr>
          <w:b/>
        </w:rPr>
        <w:t>What happens if a student wants to challenge a mark?</w:t>
      </w:r>
    </w:p>
    <w:p w:rsidR="003328D1" w:rsidRDefault="004B1D17">
      <w:pPr>
        <w:ind w:left="360"/>
      </w:pPr>
      <w:r>
        <w:t>Appeals relating to matters of academic judgement are not permitted.  Should a student wish to challenge a mark, academic decision (e.g. approval to progress) or classification result this may only be made on the basis of:</w:t>
      </w:r>
    </w:p>
    <w:p w:rsidR="003328D1" w:rsidRDefault="004B1D17">
      <w:pPr>
        <w:pStyle w:val="ListParagraph"/>
        <w:numPr>
          <w:ilvl w:val="0"/>
          <w:numId w:val="1"/>
        </w:numPr>
      </w:pPr>
      <w:r>
        <w:t>circumstances affecting the student's performance of which, for a credible and compelling reason, the Examination Board or equivalent body may not have been made aware when the decision was taken and which might have had a material effect on the decision;</w:t>
      </w:r>
    </w:p>
    <w:p w:rsidR="003328D1" w:rsidRDefault="004B1D17">
      <w:pPr>
        <w:pStyle w:val="ListParagraph"/>
        <w:numPr>
          <w:ilvl w:val="0"/>
          <w:numId w:val="1"/>
        </w:numPr>
      </w:pPr>
      <w:r>
        <w:t>procedural irregularity;</w:t>
      </w:r>
    </w:p>
    <w:p w:rsidR="003328D1" w:rsidRDefault="004B1D17">
      <w:pPr>
        <w:pStyle w:val="ListParagraph"/>
        <w:numPr>
          <w:ilvl w:val="0"/>
          <w:numId w:val="1"/>
        </w:numPr>
      </w:pPr>
      <w:r>
        <w:t>evidence of prejudice or bias or lack of proper assessment on the part of one or more of the examiners;</w:t>
      </w:r>
    </w:p>
    <w:p w:rsidR="003328D1" w:rsidRDefault="004B1D17">
      <w:pPr>
        <w:pStyle w:val="ListParagraph"/>
        <w:numPr>
          <w:ilvl w:val="0"/>
          <w:numId w:val="1"/>
        </w:numPr>
      </w:pPr>
      <w:r>
        <w:t>that the supervision or training of the student in respect of research for a dissertation or thesis or equivalent work was unsatisfactory to the point that his or her performance was seriously affected.</w:t>
      </w:r>
    </w:p>
    <w:p w:rsidR="003328D1" w:rsidRDefault="003328D1">
      <w:pPr>
        <w:rPr>
          <w:u w:val="single"/>
        </w:rPr>
      </w:pPr>
    </w:p>
    <w:p w:rsidR="003328D1" w:rsidRDefault="004B1D17">
      <w:pPr>
        <w:rPr>
          <w:u w:val="single"/>
        </w:rPr>
      </w:pPr>
      <w:r>
        <w:rPr>
          <w:u w:val="single"/>
        </w:rPr>
        <w:br w:type="page"/>
      </w:r>
    </w:p>
    <w:p w:rsidR="00CE50C7" w:rsidRDefault="00CE50C7" w:rsidP="00CE50C7">
      <w:pPr>
        <w:jc w:val="center"/>
        <w:rPr>
          <w:sz w:val="24"/>
          <w:szCs w:val="24"/>
        </w:rPr>
      </w:pPr>
      <w:r>
        <w:rPr>
          <w:b/>
          <w:sz w:val="24"/>
          <w:szCs w:val="24"/>
        </w:rPr>
        <w:t>Appendix 1: Undergraduate reduced scale stepped marking points</w:t>
      </w:r>
    </w:p>
    <w:tbl>
      <w:tblPr>
        <w:tblStyle w:val="TableGrid"/>
        <w:tblW w:w="0" w:type="auto"/>
        <w:tblLook w:val="04A0" w:firstRow="1" w:lastRow="0" w:firstColumn="1" w:lastColumn="0" w:noHBand="0" w:noVBand="1"/>
      </w:tblPr>
      <w:tblGrid>
        <w:gridCol w:w="2235"/>
        <w:gridCol w:w="1134"/>
        <w:gridCol w:w="6237"/>
      </w:tblGrid>
      <w:tr w:rsidR="00CE50C7" w:rsidTr="00CE50C7">
        <w:tc>
          <w:tcPr>
            <w:tcW w:w="2235" w:type="dxa"/>
          </w:tcPr>
          <w:p w:rsidR="00CE50C7" w:rsidRDefault="00CE50C7" w:rsidP="00CE50C7">
            <w:pPr>
              <w:spacing w:line="276" w:lineRule="auto"/>
              <w:rPr>
                <w:b/>
              </w:rPr>
            </w:pPr>
            <w:r>
              <w:rPr>
                <w:b/>
              </w:rPr>
              <w:t>Range / Class</w:t>
            </w:r>
          </w:p>
        </w:tc>
        <w:tc>
          <w:tcPr>
            <w:tcW w:w="1134" w:type="dxa"/>
          </w:tcPr>
          <w:p w:rsidR="00CE50C7" w:rsidRDefault="00CE50C7" w:rsidP="00CE50C7">
            <w:pPr>
              <w:spacing w:line="276" w:lineRule="auto"/>
              <w:rPr>
                <w:b/>
              </w:rPr>
            </w:pPr>
            <w:r>
              <w:rPr>
                <w:b/>
              </w:rPr>
              <w:t>Fixed %</w:t>
            </w:r>
          </w:p>
        </w:tc>
        <w:tc>
          <w:tcPr>
            <w:tcW w:w="6237" w:type="dxa"/>
          </w:tcPr>
          <w:p w:rsidR="00CE50C7" w:rsidRDefault="00CE50C7" w:rsidP="00CE50C7">
            <w:pPr>
              <w:spacing w:line="276" w:lineRule="auto"/>
              <w:rPr>
                <w:b/>
              </w:rPr>
            </w:pPr>
            <w:r>
              <w:rPr>
                <w:b/>
              </w:rPr>
              <w:t>School / discipline grade descriptor (to be inserted)</w:t>
            </w:r>
          </w:p>
        </w:tc>
      </w:tr>
      <w:tr w:rsidR="00CE50C7" w:rsidTr="00CE50C7">
        <w:tc>
          <w:tcPr>
            <w:tcW w:w="2235" w:type="dxa"/>
            <w:vMerge w:val="restart"/>
          </w:tcPr>
          <w:p w:rsidR="00CE50C7" w:rsidRDefault="00CE50C7" w:rsidP="00CE50C7">
            <w:pPr>
              <w:spacing w:line="276" w:lineRule="auto"/>
            </w:pPr>
            <w:r>
              <w:t>Upper-range First</w:t>
            </w:r>
          </w:p>
        </w:tc>
        <w:tc>
          <w:tcPr>
            <w:tcW w:w="1134" w:type="dxa"/>
          </w:tcPr>
          <w:p w:rsidR="00CE50C7" w:rsidRDefault="00CE50C7" w:rsidP="00CE50C7">
            <w:pPr>
              <w:spacing w:line="276" w:lineRule="auto"/>
            </w:pPr>
            <w:r>
              <w:t>100</w:t>
            </w:r>
          </w:p>
        </w:tc>
        <w:tc>
          <w:tcPr>
            <w:tcW w:w="6237" w:type="dxa"/>
          </w:tcPr>
          <w:p w:rsidR="00CE50C7" w:rsidRDefault="00CE50C7" w:rsidP="00CE50C7">
            <w:pPr>
              <w:spacing w:line="276" w:lineRule="auto"/>
            </w:pPr>
          </w:p>
        </w:tc>
      </w:tr>
      <w:tr w:rsidR="00CE50C7" w:rsidTr="00CE50C7">
        <w:tc>
          <w:tcPr>
            <w:tcW w:w="2235" w:type="dxa"/>
            <w:vMerge/>
          </w:tcPr>
          <w:p w:rsidR="00CE50C7" w:rsidRDefault="00CE50C7" w:rsidP="00CE50C7">
            <w:pPr>
              <w:spacing w:line="276" w:lineRule="auto"/>
            </w:pPr>
          </w:p>
        </w:tc>
        <w:tc>
          <w:tcPr>
            <w:tcW w:w="1134" w:type="dxa"/>
          </w:tcPr>
          <w:p w:rsidR="00CE50C7" w:rsidRDefault="00CE50C7" w:rsidP="00CE50C7">
            <w:pPr>
              <w:spacing w:line="276" w:lineRule="auto"/>
            </w:pPr>
            <w:r>
              <w:t>95</w:t>
            </w:r>
          </w:p>
        </w:tc>
        <w:tc>
          <w:tcPr>
            <w:tcW w:w="6237" w:type="dxa"/>
          </w:tcPr>
          <w:p w:rsidR="00CE50C7" w:rsidRDefault="00CE50C7" w:rsidP="00CE50C7">
            <w:pPr>
              <w:spacing w:line="276" w:lineRule="auto"/>
            </w:pPr>
          </w:p>
        </w:tc>
      </w:tr>
      <w:tr w:rsidR="00CE50C7" w:rsidTr="00CE50C7">
        <w:tc>
          <w:tcPr>
            <w:tcW w:w="2235" w:type="dxa"/>
            <w:vMerge/>
          </w:tcPr>
          <w:p w:rsidR="00CE50C7" w:rsidRDefault="00CE50C7" w:rsidP="00CE50C7">
            <w:pPr>
              <w:spacing w:line="276" w:lineRule="auto"/>
            </w:pPr>
          </w:p>
        </w:tc>
        <w:tc>
          <w:tcPr>
            <w:tcW w:w="1134" w:type="dxa"/>
          </w:tcPr>
          <w:p w:rsidR="00CE50C7" w:rsidRDefault="00CE50C7" w:rsidP="00CE50C7">
            <w:pPr>
              <w:spacing w:line="276" w:lineRule="auto"/>
            </w:pPr>
            <w:r>
              <w:t>92</w:t>
            </w:r>
          </w:p>
        </w:tc>
        <w:tc>
          <w:tcPr>
            <w:tcW w:w="6237" w:type="dxa"/>
          </w:tcPr>
          <w:p w:rsidR="00CE50C7" w:rsidRDefault="00CE50C7" w:rsidP="00CE50C7">
            <w:pPr>
              <w:spacing w:line="276" w:lineRule="auto"/>
            </w:pPr>
          </w:p>
        </w:tc>
      </w:tr>
      <w:tr w:rsidR="00CE50C7" w:rsidTr="00CE50C7">
        <w:tc>
          <w:tcPr>
            <w:tcW w:w="2235" w:type="dxa"/>
            <w:vMerge w:val="restart"/>
          </w:tcPr>
          <w:p w:rsidR="00CE50C7" w:rsidRDefault="00CE50C7" w:rsidP="00CE50C7">
            <w:pPr>
              <w:spacing w:line="276" w:lineRule="auto"/>
            </w:pPr>
            <w:r>
              <w:t>Mid-range First</w:t>
            </w:r>
          </w:p>
        </w:tc>
        <w:tc>
          <w:tcPr>
            <w:tcW w:w="1134" w:type="dxa"/>
          </w:tcPr>
          <w:p w:rsidR="00CE50C7" w:rsidRDefault="00CE50C7" w:rsidP="00CE50C7">
            <w:pPr>
              <w:spacing w:line="276" w:lineRule="auto"/>
            </w:pPr>
            <w:r>
              <w:t>88</w:t>
            </w:r>
          </w:p>
        </w:tc>
        <w:tc>
          <w:tcPr>
            <w:tcW w:w="6237" w:type="dxa"/>
          </w:tcPr>
          <w:p w:rsidR="00CE50C7" w:rsidRDefault="00CE50C7" w:rsidP="00CE50C7">
            <w:pPr>
              <w:spacing w:line="276" w:lineRule="auto"/>
            </w:pPr>
          </w:p>
        </w:tc>
      </w:tr>
      <w:tr w:rsidR="00CE50C7" w:rsidTr="00CE50C7">
        <w:tc>
          <w:tcPr>
            <w:tcW w:w="2235" w:type="dxa"/>
            <w:vMerge/>
          </w:tcPr>
          <w:p w:rsidR="00CE50C7" w:rsidRDefault="00CE50C7" w:rsidP="00CE50C7">
            <w:pPr>
              <w:spacing w:line="276" w:lineRule="auto"/>
            </w:pPr>
          </w:p>
        </w:tc>
        <w:tc>
          <w:tcPr>
            <w:tcW w:w="1134" w:type="dxa"/>
          </w:tcPr>
          <w:p w:rsidR="00CE50C7" w:rsidRDefault="00CE50C7" w:rsidP="00CE50C7">
            <w:pPr>
              <w:spacing w:line="276" w:lineRule="auto"/>
            </w:pPr>
            <w:r>
              <w:t>85</w:t>
            </w:r>
          </w:p>
        </w:tc>
        <w:tc>
          <w:tcPr>
            <w:tcW w:w="6237" w:type="dxa"/>
          </w:tcPr>
          <w:p w:rsidR="00CE50C7" w:rsidRDefault="00CE50C7" w:rsidP="00CE50C7">
            <w:pPr>
              <w:spacing w:line="276" w:lineRule="auto"/>
            </w:pPr>
          </w:p>
        </w:tc>
      </w:tr>
      <w:tr w:rsidR="00CE50C7" w:rsidTr="00CE50C7">
        <w:tc>
          <w:tcPr>
            <w:tcW w:w="2235" w:type="dxa"/>
            <w:vMerge/>
          </w:tcPr>
          <w:p w:rsidR="00CE50C7" w:rsidRDefault="00CE50C7" w:rsidP="00CE50C7">
            <w:pPr>
              <w:spacing w:line="276" w:lineRule="auto"/>
            </w:pPr>
          </w:p>
        </w:tc>
        <w:tc>
          <w:tcPr>
            <w:tcW w:w="1134" w:type="dxa"/>
          </w:tcPr>
          <w:p w:rsidR="00CE50C7" w:rsidRDefault="00CE50C7" w:rsidP="00CE50C7">
            <w:pPr>
              <w:spacing w:line="276" w:lineRule="auto"/>
            </w:pPr>
            <w:r>
              <w:t>82</w:t>
            </w:r>
          </w:p>
        </w:tc>
        <w:tc>
          <w:tcPr>
            <w:tcW w:w="6237" w:type="dxa"/>
          </w:tcPr>
          <w:p w:rsidR="00CE50C7" w:rsidRDefault="00CE50C7" w:rsidP="00CE50C7">
            <w:pPr>
              <w:spacing w:line="276" w:lineRule="auto"/>
            </w:pPr>
          </w:p>
        </w:tc>
      </w:tr>
      <w:tr w:rsidR="00CE50C7" w:rsidTr="00CE50C7">
        <w:tc>
          <w:tcPr>
            <w:tcW w:w="2235" w:type="dxa"/>
            <w:vMerge w:val="restart"/>
          </w:tcPr>
          <w:p w:rsidR="00CE50C7" w:rsidRDefault="00CE50C7" w:rsidP="00CE50C7">
            <w:pPr>
              <w:spacing w:line="276" w:lineRule="auto"/>
            </w:pPr>
            <w:r>
              <w:t>Lower-range First</w:t>
            </w:r>
          </w:p>
        </w:tc>
        <w:tc>
          <w:tcPr>
            <w:tcW w:w="1134" w:type="dxa"/>
          </w:tcPr>
          <w:p w:rsidR="00CE50C7" w:rsidRDefault="00CE50C7" w:rsidP="00CE50C7">
            <w:pPr>
              <w:spacing w:line="276" w:lineRule="auto"/>
            </w:pPr>
            <w:r>
              <w:t>78</w:t>
            </w:r>
          </w:p>
        </w:tc>
        <w:tc>
          <w:tcPr>
            <w:tcW w:w="6237" w:type="dxa"/>
          </w:tcPr>
          <w:p w:rsidR="00CE50C7" w:rsidRDefault="00CE50C7" w:rsidP="00CE50C7">
            <w:pPr>
              <w:spacing w:line="276" w:lineRule="auto"/>
            </w:pPr>
          </w:p>
        </w:tc>
      </w:tr>
      <w:tr w:rsidR="00CE50C7" w:rsidTr="00CE50C7">
        <w:tc>
          <w:tcPr>
            <w:tcW w:w="2235" w:type="dxa"/>
            <w:vMerge/>
          </w:tcPr>
          <w:p w:rsidR="00CE50C7" w:rsidRDefault="00CE50C7" w:rsidP="00CE50C7">
            <w:pPr>
              <w:spacing w:line="276" w:lineRule="auto"/>
            </w:pPr>
          </w:p>
        </w:tc>
        <w:tc>
          <w:tcPr>
            <w:tcW w:w="1134" w:type="dxa"/>
          </w:tcPr>
          <w:p w:rsidR="00CE50C7" w:rsidRDefault="00CE50C7" w:rsidP="00CE50C7">
            <w:pPr>
              <w:spacing w:line="276" w:lineRule="auto"/>
            </w:pPr>
            <w:r>
              <w:t>75</w:t>
            </w:r>
          </w:p>
        </w:tc>
        <w:tc>
          <w:tcPr>
            <w:tcW w:w="6237" w:type="dxa"/>
          </w:tcPr>
          <w:p w:rsidR="00CE50C7" w:rsidRDefault="00CE50C7" w:rsidP="00CE50C7">
            <w:pPr>
              <w:spacing w:line="276" w:lineRule="auto"/>
            </w:pPr>
          </w:p>
        </w:tc>
      </w:tr>
      <w:tr w:rsidR="00CE50C7" w:rsidTr="00CE50C7">
        <w:tc>
          <w:tcPr>
            <w:tcW w:w="2235" w:type="dxa"/>
            <w:vMerge/>
          </w:tcPr>
          <w:p w:rsidR="00CE50C7" w:rsidRDefault="00CE50C7" w:rsidP="00CE50C7">
            <w:pPr>
              <w:spacing w:line="276" w:lineRule="auto"/>
            </w:pPr>
          </w:p>
        </w:tc>
        <w:tc>
          <w:tcPr>
            <w:tcW w:w="1134" w:type="dxa"/>
          </w:tcPr>
          <w:p w:rsidR="00CE50C7" w:rsidRDefault="00CE50C7" w:rsidP="00CE50C7">
            <w:pPr>
              <w:spacing w:line="276" w:lineRule="auto"/>
            </w:pPr>
            <w:r>
              <w:t>72</w:t>
            </w:r>
          </w:p>
        </w:tc>
        <w:tc>
          <w:tcPr>
            <w:tcW w:w="6237" w:type="dxa"/>
          </w:tcPr>
          <w:p w:rsidR="00CE50C7" w:rsidRDefault="00CE50C7" w:rsidP="00CE50C7">
            <w:pPr>
              <w:spacing w:line="276" w:lineRule="auto"/>
            </w:pPr>
          </w:p>
        </w:tc>
      </w:tr>
      <w:tr w:rsidR="00CE50C7" w:rsidTr="00CE50C7">
        <w:tc>
          <w:tcPr>
            <w:tcW w:w="2235" w:type="dxa"/>
          </w:tcPr>
          <w:p w:rsidR="00CE50C7" w:rsidRDefault="00CE50C7" w:rsidP="00CE50C7">
            <w:pPr>
              <w:spacing w:line="276" w:lineRule="auto"/>
            </w:pPr>
            <w:r>
              <w:t>Upper-range 2.1</w:t>
            </w:r>
          </w:p>
        </w:tc>
        <w:tc>
          <w:tcPr>
            <w:tcW w:w="1134" w:type="dxa"/>
          </w:tcPr>
          <w:p w:rsidR="00CE50C7" w:rsidRDefault="00CE50C7" w:rsidP="00CE50C7">
            <w:pPr>
              <w:spacing w:line="276" w:lineRule="auto"/>
            </w:pPr>
            <w:r>
              <w:t>68</w:t>
            </w:r>
          </w:p>
        </w:tc>
        <w:tc>
          <w:tcPr>
            <w:tcW w:w="6237" w:type="dxa"/>
          </w:tcPr>
          <w:p w:rsidR="00CE50C7" w:rsidRDefault="00CE50C7" w:rsidP="00CE50C7">
            <w:pPr>
              <w:spacing w:line="276" w:lineRule="auto"/>
            </w:pPr>
          </w:p>
        </w:tc>
      </w:tr>
      <w:tr w:rsidR="00CE50C7" w:rsidTr="00CE50C7">
        <w:tc>
          <w:tcPr>
            <w:tcW w:w="2235" w:type="dxa"/>
          </w:tcPr>
          <w:p w:rsidR="00CE50C7" w:rsidRDefault="00CE50C7" w:rsidP="00CE50C7">
            <w:pPr>
              <w:spacing w:line="276" w:lineRule="auto"/>
            </w:pPr>
            <w:r>
              <w:t>Mid-range 2.1</w:t>
            </w:r>
          </w:p>
        </w:tc>
        <w:tc>
          <w:tcPr>
            <w:tcW w:w="1134" w:type="dxa"/>
          </w:tcPr>
          <w:p w:rsidR="00CE50C7" w:rsidRDefault="00CE50C7" w:rsidP="00CE50C7">
            <w:pPr>
              <w:spacing w:line="276" w:lineRule="auto"/>
            </w:pPr>
            <w:r>
              <w:t>65</w:t>
            </w:r>
          </w:p>
        </w:tc>
        <w:tc>
          <w:tcPr>
            <w:tcW w:w="6237" w:type="dxa"/>
          </w:tcPr>
          <w:p w:rsidR="00CE50C7" w:rsidRDefault="00CE50C7" w:rsidP="00CE50C7">
            <w:pPr>
              <w:spacing w:line="276" w:lineRule="auto"/>
            </w:pPr>
          </w:p>
        </w:tc>
      </w:tr>
      <w:tr w:rsidR="00CE50C7" w:rsidTr="00CE50C7">
        <w:tc>
          <w:tcPr>
            <w:tcW w:w="2235" w:type="dxa"/>
          </w:tcPr>
          <w:p w:rsidR="00CE50C7" w:rsidRDefault="00CE50C7" w:rsidP="00CE50C7">
            <w:pPr>
              <w:spacing w:line="276" w:lineRule="auto"/>
            </w:pPr>
            <w:r>
              <w:t>Lower-range 2.1</w:t>
            </w:r>
          </w:p>
        </w:tc>
        <w:tc>
          <w:tcPr>
            <w:tcW w:w="1134" w:type="dxa"/>
          </w:tcPr>
          <w:p w:rsidR="00CE50C7" w:rsidRDefault="00CE50C7" w:rsidP="00CE50C7">
            <w:pPr>
              <w:spacing w:line="276" w:lineRule="auto"/>
            </w:pPr>
            <w:r>
              <w:t>62</w:t>
            </w:r>
          </w:p>
        </w:tc>
        <w:tc>
          <w:tcPr>
            <w:tcW w:w="6237" w:type="dxa"/>
          </w:tcPr>
          <w:p w:rsidR="00CE50C7" w:rsidRDefault="00CE50C7" w:rsidP="00CE50C7">
            <w:pPr>
              <w:spacing w:line="276" w:lineRule="auto"/>
            </w:pPr>
          </w:p>
        </w:tc>
      </w:tr>
      <w:tr w:rsidR="00CE50C7" w:rsidTr="00CE50C7">
        <w:tc>
          <w:tcPr>
            <w:tcW w:w="2235" w:type="dxa"/>
          </w:tcPr>
          <w:p w:rsidR="00CE50C7" w:rsidRDefault="00CE50C7" w:rsidP="00CE50C7">
            <w:pPr>
              <w:spacing w:line="276" w:lineRule="auto"/>
            </w:pPr>
            <w:r>
              <w:t>Upper-range 2.2</w:t>
            </w:r>
          </w:p>
        </w:tc>
        <w:tc>
          <w:tcPr>
            <w:tcW w:w="1134" w:type="dxa"/>
          </w:tcPr>
          <w:p w:rsidR="00CE50C7" w:rsidRDefault="00CE50C7" w:rsidP="00CE50C7">
            <w:pPr>
              <w:spacing w:line="276" w:lineRule="auto"/>
            </w:pPr>
            <w:r>
              <w:t>58</w:t>
            </w:r>
          </w:p>
        </w:tc>
        <w:tc>
          <w:tcPr>
            <w:tcW w:w="6237" w:type="dxa"/>
          </w:tcPr>
          <w:p w:rsidR="00CE50C7" w:rsidRDefault="00CE50C7" w:rsidP="00CE50C7">
            <w:pPr>
              <w:spacing w:line="276" w:lineRule="auto"/>
            </w:pPr>
          </w:p>
        </w:tc>
      </w:tr>
      <w:tr w:rsidR="00CE50C7" w:rsidTr="00CE50C7">
        <w:tc>
          <w:tcPr>
            <w:tcW w:w="2235" w:type="dxa"/>
          </w:tcPr>
          <w:p w:rsidR="00CE50C7" w:rsidRDefault="00CE50C7" w:rsidP="00CE50C7">
            <w:pPr>
              <w:spacing w:line="276" w:lineRule="auto"/>
            </w:pPr>
            <w:r>
              <w:t>Mid-range 2.2</w:t>
            </w:r>
          </w:p>
        </w:tc>
        <w:tc>
          <w:tcPr>
            <w:tcW w:w="1134" w:type="dxa"/>
          </w:tcPr>
          <w:p w:rsidR="00CE50C7" w:rsidRDefault="00CE50C7" w:rsidP="00CE50C7">
            <w:pPr>
              <w:spacing w:line="276" w:lineRule="auto"/>
            </w:pPr>
            <w:r>
              <w:t>55</w:t>
            </w:r>
          </w:p>
        </w:tc>
        <w:tc>
          <w:tcPr>
            <w:tcW w:w="6237" w:type="dxa"/>
          </w:tcPr>
          <w:p w:rsidR="00CE50C7" w:rsidRDefault="00CE50C7" w:rsidP="00CE50C7">
            <w:pPr>
              <w:spacing w:line="276" w:lineRule="auto"/>
            </w:pPr>
          </w:p>
        </w:tc>
      </w:tr>
      <w:tr w:rsidR="00CE50C7" w:rsidTr="00CE50C7">
        <w:tc>
          <w:tcPr>
            <w:tcW w:w="2235" w:type="dxa"/>
          </w:tcPr>
          <w:p w:rsidR="00CE50C7" w:rsidRDefault="00CE50C7" w:rsidP="00CE50C7">
            <w:pPr>
              <w:spacing w:line="276" w:lineRule="auto"/>
            </w:pPr>
            <w:r>
              <w:t>Lower-range 2.2</w:t>
            </w:r>
          </w:p>
        </w:tc>
        <w:tc>
          <w:tcPr>
            <w:tcW w:w="1134" w:type="dxa"/>
          </w:tcPr>
          <w:p w:rsidR="00CE50C7" w:rsidRDefault="00CE50C7" w:rsidP="00CE50C7">
            <w:pPr>
              <w:spacing w:line="276" w:lineRule="auto"/>
            </w:pPr>
            <w:r>
              <w:t>52</w:t>
            </w:r>
          </w:p>
        </w:tc>
        <w:tc>
          <w:tcPr>
            <w:tcW w:w="6237" w:type="dxa"/>
          </w:tcPr>
          <w:p w:rsidR="00CE50C7" w:rsidRDefault="00CE50C7" w:rsidP="00CE50C7">
            <w:pPr>
              <w:spacing w:line="276" w:lineRule="auto"/>
            </w:pPr>
          </w:p>
        </w:tc>
      </w:tr>
      <w:tr w:rsidR="00CE50C7" w:rsidTr="00CE50C7">
        <w:tc>
          <w:tcPr>
            <w:tcW w:w="2235" w:type="dxa"/>
          </w:tcPr>
          <w:p w:rsidR="00CE50C7" w:rsidRDefault="00CE50C7" w:rsidP="00CE50C7">
            <w:pPr>
              <w:spacing w:line="276" w:lineRule="auto"/>
            </w:pPr>
            <w:r>
              <w:t>Upper-range Third</w:t>
            </w:r>
          </w:p>
        </w:tc>
        <w:tc>
          <w:tcPr>
            <w:tcW w:w="1134" w:type="dxa"/>
          </w:tcPr>
          <w:p w:rsidR="00CE50C7" w:rsidRDefault="00CE50C7" w:rsidP="00CE50C7">
            <w:pPr>
              <w:spacing w:line="276" w:lineRule="auto"/>
            </w:pPr>
            <w:r>
              <w:t>48</w:t>
            </w:r>
          </w:p>
        </w:tc>
        <w:tc>
          <w:tcPr>
            <w:tcW w:w="6237" w:type="dxa"/>
          </w:tcPr>
          <w:p w:rsidR="00CE50C7" w:rsidRDefault="00CE50C7" w:rsidP="00CE50C7">
            <w:pPr>
              <w:spacing w:line="276" w:lineRule="auto"/>
            </w:pPr>
          </w:p>
        </w:tc>
      </w:tr>
      <w:tr w:rsidR="00CE50C7" w:rsidTr="00CE50C7">
        <w:tc>
          <w:tcPr>
            <w:tcW w:w="2235" w:type="dxa"/>
          </w:tcPr>
          <w:p w:rsidR="00CE50C7" w:rsidRDefault="00CE50C7" w:rsidP="00CE50C7">
            <w:pPr>
              <w:spacing w:line="276" w:lineRule="auto"/>
            </w:pPr>
            <w:r>
              <w:t>Mid-range Third</w:t>
            </w:r>
          </w:p>
        </w:tc>
        <w:tc>
          <w:tcPr>
            <w:tcW w:w="1134" w:type="dxa"/>
          </w:tcPr>
          <w:p w:rsidR="00CE50C7" w:rsidRDefault="00CE50C7" w:rsidP="00CE50C7">
            <w:pPr>
              <w:spacing w:line="276" w:lineRule="auto"/>
            </w:pPr>
            <w:r>
              <w:t>45</w:t>
            </w:r>
          </w:p>
        </w:tc>
        <w:tc>
          <w:tcPr>
            <w:tcW w:w="6237" w:type="dxa"/>
          </w:tcPr>
          <w:p w:rsidR="00CE50C7" w:rsidRDefault="00CE50C7" w:rsidP="00CE50C7">
            <w:pPr>
              <w:spacing w:line="276" w:lineRule="auto"/>
            </w:pPr>
          </w:p>
        </w:tc>
      </w:tr>
      <w:tr w:rsidR="00CE50C7" w:rsidTr="00CE50C7">
        <w:tc>
          <w:tcPr>
            <w:tcW w:w="2235" w:type="dxa"/>
          </w:tcPr>
          <w:p w:rsidR="00CE50C7" w:rsidRDefault="00CE50C7" w:rsidP="00CE50C7">
            <w:pPr>
              <w:spacing w:line="276" w:lineRule="auto"/>
            </w:pPr>
            <w:r>
              <w:t>Lower-range Third</w:t>
            </w:r>
          </w:p>
        </w:tc>
        <w:tc>
          <w:tcPr>
            <w:tcW w:w="1134" w:type="dxa"/>
          </w:tcPr>
          <w:p w:rsidR="00CE50C7" w:rsidRDefault="00CE50C7" w:rsidP="00CE50C7">
            <w:pPr>
              <w:spacing w:line="276" w:lineRule="auto"/>
            </w:pPr>
            <w:r>
              <w:t>42</w:t>
            </w:r>
          </w:p>
        </w:tc>
        <w:tc>
          <w:tcPr>
            <w:tcW w:w="6237" w:type="dxa"/>
          </w:tcPr>
          <w:p w:rsidR="00CE50C7" w:rsidRDefault="00CE50C7" w:rsidP="00CE50C7">
            <w:pPr>
              <w:spacing w:line="276" w:lineRule="auto"/>
            </w:pPr>
          </w:p>
        </w:tc>
      </w:tr>
      <w:tr w:rsidR="00CE50C7" w:rsidTr="00CE50C7">
        <w:tc>
          <w:tcPr>
            <w:tcW w:w="2235" w:type="dxa"/>
            <w:vMerge w:val="restart"/>
          </w:tcPr>
          <w:p w:rsidR="00CE50C7" w:rsidRDefault="00CE50C7" w:rsidP="00CE50C7">
            <w:pPr>
              <w:spacing w:line="276" w:lineRule="auto"/>
            </w:pPr>
            <w:r>
              <w:t>Compensatory Fail</w:t>
            </w:r>
          </w:p>
        </w:tc>
        <w:tc>
          <w:tcPr>
            <w:tcW w:w="1134" w:type="dxa"/>
          </w:tcPr>
          <w:p w:rsidR="00CE50C7" w:rsidRDefault="00CE50C7" w:rsidP="00CE50C7">
            <w:pPr>
              <w:spacing w:line="276" w:lineRule="auto"/>
            </w:pPr>
            <w:r>
              <w:t>38</w:t>
            </w:r>
          </w:p>
        </w:tc>
        <w:tc>
          <w:tcPr>
            <w:tcW w:w="6237" w:type="dxa"/>
          </w:tcPr>
          <w:p w:rsidR="00CE50C7" w:rsidRDefault="00CE50C7" w:rsidP="00CE50C7">
            <w:pPr>
              <w:spacing w:line="276" w:lineRule="auto"/>
            </w:pPr>
          </w:p>
        </w:tc>
      </w:tr>
      <w:tr w:rsidR="00CE50C7" w:rsidTr="00CE50C7">
        <w:tc>
          <w:tcPr>
            <w:tcW w:w="2235" w:type="dxa"/>
            <w:vMerge/>
          </w:tcPr>
          <w:p w:rsidR="00CE50C7" w:rsidRDefault="00CE50C7" w:rsidP="00CE50C7">
            <w:pPr>
              <w:spacing w:line="276" w:lineRule="auto"/>
            </w:pPr>
          </w:p>
        </w:tc>
        <w:tc>
          <w:tcPr>
            <w:tcW w:w="1134" w:type="dxa"/>
          </w:tcPr>
          <w:p w:rsidR="00CE50C7" w:rsidRDefault="00CE50C7" w:rsidP="00CE50C7">
            <w:pPr>
              <w:spacing w:line="276" w:lineRule="auto"/>
            </w:pPr>
            <w:r>
              <w:t>35</w:t>
            </w:r>
          </w:p>
        </w:tc>
        <w:tc>
          <w:tcPr>
            <w:tcW w:w="6237" w:type="dxa"/>
          </w:tcPr>
          <w:p w:rsidR="00CE50C7" w:rsidRDefault="00CE50C7" w:rsidP="00CE50C7">
            <w:pPr>
              <w:spacing w:line="276" w:lineRule="auto"/>
            </w:pPr>
          </w:p>
        </w:tc>
      </w:tr>
      <w:tr w:rsidR="00CE50C7" w:rsidTr="00CE50C7">
        <w:tc>
          <w:tcPr>
            <w:tcW w:w="2235" w:type="dxa"/>
            <w:vMerge/>
          </w:tcPr>
          <w:p w:rsidR="00CE50C7" w:rsidRDefault="00CE50C7" w:rsidP="00CE50C7">
            <w:pPr>
              <w:spacing w:line="276" w:lineRule="auto"/>
            </w:pPr>
          </w:p>
        </w:tc>
        <w:tc>
          <w:tcPr>
            <w:tcW w:w="1134" w:type="dxa"/>
          </w:tcPr>
          <w:p w:rsidR="00CE50C7" w:rsidRDefault="00CE50C7" w:rsidP="00CE50C7">
            <w:pPr>
              <w:spacing w:line="276" w:lineRule="auto"/>
            </w:pPr>
            <w:r>
              <w:t>32</w:t>
            </w:r>
          </w:p>
        </w:tc>
        <w:tc>
          <w:tcPr>
            <w:tcW w:w="6237" w:type="dxa"/>
          </w:tcPr>
          <w:p w:rsidR="00CE50C7" w:rsidRDefault="00CE50C7" w:rsidP="00CE50C7">
            <w:pPr>
              <w:spacing w:line="276" w:lineRule="auto"/>
            </w:pPr>
          </w:p>
        </w:tc>
      </w:tr>
      <w:tr w:rsidR="00CE50C7" w:rsidTr="00CE50C7">
        <w:tc>
          <w:tcPr>
            <w:tcW w:w="2235" w:type="dxa"/>
            <w:vMerge w:val="restart"/>
          </w:tcPr>
          <w:p w:rsidR="00CE50C7" w:rsidRDefault="00CE50C7" w:rsidP="00CE50C7">
            <w:pPr>
              <w:spacing w:line="276" w:lineRule="auto"/>
            </w:pPr>
            <w:r>
              <w:t>Fail</w:t>
            </w:r>
          </w:p>
        </w:tc>
        <w:tc>
          <w:tcPr>
            <w:tcW w:w="1134" w:type="dxa"/>
          </w:tcPr>
          <w:p w:rsidR="00CE50C7" w:rsidRDefault="00CE50C7" w:rsidP="00CE50C7">
            <w:pPr>
              <w:spacing w:line="276" w:lineRule="auto"/>
            </w:pPr>
            <w:r>
              <w:t>28</w:t>
            </w:r>
          </w:p>
        </w:tc>
        <w:tc>
          <w:tcPr>
            <w:tcW w:w="6237" w:type="dxa"/>
          </w:tcPr>
          <w:p w:rsidR="00CE50C7" w:rsidRDefault="00CE50C7" w:rsidP="00CE50C7">
            <w:pPr>
              <w:spacing w:line="276" w:lineRule="auto"/>
            </w:pPr>
          </w:p>
        </w:tc>
      </w:tr>
      <w:tr w:rsidR="00CE50C7" w:rsidTr="00CE50C7">
        <w:tc>
          <w:tcPr>
            <w:tcW w:w="2235" w:type="dxa"/>
            <w:vMerge/>
          </w:tcPr>
          <w:p w:rsidR="00CE50C7" w:rsidRDefault="00CE50C7" w:rsidP="00CE50C7">
            <w:pPr>
              <w:spacing w:line="276" w:lineRule="auto"/>
            </w:pPr>
          </w:p>
        </w:tc>
        <w:tc>
          <w:tcPr>
            <w:tcW w:w="1134" w:type="dxa"/>
          </w:tcPr>
          <w:p w:rsidR="00CE50C7" w:rsidRDefault="00CE50C7" w:rsidP="00CE50C7">
            <w:pPr>
              <w:spacing w:line="276" w:lineRule="auto"/>
            </w:pPr>
            <w:r>
              <w:t>25</w:t>
            </w:r>
          </w:p>
        </w:tc>
        <w:tc>
          <w:tcPr>
            <w:tcW w:w="6237" w:type="dxa"/>
          </w:tcPr>
          <w:p w:rsidR="00CE50C7" w:rsidRDefault="00CE50C7" w:rsidP="00CE50C7">
            <w:pPr>
              <w:spacing w:line="276" w:lineRule="auto"/>
            </w:pPr>
          </w:p>
        </w:tc>
      </w:tr>
      <w:tr w:rsidR="00CE50C7" w:rsidTr="00CE50C7">
        <w:tc>
          <w:tcPr>
            <w:tcW w:w="2235" w:type="dxa"/>
            <w:vMerge/>
          </w:tcPr>
          <w:p w:rsidR="00CE50C7" w:rsidRDefault="00CE50C7" w:rsidP="00CE50C7">
            <w:pPr>
              <w:spacing w:line="276" w:lineRule="auto"/>
            </w:pPr>
          </w:p>
        </w:tc>
        <w:tc>
          <w:tcPr>
            <w:tcW w:w="1134" w:type="dxa"/>
          </w:tcPr>
          <w:p w:rsidR="00CE50C7" w:rsidRDefault="00CE50C7" w:rsidP="00CE50C7">
            <w:pPr>
              <w:spacing w:line="276" w:lineRule="auto"/>
            </w:pPr>
            <w:r>
              <w:t>22</w:t>
            </w:r>
          </w:p>
        </w:tc>
        <w:tc>
          <w:tcPr>
            <w:tcW w:w="6237" w:type="dxa"/>
          </w:tcPr>
          <w:p w:rsidR="00CE50C7" w:rsidRDefault="00CE50C7" w:rsidP="00CE50C7">
            <w:pPr>
              <w:spacing w:line="276" w:lineRule="auto"/>
            </w:pPr>
          </w:p>
        </w:tc>
      </w:tr>
      <w:tr w:rsidR="00CE50C7" w:rsidTr="00CE50C7">
        <w:tc>
          <w:tcPr>
            <w:tcW w:w="2235" w:type="dxa"/>
          </w:tcPr>
          <w:p w:rsidR="00CE50C7" w:rsidRDefault="00CE50C7" w:rsidP="00CE50C7">
            <w:pPr>
              <w:spacing w:line="276" w:lineRule="auto"/>
            </w:pPr>
            <w:r>
              <w:t>Fail</w:t>
            </w:r>
          </w:p>
        </w:tc>
        <w:tc>
          <w:tcPr>
            <w:tcW w:w="1134" w:type="dxa"/>
          </w:tcPr>
          <w:p w:rsidR="00CE50C7" w:rsidRDefault="00CE50C7" w:rsidP="00CE50C7">
            <w:pPr>
              <w:spacing w:line="276" w:lineRule="auto"/>
            </w:pPr>
            <w:r>
              <w:t>15</w:t>
            </w:r>
          </w:p>
        </w:tc>
        <w:tc>
          <w:tcPr>
            <w:tcW w:w="6237" w:type="dxa"/>
          </w:tcPr>
          <w:p w:rsidR="00CE50C7" w:rsidRDefault="00CE50C7" w:rsidP="00CE50C7">
            <w:pPr>
              <w:spacing w:line="276" w:lineRule="auto"/>
            </w:pPr>
          </w:p>
        </w:tc>
      </w:tr>
      <w:tr w:rsidR="00CE50C7" w:rsidTr="00CE50C7">
        <w:tc>
          <w:tcPr>
            <w:tcW w:w="2235" w:type="dxa"/>
          </w:tcPr>
          <w:p w:rsidR="00CE50C7" w:rsidRDefault="00CE50C7" w:rsidP="00CE50C7">
            <w:pPr>
              <w:spacing w:line="276" w:lineRule="auto"/>
            </w:pPr>
            <w:r>
              <w:t>Fail</w:t>
            </w:r>
          </w:p>
        </w:tc>
        <w:tc>
          <w:tcPr>
            <w:tcW w:w="1134" w:type="dxa"/>
          </w:tcPr>
          <w:p w:rsidR="00CE50C7" w:rsidRDefault="00CE50C7" w:rsidP="00CE50C7">
            <w:pPr>
              <w:spacing w:line="276" w:lineRule="auto"/>
            </w:pPr>
            <w:r>
              <w:t>5</w:t>
            </w:r>
          </w:p>
        </w:tc>
        <w:tc>
          <w:tcPr>
            <w:tcW w:w="6237" w:type="dxa"/>
          </w:tcPr>
          <w:p w:rsidR="00CE50C7" w:rsidRDefault="00CE50C7" w:rsidP="00CE50C7">
            <w:pPr>
              <w:spacing w:line="276" w:lineRule="auto"/>
            </w:pPr>
          </w:p>
        </w:tc>
      </w:tr>
      <w:tr w:rsidR="00CE50C7" w:rsidTr="00CE50C7">
        <w:tc>
          <w:tcPr>
            <w:tcW w:w="2235" w:type="dxa"/>
          </w:tcPr>
          <w:p w:rsidR="00CE50C7" w:rsidRDefault="00CE50C7" w:rsidP="00CE50C7">
            <w:pPr>
              <w:spacing w:line="276" w:lineRule="auto"/>
            </w:pPr>
            <w:r>
              <w:t>Fail</w:t>
            </w:r>
          </w:p>
        </w:tc>
        <w:tc>
          <w:tcPr>
            <w:tcW w:w="1134" w:type="dxa"/>
          </w:tcPr>
          <w:p w:rsidR="00CE50C7" w:rsidRDefault="00CE50C7" w:rsidP="00CE50C7">
            <w:pPr>
              <w:spacing w:line="276" w:lineRule="auto"/>
            </w:pPr>
            <w:r>
              <w:t>0</w:t>
            </w:r>
          </w:p>
        </w:tc>
        <w:tc>
          <w:tcPr>
            <w:tcW w:w="6237" w:type="dxa"/>
          </w:tcPr>
          <w:p w:rsidR="00CE50C7" w:rsidRDefault="00CE50C7" w:rsidP="00CE50C7">
            <w:pPr>
              <w:spacing w:line="276" w:lineRule="auto"/>
            </w:pPr>
          </w:p>
        </w:tc>
      </w:tr>
    </w:tbl>
    <w:p w:rsidR="00CE50C7" w:rsidRDefault="00CE50C7" w:rsidP="00CE50C7">
      <w:pPr>
        <w:rPr>
          <w:u w:val="single"/>
        </w:rPr>
      </w:pPr>
    </w:p>
    <w:p w:rsidR="00CE50C7" w:rsidRDefault="00CE50C7" w:rsidP="00D81022"/>
    <w:p w:rsidR="00CE50C7" w:rsidRDefault="00CE50C7" w:rsidP="00D81022"/>
    <w:p w:rsidR="00CE50C7" w:rsidRDefault="00CE50C7" w:rsidP="00D81022"/>
    <w:p w:rsidR="00CE50C7" w:rsidRDefault="00CE50C7" w:rsidP="00D81022"/>
    <w:p w:rsidR="00CE50C7" w:rsidRDefault="00CE50C7" w:rsidP="00D81022"/>
    <w:p w:rsidR="00CE50C7" w:rsidRDefault="00CE50C7" w:rsidP="00D81022"/>
    <w:p w:rsidR="00CE50C7" w:rsidRDefault="00CE50C7" w:rsidP="00D81022"/>
    <w:p w:rsidR="00CE50C7" w:rsidRDefault="00CE50C7" w:rsidP="00D81022"/>
    <w:p w:rsidR="00CE50C7" w:rsidRDefault="00CE50C7" w:rsidP="00CE50C7">
      <w:pPr>
        <w:jc w:val="center"/>
        <w:rPr>
          <w:b/>
          <w:sz w:val="24"/>
          <w:szCs w:val="24"/>
        </w:rPr>
      </w:pPr>
      <w:r>
        <w:rPr>
          <w:b/>
          <w:sz w:val="24"/>
          <w:szCs w:val="24"/>
        </w:rPr>
        <w:t>Appendix 2: Postgraduate Taught reduced scale stepped marking points</w:t>
      </w:r>
    </w:p>
    <w:tbl>
      <w:tblPr>
        <w:tblStyle w:val="TableGrid"/>
        <w:tblW w:w="0" w:type="auto"/>
        <w:tblLook w:val="04A0" w:firstRow="1" w:lastRow="0" w:firstColumn="1" w:lastColumn="0" w:noHBand="0" w:noVBand="1"/>
      </w:tblPr>
      <w:tblGrid>
        <w:gridCol w:w="2235"/>
        <w:gridCol w:w="1134"/>
        <w:gridCol w:w="5953"/>
      </w:tblGrid>
      <w:tr w:rsidR="00CE50C7" w:rsidTr="00CE50C7">
        <w:tc>
          <w:tcPr>
            <w:tcW w:w="2235" w:type="dxa"/>
          </w:tcPr>
          <w:p w:rsidR="00CE50C7" w:rsidRDefault="00CE50C7" w:rsidP="00CE50C7">
            <w:pPr>
              <w:spacing w:line="276" w:lineRule="auto"/>
              <w:rPr>
                <w:b/>
              </w:rPr>
            </w:pPr>
            <w:r>
              <w:rPr>
                <w:b/>
              </w:rPr>
              <w:t>Range / Class</w:t>
            </w:r>
          </w:p>
        </w:tc>
        <w:tc>
          <w:tcPr>
            <w:tcW w:w="1134" w:type="dxa"/>
          </w:tcPr>
          <w:p w:rsidR="00CE50C7" w:rsidRDefault="00CE50C7" w:rsidP="00CE50C7">
            <w:pPr>
              <w:spacing w:line="276" w:lineRule="auto"/>
              <w:rPr>
                <w:b/>
              </w:rPr>
            </w:pPr>
            <w:r>
              <w:rPr>
                <w:b/>
              </w:rPr>
              <w:t>%</w:t>
            </w:r>
          </w:p>
        </w:tc>
        <w:tc>
          <w:tcPr>
            <w:tcW w:w="5953" w:type="dxa"/>
          </w:tcPr>
          <w:p w:rsidR="00CE50C7" w:rsidRDefault="00CE50C7" w:rsidP="00CE50C7">
            <w:pPr>
              <w:spacing w:line="276" w:lineRule="auto"/>
              <w:rPr>
                <w:b/>
              </w:rPr>
            </w:pPr>
            <w:r>
              <w:rPr>
                <w:b/>
              </w:rPr>
              <w:t>School / discipline grade descriptor (to be inserted)</w:t>
            </w:r>
          </w:p>
        </w:tc>
      </w:tr>
      <w:tr w:rsidR="00CE50C7" w:rsidTr="00CE50C7">
        <w:tc>
          <w:tcPr>
            <w:tcW w:w="2235" w:type="dxa"/>
            <w:vMerge w:val="restart"/>
          </w:tcPr>
          <w:p w:rsidR="00CE50C7" w:rsidRDefault="00CE50C7" w:rsidP="00CE50C7">
            <w:pPr>
              <w:spacing w:line="276" w:lineRule="auto"/>
            </w:pPr>
            <w:r>
              <w:t>High Distinction</w:t>
            </w:r>
          </w:p>
        </w:tc>
        <w:tc>
          <w:tcPr>
            <w:tcW w:w="1134" w:type="dxa"/>
          </w:tcPr>
          <w:p w:rsidR="00CE50C7" w:rsidRDefault="00CE50C7" w:rsidP="00CE50C7">
            <w:pPr>
              <w:spacing w:line="276" w:lineRule="auto"/>
            </w:pPr>
            <w:r>
              <w:t>100</w:t>
            </w:r>
          </w:p>
        </w:tc>
        <w:tc>
          <w:tcPr>
            <w:tcW w:w="5953" w:type="dxa"/>
          </w:tcPr>
          <w:p w:rsidR="00CE50C7" w:rsidRDefault="00CE50C7" w:rsidP="00CE50C7">
            <w:pPr>
              <w:spacing w:line="276" w:lineRule="auto"/>
            </w:pPr>
          </w:p>
        </w:tc>
      </w:tr>
      <w:tr w:rsidR="00CE50C7" w:rsidTr="00CE50C7">
        <w:tc>
          <w:tcPr>
            <w:tcW w:w="2235" w:type="dxa"/>
            <w:vMerge/>
          </w:tcPr>
          <w:p w:rsidR="00CE50C7" w:rsidRDefault="00CE50C7" w:rsidP="00CE50C7">
            <w:pPr>
              <w:spacing w:line="276" w:lineRule="auto"/>
            </w:pPr>
          </w:p>
        </w:tc>
        <w:tc>
          <w:tcPr>
            <w:tcW w:w="1134" w:type="dxa"/>
          </w:tcPr>
          <w:p w:rsidR="00CE50C7" w:rsidRDefault="00CE50C7" w:rsidP="00CE50C7">
            <w:pPr>
              <w:spacing w:line="276" w:lineRule="auto"/>
            </w:pPr>
            <w:r>
              <w:t>95</w:t>
            </w:r>
          </w:p>
        </w:tc>
        <w:tc>
          <w:tcPr>
            <w:tcW w:w="5953" w:type="dxa"/>
          </w:tcPr>
          <w:p w:rsidR="00CE50C7" w:rsidRDefault="00CE50C7" w:rsidP="00CE50C7">
            <w:pPr>
              <w:spacing w:line="276" w:lineRule="auto"/>
            </w:pPr>
          </w:p>
        </w:tc>
      </w:tr>
      <w:tr w:rsidR="00CE50C7" w:rsidTr="00CE50C7">
        <w:tc>
          <w:tcPr>
            <w:tcW w:w="2235" w:type="dxa"/>
            <w:vMerge/>
          </w:tcPr>
          <w:p w:rsidR="00CE50C7" w:rsidRDefault="00CE50C7" w:rsidP="00CE50C7">
            <w:pPr>
              <w:spacing w:line="276" w:lineRule="auto"/>
            </w:pPr>
          </w:p>
        </w:tc>
        <w:tc>
          <w:tcPr>
            <w:tcW w:w="1134" w:type="dxa"/>
          </w:tcPr>
          <w:p w:rsidR="00CE50C7" w:rsidRDefault="00CE50C7" w:rsidP="00CE50C7">
            <w:pPr>
              <w:spacing w:line="276" w:lineRule="auto"/>
            </w:pPr>
            <w:r>
              <w:t>92</w:t>
            </w:r>
          </w:p>
        </w:tc>
        <w:tc>
          <w:tcPr>
            <w:tcW w:w="5953" w:type="dxa"/>
          </w:tcPr>
          <w:p w:rsidR="00CE50C7" w:rsidRDefault="00CE50C7" w:rsidP="00CE50C7">
            <w:pPr>
              <w:spacing w:line="276" w:lineRule="auto"/>
            </w:pPr>
          </w:p>
        </w:tc>
      </w:tr>
      <w:tr w:rsidR="00CE50C7" w:rsidTr="00CE50C7">
        <w:tc>
          <w:tcPr>
            <w:tcW w:w="2235" w:type="dxa"/>
            <w:vMerge w:val="restart"/>
          </w:tcPr>
          <w:p w:rsidR="00CE50C7" w:rsidRDefault="00CE50C7" w:rsidP="00CE50C7">
            <w:pPr>
              <w:spacing w:line="276" w:lineRule="auto"/>
            </w:pPr>
            <w:r>
              <w:t>Mid- range Distinction</w:t>
            </w:r>
          </w:p>
        </w:tc>
        <w:tc>
          <w:tcPr>
            <w:tcW w:w="1134" w:type="dxa"/>
          </w:tcPr>
          <w:p w:rsidR="00CE50C7" w:rsidRDefault="00CE50C7" w:rsidP="00CE50C7">
            <w:pPr>
              <w:spacing w:line="276" w:lineRule="auto"/>
            </w:pPr>
            <w:r>
              <w:t>88</w:t>
            </w:r>
          </w:p>
        </w:tc>
        <w:tc>
          <w:tcPr>
            <w:tcW w:w="5953" w:type="dxa"/>
          </w:tcPr>
          <w:p w:rsidR="00CE50C7" w:rsidRDefault="00CE50C7" w:rsidP="00CE50C7">
            <w:pPr>
              <w:spacing w:line="276" w:lineRule="auto"/>
            </w:pPr>
          </w:p>
        </w:tc>
      </w:tr>
      <w:tr w:rsidR="00CE50C7" w:rsidTr="00CE50C7">
        <w:tc>
          <w:tcPr>
            <w:tcW w:w="2235" w:type="dxa"/>
            <w:vMerge/>
          </w:tcPr>
          <w:p w:rsidR="00CE50C7" w:rsidRDefault="00CE50C7" w:rsidP="00CE50C7">
            <w:pPr>
              <w:spacing w:line="276" w:lineRule="auto"/>
            </w:pPr>
          </w:p>
        </w:tc>
        <w:tc>
          <w:tcPr>
            <w:tcW w:w="1134" w:type="dxa"/>
          </w:tcPr>
          <w:p w:rsidR="00CE50C7" w:rsidRDefault="00CE50C7" w:rsidP="00CE50C7">
            <w:pPr>
              <w:spacing w:line="276" w:lineRule="auto"/>
            </w:pPr>
            <w:r>
              <w:t>85</w:t>
            </w:r>
          </w:p>
        </w:tc>
        <w:tc>
          <w:tcPr>
            <w:tcW w:w="5953" w:type="dxa"/>
          </w:tcPr>
          <w:p w:rsidR="00CE50C7" w:rsidRDefault="00CE50C7" w:rsidP="00CE50C7">
            <w:pPr>
              <w:spacing w:line="276" w:lineRule="auto"/>
            </w:pPr>
          </w:p>
        </w:tc>
      </w:tr>
      <w:tr w:rsidR="00CE50C7" w:rsidTr="00CE50C7">
        <w:tc>
          <w:tcPr>
            <w:tcW w:w="2235" w:type="dxa"/>
            <w:vMerge/>
          </w:tcPr>
          <w:p w:rsidR="00CE50C7" w:rsidRDefault="00CE50C7" w:rsidP="00CE50C7">
            <w:pPr>
              <w:spacing w:line="276" w:lineRule="auto"/>
            </w:pPr>
          </w:p>
        </w:tc>
        <w:tc>
          <w:tcPr>
            <w:tcW w:w="1134" w:type="dxa"/>
          </w:tcPr>
          <w:p w:rsidR="00CE50C7" w:rsidRDefault="00CE50C7" w:rsidP="00CE50C7">
            <w:pPr>
              <w:spacing w:line="276" w:lineRule="auto"/>
            </w:pPr>
            <w:r>
              <w:t>82</w:t>
            </w:r>
          </w:p>
        </w:tc>
        <w:tc>
          <w:tcPr>
            <w:tcW w:w="5953" w:type="dxa"/>
          </w:tcPr>
          <w:p w:rsidR="00CE50C7" w:rsidRDefault="00CE50C7" w:rsidP="00CE50C7">
            <w:pPr>
              <w:spacing w:line="276" w:lineRule="auto"/>
            </w:pPr>
          </w:p>
        </w:tc>
      </w:tr>
      <w:tr w:rsidR="00CE50C7" w:rsidTr="00CE50C7">
        <w:tc>
          <w:tcPr>
            <w:tcW w:w="2235" w:type="dxa"/>
            <w:vMerge w:val="restart"/>
          </w:tcPr>
          <w:p w:rsidR="00CE50C7" w:rsidRDefault="00CE50C7" w:rsidP="00CE50C7">
            <w:pPr>
              <w:spacing w:line="276" w:lineRule="auto"/>
            </w:pPr>
            <w:r>
              <w:t>Lower-range Distinction</w:t>
            </w:r>
          </w:p>
        </w:tc>
        <w:tc>
          <w:tcPr>
            <w:tcW w:w="1134" w:type="dxa"/>
          </w:tcPr>
          <w:p w:rsidR="00CE50C7" w:rsidRDefault="00CE50C7" w:rsidP="00CE50C7">
            <w:pPr>
              <w:spacing w:line="276" w:lineRule="auto"/>
            </w:pPr>
            <w:r>
              <w:t>78</w:t>
            </w:r>
          </w:p>
        </w:tc>
        <w:tc>
          <w:tcPr>
            <w:tcW w:w="5953" w:type="dxa"/>
          </w:tcPr>
          <w:p w:rsidR="00CE50C7" w:rsidRDefault="00CE50C7" w:rsidP="00CE50C7">
            <w:pPr>
              <w:spacing w:line="276" w:lineRule="auto"/>
            </w:pPr>
          </w:p>
        </w:tc>
      </w:tr>
      <w:tr w:rsidR="00CE50C7" w:rsidTr="00CE50C7">
        <w:tc>
          <w:tcPr>
            <w:tcW w:w="2235" w:type="dxa"/>
            <w:vMerge/>
          </w:tcPr>
          <w:p w:rsidR="00CE50C7" w:rsidRDefault="00CE50C7" w:rsidP="00CE50C7">
            <w:pPr>
              <w:spacing w:line="276" w:lineRule="auto"/>
            </w:pPr>
          </w:p>
        </w:tc>
        <w:tc>
          <w:tcPr>
            <w:tcW w:w="1134" w:type="dxa"/>
          </w:tcPr>
          <w:p w:rsidR="00CE50C7" w:rsidRDefault="00CE50C7" w:rsidP="00CE50C7">
            <w:pPr>
              <w:spacing w:line="276" w:lineRule="auto"/>
            </w:pPr>
            <w:r>
              <w:t>75</w:t>
            </w:r>
          </w:p>
        </w:tc>
        <w:tc>
          <w:tcPr>
            <w:tcW w:w="5953" w:type="dxa"/>
          </w:tcPr>
          <w:p w:rsidR="00CE50C7" w:rsidRDefault="00CE50C7" w:rsidP="00CE50C7">
            <w:pPr>
              <w:spacing w:line="276" w:lineRule="auto"/>
            </w:pPr>
          </w:p>
        </w:tc>
      </w:tr>
      <w:tr w:rsidR="00CE50C7" w:rsidTr="00CE50C7">
        <w:tc>
          <w:tcPr>
            <w:tcW w:w="2235" w:type="dxa"/>
            <w:vMerge/>
          </w:tcPr>
          <w:p w:rsidR="00CE50C7" w:rsidRDefault="00CE50C7" w:rsidP="00CE50C7">
            <w:pPr>
              <w:spacing w:line="276" w:lineRule="auto"/>
            </w:pPr>
          </w:p>
        </w:tc>
        <w:tc>
          <w:tcPr>
            <w:tcW w:w="1134" w:type="dxa"/>
          </w:tcPr>
          <w:p w:rsidR="00CE50C7" w:rsidRDefault="00CE50C7" w:rsidP="00CE50C7">
            <w:pPr>
              <w:spacing w:line="276" w:lineRule="auto"/>
            </w:pPr>
            <w:r>
              <w:t>72</w:t>
            </w:r>
          </w:p>
        </w:tc>
        <w:tc>
          <w:tcPr>
            <w:tcW w:w="5953" w:type="dxa"/>
          </w:tcPr>
          <w:p w:rsidR="00CE50C7" w:rsidRDefault="00CE50C7" w:rsidP="00CE50C7">
            <w:pPr>
              <w:spacing w:line="276" w:lineRule="auto"/>
            </w:pPr>
          </w:p>
        </w:tc>
      </w:tr>
      <w:tr w:rsidR="00CE50C7" w:rsidTr="00CE50C7">
        <w:tc>
          <w:tcPr>
            <w:tcW w:w="2235" w:type="dxa"/>
            <w:vMerge w:val="restart"/>
          </w:tcPr>
          <w:p w:rsidR="00CE50C7" w:rsidRDefault="00CE50C7" w:rsidP="00CE50C7">
            <w:pPr>
              <w:spacing w:line="276" w:lineRule="auto"/>
            </w:pPr>
            <w:r>
              <w:t>Merit</w:t>
            </w:r>
          </w:p>
        </w:tc>
        <w:tc>
          <w:tcPr>
            <w:tcW w:w="1134" w:type="dxa"/>
          </w:tcPr>
          <w:p w:rsidR="00CE50C7" w:rsidRDefault="00CE50C7" w:rsidP="00CE50C7">
            <w:pPr>
              <w:spacing w:line="276" w:lineRule="auto"/>
            </w:pPr>
            <w:r>
              <w:t>68</w:t>
            </w:r>
          </w:p>
        </w:tc>
        <w:tc>
          <w:tcPr>
            <w:tcW w:w="5953" w:type="dxa"/>
          </w:tcPr>
          <w:p w:rsidR="00CE50C7" w:rsidRDefault="00CE50C7" w:rsidP="00CE50C7">
            <w:pPr>
              <w:spacing w:line="276" w:lineRule="auto"/>
            </w:pPr>
          </w:p>
        </w:tc>
      </w:tr>
      <w:tr w:rsidR="00CE50C7" w:rsidTr="00CE50C7">
        <w:tc>
          <w:tcPr>
            <w:tcW w:w="2235" w:type="dxa"/>
            <w:vMerge/>
          </w:tcPr>
          <w:p w:rsidR="00CE50C7" w:rsidRDefault="00CE50C7" w:rsidP="00CE50C7">
            <w:pPr>
              <w:spacing w:line="276" w:lineRule="auto"/>
            </w:pPr>
          </w:p>
        </w:tc>
        <w:tc>
          <w:tcPr>
            <w:tcW w:w="1134" w:type="dxa"/>
          </w:tcPr>
          <w:p w:rsidR="00CE50C7" w:rsidRDefault="00CE50C7" w:rsidP="00CE50C7">
            <w:pPr>
              <w:spacing w:line="276" w:lineRule="auto"/>
            </w:pPr>
            <w:r>
              <w:t>65</w:t>
            </w:r>
          </w:p>
        </w:tc>
        <w:tc>
          <w:tcPr>
            <w:tcW w:w="5953" w:type="dxa"/>
          </w:tcPr>
          <w:p w:rsidR="00CE50C7" w:rsidRDefault="00CE50C7" w:rsidP="00CE50C7">
            <w:pPr>
              <w:spacing w:line="276" w:lineRule="auto"/>
            </w:pPr>
          </w:p>
        </w:tc>
      </w:tr>
      <w:tr w:rsidR="00CE50C7" w:rsidTr="00CE50C7">
        <w:tc>
          <w:tcPr>
            <w:tcW w:w="2235" w:type="dxa"/>
            <w:vMerge/>
          </w:tcPr>
          <w:p w:rsidR="00CE50C7" w:rsidRDefault="00CE50C7" w:rsidP="00CE50C7">
            <w:pPr>
              <w:spacing w:line="276" w:lineRule="auto"/>
            </w:pPr>
          </w:p>
        </w:tc>
        <w:tc>
          <w:tcPr>
            <w:tcW w:w="1134" w:type="dxa"/>
          </w:tcPr>
          <w:p w:rsidR="00CE50C7" w:rsidRDefault="00CE50C7" w:rsidP="00CE50C7">
            <w:pPr>
              <w:spacing w:line="276" w:lineRule="auto"/>
            </w:pPr>
            <w:r>
              <w:t>62</w:t>
            </w:r>
          </w:p>
        </w:tc>
        <w:tc>
          <w:tcPr>
            <w:tcW w:w="5953" w:type="dxa"/>
          </w:tcPr>
          <w:p w:rsidR="00CE50C7" w:rsidRDefault="00CE50C7" w:rsidP="00CE50C7">
            <w:pPr>
              <w:spacing w:line="276" w:lineRule="auto"/>
            </w:pPr>
          </w:p>
        </w:tc>
      </w:tr>
      <w:tr w:rsidR="00CE50C7" w:rsidTr="00CE50C7">
        <w:tc>
          <w:tcPr>
            <w:tcW w:w="2235" w:type="dxa"/>
            <w:vMerge w:val="restart"/>
          </w:tcPr>
          <w:p w:rsidR="00CE50C7" w:rsidRDefault="00CE50C7" w:rsidP="00CE50C7">
            <w:pPr>
              <w:spacing w:line="276" w:lineRule="auto"/>
            </w:pPr>
            <w:r>
              <w:t>Pass</w:t>
            </w:r>
          </w:p>
        </w:tc>
        <w:tc>
          <w:tcPr>
            <w:tcW w:w="1134" w:type="dxa"/>
          </w:tcPr>
          <w:p w:rsidR="00CE50C7" w:rsidRDefault="00CE50C7" w:rsidP="00CE50C7">
            <w:pPr>
              <w:spacing w:line="276" w:lineRule="auto"/>
            </w:pPr>
            <w:r>
              <w:t>58</w:t>
            </w:r>
          </w:p>
        </w:tc>
        <w:tc>
          <w:tcPr>
            <w:tcW w:w="5953" w:type="dxa"/>
          </w:tcPr>
          <w:p w:rsidR="00CE50C7" w:rsidRDefault="00CE50C7" w:rsidP="00CE50C7">
            <w:pPr>
              <w:spacing w:line="276" w:lineRule="auto"/>
            </w:pPr>
          </w:p>
        </w:tc>
      </w:tr>
      <w:tr w:rsidR="00CE50C7" w:rsidTr="00CE50C7">
        <w:tc>
          <w:tcPr>
            <w:tcW w:w="2235" w:type="dxa"/>
            <w:vMerge/>
          </w:tcPr>
          <w:p w:rsidR="00CE50C7" w:rsidRDefault="00CE50C7" w:rsidP="00CE50C7">
            <w:pPr>
              <w:spacing w:line="276" w:lineRule="auto"/>
            </w:pPr>
          </w:p>
        </w:tc>
        <w:tc>
          <w:tcPr>
            <w:tcW w:w="1134" w:type="dxa"/>
          </w:tcPr>
          <w:p w:rsidR="00CE50C7" w:rsidRDefault="00CE50C7" w:rsidP="00CE50C7">
            <w:pPr>
              <w:spacing w:line="276" w:lineRule="auto"/>
            </w:pPr>
            <w:r>
              <w:t>55</w:t>
            </w:r>
          </w:p>
        </w:tc>
        <w:tc>
          <w:tcPr>
            <w:tcW w:w="5953" w:type="dxa"/>
          </w:tcPr>
          <w:p w:rsidR="00CE50C7" w:rsidRDefault="00CE50C7" w:rsidP="00CE50C7">
            <w:pPr>
              <w:spacing w:line="276" w:lineRule="auto"/>
            </w:pPr>
          </w:p>
        </w:tc>
      </w:tr>
      <w:tr w:rsidR="00CE50C7" w:rsidTr="00CE50C7">
        <w:tc>
          <w:tcPr>
            <w:tcW w:w="2235" w:type="dxa"/>
            <w:vMerge/>
          </w:tcPr>
          <w:p w:rsidR="00CE50C7" w:rsidRDefault="00CE50C7" w:rsidP="00CE50C7">
            <w:pPr>
              <w:spacing w:line="276" w:lineRule="auto"/>
            </w:pPr>
          </w:p>
        </w:tc>
        <w:tc>
          <w:tcPr>
            <w:tcW w:w="1134" w:type="dxa"/>
          </w:tcPr>
          <w:p w:rsidR="00CE50C7" w:rsidRDefault="00CE50C7" w:rsidP="00CE50C7">
            <w:pPr>
              <w:spacing w:line="276" w:lineRule="auto"/>
            </w:pPr>
            <w:r>
              <w:t>52</w:t>
            </w:r>
          </w:p>
        </w:tc>
        <w:tc>
          <w:tcPr>
            <w:tcW w:w="5953" w:type="dxa"/>
          </w:tcPr>
          <w:p w:rsidR="00CE50C7" w:rsidRDefault="00CE50C7" w:rsidP="00CE50C7">
            <w:pPr>
              <w:spacing w:line="276" w:lineRule="auto"/>
            </w:pPr>
          </w:p>
        </w:tc>
      </w:tr>
      <w:tr w:rsidR="00CE50C7" w:rsidTr="00CE50C7">
        <w:tc>
          <w:tcPr>
            <w:tcW w:w="2235" w:type="dxa"/>
            <w:vMerge w:val="restart"/>
          </w:tcPr>
          <w:p w:rsidR="00CE50C7" w:rsidRDefault="00CE50C7" w:rsidP="00CE50C7">
            <w:pPr>
              <w:spacing w:line="276" w:lineRule="auto"/>
            </w:pPr>
            <w:r>
              <w:t>Compensatory Fail</w:t>
            </w:r>
          </w:p>
        </w:tc>
        <w:tc>
          <w:tcPr>
            <w:tcW w:w="1134" w:type="dxa"/>
          </w:tcPr>
          <w:p w:rsidR="00CE50C7" w:rsidRDefault="00CE50C7" w:rsidP="00CE50C7">
            <w:pPr>
              <w:spacing w:line="276" w:lineRule="auto"/>
            </w:pPr>
            <w:r>
              <w:t>48</w:t>
            </w:r>
          </w:p>
        </w:tc>
        <w:tc>
          <w:tcPr>
            <w:tcW w:w="5953" w:type="dxa"/>
          </w:tcPr>
          <w:p w:rsidR="00CE50C7" w:rsidRDefault="00CE50C7" w:rsidP="00CE50C7">
            <w:pPr>
              <w:spacing w:line="276" w:lineRule="auto"/>
            </w:pPr>
          </w:p>
        </w:tc>
      </w:tr>
      <w:tr w:rsidR="00CE50C7" w:rsidTr="00CE50C7">
        <w:tc>
          <w:tcPr>
            <w:tcW w:w="2235" w:type="dxa"/>
            <w:vMerge/>
          </w:tcPr>
          <w:p w:rsidR="00CE50C7" w:rsidRDefault="00CE50C7" w:rsidP="00CE50C7">
            <w:pPr>
              <w:spacing w:line="276" w:lineRule="auto"/>
            </w:pPr>
          </w:p>
        </w:tc>
        <w:tc>
          <w:tcPr>
            <w:tcW w:w="1134" w:type="dxa"/>
          </w:tcPr>
          <w:p w:rsidR="00CE50C7" w:rsidRDefault="00CE50C7" w:rsidP="00CE50C7">
            <w:pPr>
              <w:spacing w:line="276" w:lineRule="auto"/>
            </w:pPr>
            <w:r>
              <w:t>45</w:t>
            </w:r>
          </w:p>
        </w:tc>
        <w:tc>
          <w:tcPr>
            <w:tcW w:w="5953" w:type="dxa"/>
          </w:tcPr>
          <w:p w:rsidR="00CE50C7" w:rsidRDefault="00CE50C7" w:rsidP="00CE50C7">
            <w:pPr>
              <w:spacing w:line="276" w:lineRule="auto"/>
            </w:pPr>
          </w:p>
        </w:tc>
      </w:tr>
      <w:tr w:rsidR="00CE50C7" w:rsidTr="00CE50C7">
        <w:tc>
          <w:tcPr>
            <w:tcW w:w="2235" w:type="dxa"/>
            <w:vMerge/>
          </w:tcPr>
          <w:p w:rsidR="00CE50C7" w:rsidRDefault="00CE50C7" w:rsidP="00CE50C7">
            <w:pPr>
              <w:spacing w:line="276" w:lineRule="auto"/>
            </w:pPr>
          </w:p>
        </w:tc>
        <w:tc>
          <w:tcPr>
            <w:tcW w:w="1134" w:type="dxa"/>
          </w:tcPr>
          <w:p w:rsidR="00CE50C7" w:rsidRDefault="00CE50C7" w:rsidP="00CE50C7">
            <w:pPr>
              <w:spacing w:line="276" w:lineRule="auto"/>
            </w:pPr>
            <w:r>
              <w:t>42</w:t>
            </w:r>
          </w:p>
        </w:tc>
        <w:tc>
          <w:tcPr>
            <w:tcW w:w="5953" w:type="dxa"/>
          </w:tcPr>
          <w:p w:rsidR="00CE50C7" w:rsidRDefault="00CE50C7" w:rsidP="00CE50C7">
            <w:pPr>
              <w:spacing w:line="276" w:lineRule="auto"/>
            </w:pPr>
          </w:p>
        </w:tc>
      </w:tr>
      <w:tr w:rsidR="00CE50C7" w:rsidTr="00CE50C7">
        <w:tc>
          <w:tcPr>
            <w:tcW w:w="2235" w:type="dxa"/>
            <w:vMerge w:val="restart"/>
          </w:tcPr>
          <w:p w:rsidR="00CE50C7" w:rsidRDefault="00CE50C7" w:rsidP="00CE50C7">
            <w:pPr>
              <w:spacing w:line="276" w:lineRule="auto"/>
            </w:pPr>
            <w:r>
              <w:t>Fail</w:t>
            </w:r>
          </w:p>
        </w:tc>
        <w:tc>
          <w:tcPr>
            <w:tcW w:w="1134" w:type="dxa"/>
          </w:tcPr>
          <w:p w:rsidR="00CE50C7" w:rsidRDefault="00CE50C7" w:rsidP="00CE50C7">
            <w:pPr>
              <w:spacing w:line="276" w:lineRule="auto"/>
            </w:pPr>
            <w:r>
              <w:t>38</w:t>
            </w:r>
          </w:p>
        </w:tc>
        <w:tc>
          <w:tcPr>
            <w:tcW w:w="5953" w:type="dxa"/>
          </w:tcPr>
          <w:p w:rsidR="00CE50C7" w:rsidRDefault="00CE50C7" w:rsidP="00CE50C7">
            <w:pPr>
              <w:spacing w:line="276" w:lineRule="auto"/>
            </w:pPr>
          </w:p>
        </w:tc>
      </w:tr>
      <w:tr w:rsidR="00CE50C7" w:rsidTr="00CE50C7">
        <w:tc>
          <w:tcPr>
            <w:tcW w:w="2235" w:type="dxa"/>
            <w:vMerge/>
          </w:tcPr>
          <w:p w:rsidR="00CE50C7" w:rsidRDefault="00CE50C7" w:rsidP="00CE50C7">
            <w:pPr>
              <w:spacing w:line="276" w:lineRule="auto"/>
            </w:pPr>
          </w:p>
        </w:tc>
        <w:tc>
          <w:tcPr>
            <w:tcW w:w="1134" w:type="dxa"/>
          </w:tcPr>
          <w:p w:rsidR="00CE50C7" w:rsidRDefault="00CE50C7" w:rsidP="00CE50C7">
            <w:pPr>
              <w:spacing w:line="276" w:lineRule="auto"/>
            </w:pPr>
            <w:r>
              <w:t>35</w:t>
            </w:r>
          </w:p>
        </w:tc>
        <w:tc>
          <w:tcPr>
            <w:tcW w:w="5953" w:type="dxa"/>
          </w:tcPr>
          <w:p w:rsidR="00CE50C7" w:rsidRDefault="00CE50C7" w:rsidP="00CE50C7">
            <w:pPr>
              <w:spacing w:line="276" w:lineRule="auto"/>
            </w:pPr>
          </w:p>
        </w:tc>
      </w:tr>
      <w:tr w:rsidR="00CE50C7" w:rsidTr="00CE50C7">
        <w:tc>
          <w:tcPr>
            <w:tcW w:w="2235" w:type="dxa"/>
            <w:vMerge/>
          </w:tcPr>
          <w:p w:rsidR="00CE50C7" w:rsidRDefault="00CE50C7" w:rsidP="00CE50C7">
            <w:pPr>
              <w:spacing w:line="276" w:lineRule="auto"/>
            </w:pPr>
          </w:p>
        </w:tc>
        <w:tc>
          <w:tcPr>
            <w:tcW w:w="1134" w:type="dxa"/>
          </w:tcPr>
          <w:p w:rsidR="00CE50C7" w:rsidRDefault="00CE50C7" w:rsidP="00CE50C7">
            <w:pPr>
              <w:spacing w:line="276" w:lineRule="auto"/>
            </w:pPr>
            <w:r>
              <w:t>32</w:t>
            </w:r>
          </w:p>
        </w:tc>
        <w:tc>
          <w:tcPr>
            <w:tcW w:w="5953" w:type="dxa"/>
          </w:tcPr>
          <w:p w:rsidR="00CE50C7" w:rsidRDefault="00CE50C7" w:rsidP="00CE50C7">
            <w:pPr>
              <w:spacing w:line="276" w:lineRule="auto"/>
            </w:pPr>
          </w:p>
        </w:tc>
      </w:tr>
      <w:tr w:rsidR="00CE50C7" w:rsidTr="00CE50C7">
        <w:tc>
          <w:tcPr>
            <w:tcW w:w="2235" w:type="dxa"/>
            <w:vMerge w:val="restart"/>
          </w:tcPr>
          <w:p w:rsidR="00CE50C7" w:rsidRDefault="00CE50C7" w:rsidP="00CE50C7">
            <w:pPr>
              <w:spacing w:line="276" w:lineRule="auto"/>
            </w:pPr>
            <w:r>
              <w:t>Fail</w:t>
            </w:r>
          </w:p>
        </w:tc>
        <w:tc>
          <w:tcPr>
            <w:tcW w:w="1134" w:type="dxa"/>
          </w:tcPr>
          <w:p w:rsidR="00CE50C7" w:rsidRDefault="00CE50C7" w:rsidP="00CE50C7">
            <w:pPr>
              <w:spacing w:line="276" w:lineRule="auto"/>
            </w:pPr>
            <w:r>
              <w:t>28</w:t>
            </w:r>
          </w:p>
        </w:tc>
        <w:tc>
          <w:tcPr>
            <w:tcW w:w="5953" w:type="dxa"/>
          </w:tcPr>
          <w:p w:rsidR="00CE50C7" w:rsidRDefault="00CE50C7" w:rsidP="00CE50C7">
            <w:pPr>
              <w:spacing w:line="276" w:lineRule="auto"/>
            </w:pPr>
          </w:p>
        </w:tc>
      </w:tr>
      <w:tr w:rsidR="00CE50C7" w:rsidTr="00CE50C7">
        <w:tc>
          <w:tcPr>
            <w:tcW w:w="2235" w:type="dxa"/>
            <w:vMerge/>
          </w:tcPr>
          <w:p w:rsidR="00CE50C7" w:rsidRDefault="00CE50C7" w:rsidP="00CE50C7">
            <w:pPr>
              <w:spacing w:line="276" w:lineRule="auto"/>
            </w:pPr>
          </w:p>
        </w:tc>
        <w:tc>
          <w:tcPr>
            <w:tcW w:w="1134" w:type="dxa"/>
          </w:tcPr>
          <w:p w:rsidR="00CE50C7" w:rsidRDefault="00CE50C7" w:rsidP="00CE50C7">
            <w:pPr>
              <w:spacing w:line="276" w:lineRule="auto"/>
            </w:pPr>
            <w:r>
              <w:t>25</w:t>
            </w:r>
          </w:p>
        </w:tc>
        <w:tc>
          <w:tcPr>
            <w:tcW w:w="5953" w:type="dxa"/>
          </w:tcPr>
          <w:p w:rsidR="00CE50C7" w:rsidRDefault="00CE50C7" w:rsidP="00CE50C7">
            <w:pPr>
              <w:spacing w:line="276" w:lineRule="auto"/>
            </w:pPr>
          </w:p>
        </w:tc>
      </w:tr>
      <w:tr w:rsidR="00CE50C7" w:rsidTr="00CE50C7">
        <w:tc>
          <w:tcPr>
            <w:tcW w:w="2235" w:type="dxa"/>
            <w:vMerge/>
          </w:tcPr>
          <w:p w:rsidR="00CE50C7" w:rsidRDefault="00CE50C7" w:rsidP="00CE50C7">
            <w:pPr>
              <w:spacing w:line="276" w:lineRule="auto"/>
            </w:pPr>
          </w:p>
        </w:tc>
        <w:tc>
          <w:tcPr>
            <w:tcW w:w="1134" w:type="dxa"/>
          </w:tcPr>
          <w:p w:rsidR="00CE50C7" w:rsidRDefault="00CE50C7" w:rsidP="00CE50C7">
            <w:pPr>
              <w:spacing w:line="276" w:lineRule="auto"/>
            </w:pPr>
            <w:r>
              <w:t>15</w:t>
            </w:r>
          </w:p>
        </w:tc>
        <w:tc>
          <w:tcPr>
            <w:tcW w:w="5953" w:type="dxa"/>
          </w:tcPr>
          <w:p w:rsidR="00CE50C7" w:rsidRDefault="00CE50C7" w:rsidP="00CE50C7">
            <w:pPr>
              <w:spacing w:line="276" w:lineRule="auto"/>
            </w:pPr>
          </w:p>
        </w:tc>
      </w:tr>
      <w:tr w:rsidR="00CE50C7" w:rsidTr="00CE50C7">
        <w:tc>
          <w:tcPr>
            <w:tcW w:w="2235" w:type="dxa"/>
            <w:vMerge/>
          </w:tcPr>
          <w:p w:rsidR="00CE50C7" w:rsidRDefault="00CE50C7" w:rsidP="00CE50C7">
            <w:pPr>
              <w:spacing w:line="276" w:lineRule="auto"/>
            </w:pPr>
          </w:p>
        </w:tc>
        <w:tc>
          <w:tcPr>
            <w:tcW w:w="1134" w:type="dxa"/>
          </w:tcPr>
          <w:p w:rsidR="00CE50C7" w:rsidRDefault="00CE50C7" w:rsidP="00CE50C7">
            <w:pPr>
              <w:spacing w:line="276" w:lineRule="auto"/>
            </w:pPr>
            <w:r>
              <w:t>5</w:t>
            </w:r>
          </w:p>
        </w:tc>
        <w:tc>
          <w:tcPr>
            <w:tcW w:w="5953" w:type="dxa"/>
          </w:tcPr>
          <w:p w:rsidR="00CE50C7" w:rsidRDefault="00CE50C7" w:rsidP="00CE50C7">
            <w:pPr>
              <w:spacing w:line="276" w:lineRule="auto"/>
            </w:pPr>
          </w:p>
        </w:tc>
      </w:tr>
      <w:tr w:rsidR="00CE50C7" w:rsidTr="00CE50C7">
        <w:tc>
          <w:tcPr>
            <w:tcW w:w="2235" w:type="dxa"/>
            <w:vMerge/>
          </w:tcPr>
          <w:p w:rsidR="00CE50C7" w:rsidRDefault="00CE50C7" w:rsidP="00CE50C7">
            <w:pPr>
              <w:spacing w:line="276" w:lineRule="auto"/>
            </w:pPr>
          </w:p>
        </w:tc>
        <w:tc>
          <w:tcPr>
            <w:tcW w:w="1134" w:type="dxa"/>
          </w:tcPr>
          <w:p w:rsidR="00CE50C7" w:rsidRDefault="00CE50C7" w:rsidP="00CE50C7">
            <w:pPr>
              <w:spacing w:line="276" w:lineRule="auto"/>
            </w:pPr>
            <w:r>
              <w:t>0</w:t>
            </w:r>
          </w:p>
        </w:tc>
        <w:tc>
          <w:tcPr>
            <w:tcW w:w="5953" w:type="dxa"/>
          </w:tcPr>
          <w:p w:rsidR="00CE50C7" w:rsidRDefault="00CE50C7" w:rsidP="00CE50C7">
            <w:pPr>
              <w:spacing w:line="276" w:lineRule="auto"/>
            </w:pPr>
          </w:p>
        </w:tc>
      </w:tr>
    </w:tbl>
    <w:p w:rsidR="00CE50C7" w:rsidRDefault="00CE50C7" w:rsidP="00CE50C7"/>
    <w:p w:rsidR="00CE50C7" w:rsidRDefault="00CE50C7" w:rsidP="00CE50C7"/>
    <w:p w:rsidR="00CE50C7" w:rsidRDefault="00CE50C7" w:rsidP="00D81022"/>
    <w:p w:rsidR="00CE50C7" w:rsidRDefault="00CE50C7" w:rsidP="00D81022"/>
    <w:p w:rsidR="00CE50C7" w:rsidRDefault="00CE50C7" w:rsidP="00D81022"/>
    <w:p w:rsidR="00CE50C7" w:rsidRDefault="00CE50C7" w:rsidP="00D81022"/>
    <w:p w:rsidR="00CE50C7" w:rsidRDefault="00CE50C7" w:rsidP="00D81022"/>
    <w:p w:rsidR="00CE50C7" w:rsidRDefault="00CE50C7" w:rsidP="00D81022"/>
    <w:p w:rsidR="00CE50C7" w:rsidRDefault="00CE50C7" w:rsidP="00D81022"/>
    <w:p w:rsidR="00CE50C7" w:rsidRDefault="00CE50C7" w:rsidP="00D81022"/>
    <w:p w:rsidR="003328D1" w:rsidRDefault="004B1D17" w:rsidP="004F48A4">
      <w:pPr>
        <w:jc w:val="center"/>
        <w:rPr>
          <w:b/>
          <w:sz w:val="24"/>
          <w:szCs w:val="24"/>
        </w:rPr>
      </w:pPr>
      <w:r>
        <w:rPr>
          <w:b/>
          <w:sz w:val="24"/>
          <w:szCs w:val="24"/>
        </w:rPr>
        <w:t xml:space="preserve">Appendix </w:t>
      </w:r>
      <w:r w:rsidR="00CE50C7">
        <w:rPr>
          <w:b/>
          <w:sz w:val="24"/>
          <w:szCs w:val="24"/>
        </w:rPr>
        <w:t>3</w:t>
      </w:r>
      <w:r>
        <w:rPr>
          <w:b/>
          <w:sz w:val="24"/>
          <w:szCs w:val="24"/>
        </w:rPr>
        <w:t>: Student comments on reduced scale stepped marking</w:t>
      </w:r>
    </w:p>
    <w:p w:rsidR="003328D1" w:rsidRDefault="004B1D17">
      <w:pPr>
        <w:pStyle w:val="NormalWeb"/>
        <w:shd w:val="clear" w:color="auto" w:fill="FFFFFF"/>
        <w:spacing w:line="276" w:lineRule="auto"/>
        <w:ind w:left="360"/>
        <w:rPr>
          <w:rFonts w:ascii="Calibri" w:hAnsi="Calibri"/>
          <w:sz w:val="22"/>
          <w:szCs w:val="22"/>
        </w:rPr>
      </w:pPr>
      <w:r>
        <w:rPr>
          <w:rFonts w:ascii="Calibri" w:hAnsi="Calibri"/>
          <w:sz w:val="22"/>
          <w:szCs w:val="22"/>
        </w:rPr>
        <w:t>‘Having read the proposals for a change in the marking scheme in Humanities, I believe that it is a good idea to split the marking up into smaller chunks so that feedback is easier to understand and work on’ (English Literature, year 2).</w:t>
      </w:r>
    </w:p>
    <w:p w:rsidR="003328D1" w:rsidRDefault="004B1D17">
      <w:pPr>
        <w:shd w:val="clear" w:color="auto" w:fill="FFFFFF"/>
        <w:ind w:left="360"/>
        <w:rPr>
          <w:rFonts w:ascii="Calibri" w:hAnsi="Calibri"/>
        </w:rPr>
      </w:pPr>
      <w:r>
        <w:rPr>
          <w:rFonts w:ascii="Calibri" w:hAnsi="Calibri"/>
        </w:rPr>
        <w:t>‘I think these changes are a really good idea, at the moment the disparity between the gap of ten marks between a 2:2 and a 2:1 and the gap of 30 marks between a first and 100 marks is pretty incomprehensible. Also the difference between getting a 66 or 67 for example is completely inexplicable’ (English Literature, year 2).</w:t>
      </w:r>
    </w:p>
    <w:p w:rsidR="003328D1" w:rsidRDefault="004B1D17">
      <w:pPr>
        <w:shd w:val="clear" w:color="auto" w:fill="FFFFFF"/>
        <w:ind w:left="360"/>
        <w:rPr>
          <w:rFonts w:ascii="Calibri" w:eastAsia="Times New Roman" w:hAnsi="Calibri"/>
        </w:rPr>
      </w:pPr>
      <w:r>
        <w:rPr>
          <w:rFonts w:ascii="Calibri" w:eastAsia="Times New Roman" w:hAnsi="Calibri"/>
        </w:rPr>
        <w:t>‘I've had a look at the marking scheme and I believe it would make a positive change by removing confusion especially around the broad 2.1 classification. I also think it would facilitate linkages with other marking systems so that students who wish to see their marks' equivalent in other country can do so with ease. I also think it will be much easier to calculate degree classifications’ (</w:t>
      </w:r>
      <w:r>
        <w:rPr>
          <w:rFonts w:ascii="Calibri" w:hAnsi="Calibri"/>
        </w:rPr>
        <w:t>Geography, year 2).</w:t>
      </w:r>
    </w:p>
    <w:p w:rsidR="003328D1" w:rsidRDefault="004B1D17">
      <w:pPr>
        <w:shd w:val="clear" w:color="auto" w:fill="FFFFFF"/>
        <w:ind w:left="360"/>
        <w:rPr>
          <w:rFonts w:ascii="Calibri" w:eastAsia="Times New Roman" w:hAnsi="Calibri"/>
        </w:rPr>
      </w:pPr>
      <w:r>
        <w:rPr>
          <w:rFonts w:ascii="Calibri" w:eastAsia="Times New Roman" w:hAnsi="Calibri"/>
        </w:rPr>
        <w:t>‘I think it could be really good... I reckon one of the main problems with the current marking system is that people are just looking to get to that magic 60 (or 70 in some cases) and the difference between 62 and 67 for a student is so irrelevant but between 59 and 60 is massive. I think the [new] grading system would have potential to make progress more achievable for students and with proper feedback, improvement could be much easier. However, this is not going to be achieved by transposing the current 1st, 2:1 etc system onto the [new] grades. ..If they wanted to be brave and change the system so that it was clearer that would be great because at the moment within humanities the difference between 55 and 70 can sometimes seem to be who is marking it and what mood they are in. (That said I have had a few great lecturers who mark really well.)’ (History, year 3).</w:t>
      </w:r>
    </w:p>
    <w:p w:rsidR="003328D1" w:rsidRDefault="004B1D17">
      <w:pPr>
        <w:shd w:val="clear" w:color="auto" w:fill="FFFFFF"/>
        <w:ind w:left="360"/>
        <w:rPr>
          <w:rFonts w:ascii="Calibri" w:eastAsia="Times New Roman" w:hAnsi="Calibri"/>
        </w:rPr>
      </w:pPr>
      <w:r>
        <w:rPr>
          <w:rFonts w:ascii="Calibri" w:eastAsia="Times New Roman" w:hAnsi="Calibri"/>
        </w:rPr>
        <w:t>‘I am so thrilled that there is finally a proposal for a new marking scheme. Firstly, I think the proposed scheme would be beneficial for both lecturers and students. I am in my final year of university, where marks seriously count, so it is even more frustrating when lecturers cannot tell me why I was rewarded a certain mark’ (Modern Languages, year 3).</w:t>
      </w:r>
    </w:p>
    <w:p w:rsidR="003328D1" w:rsidRDefault="003328D1"/>
    <w:p w:rsidR="003328D1" w:rsidRDefault="003328D1"/>
    <w:sectPr w:rsidR="003328D1" w:rsidSect="00F8208A">
      <w:headerReference w:type="default" r:id="rId11"/>
      <w:footerReference w:type="default" r:id="rId1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0C7" w:rsidRDefault="00CE50C7">
      <w:pPr>
        <w:spacing w:after="0" w:line="240" w:lineRule="auto"/>
      </w:pPr>
      <w:r>
        <w:separator/>
      </w:r>
    </w:p>
  </w:endnote>
  <w:endnote w:type="continuationSeparator" w:id="0">
    <w:p w:rsidR="00CE50C7" w:rsidRDefault="00CE5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120772"/>
      <w:docPartObj>
        <w:docPartGallery w:val="Page Numbers (Bottom of Page)"/>
        <w:docPartUnique/>
      </w:docPartObj>
    </w:sdtPr>
    <w:sdtEndPr>
      <w:rPr>
        <w:noProof/>
      </w:rPr>
    </w:sdtEndPr>
    <w:sdtContent>
      <w:p w:rsidR="004F48A4" w:rsidRDefault="004F48A4">
        <w:pPr>
          <w:pStyle w:val="Footer"/>
          <w:jc w:val="right"/>
        </w:pPr>
        <w:r>
          <w:fldChar w:fldCharType="begin"/>
        </w:r>
        <w:r>
          <w:instrText xml:space="preserve"> PAGE   \* MERGEFORMAT </w:instrText>
        </w:r>
        <w:r>
          <w:fldChar w:fldCharType="separate"/>
        </w:r>
        <w:r w:rsidR="00851B67">
          <w:rPr>
            <w:noProof/>
          </w:rPr>
          <w:t>1</w:t>
        </w:r>
        <w:r>
          <w:rPr>
            <w:noProof/>
          </w:rPr>
          <w:fldChar w:fldCharType="end"/>
        </w:r>
      </w:p>
    </w:sdtContent>
  </w:sdt>
  <w:p w:rsidR="00CE50C7" w:rsidRDefault="00CE5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0C7" w:rsidRDefault="00CE50C7">
      <w:pPr>
        <w:spacing w:after="0" w:line="240" w:lineRule="auto"/>
      </w:pPr>
      <w:r>
        <w:separator/>
      </w:r>
    </w:p>
  </w:footnote>
  <w:footnote w:type="continuationSeparator" w:id="0">
    <w:p w:rsidR="00CE50C7" w:rsidRDefault="00CE5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A4" w:rsidRPr="004F48A4" w:rsidRDefault="004F48A4" w:rsidP="004F48A4">
    <w:pPr>
      <w:pStyle w:val="Footer"/>
      <w:rPr>
        <w:color w:val="BFBFBF" w:themeColor="background1" w:themeShade="BF"/>
        <w:sz w:val="18"/>
        <w:szCs w:val="18"/>
      </w:rPr>
    </w:pPr>
    <w:r>
      <w:rPr>
        <w:color w:val="BFBFBF" w:themeColor="background1" w:themeShade="BF"/>
        <w:sz w:val="18"/>
        <w:szCs w:val="18"/>
      </w:rPr>
      <w:t xml:space="preserve">                                                                                                                                      </w:t>
    </w:r>
    <w:r w:rsidRPr="004F48A4">
      <w:rPr>
        <w:color w:val="BFBFBF" w:themeColor="background1" w:themeShade="BF"/>
        <w:sz w:val="18"/>
        <w:szCs w:val="18"/>
      </w:rPr>
      <w:t>Staff FAQ Reduced Scale Stepped Marking V1 (26/09/17)</w:t>
    </w:r>
  </w:p>
  <w:p w:rsidR="004F48A4" w:rsidRDefault="004F48A4">
    <w:pPr>
      <w:pStyle w:val="Header"/>
    </w:pPr>
  </w:p>
  <w:p w:rsidR="004F48A4" w:rsidRDefault="004F4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6E0"/>
    <w:multiLevelType w:val="hybridMultilevel"/>
    <w:tmpl w:val="7876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FC63D2"/>
    <w:multiLevelType w:val="hybridMultilevel"/>
    <w:tmpl w:val="00AE70C8"/>
    <w:lvl w:ilvl="0" w:tplc="0809000F">
      <w:start w:val="1"/>
      <w:numFmt w:val="decimal"/>
      <w:lvlText w:val="%1."/>
      <w:lvlJc w:val="left"/>
      <w:pPr>
        <w:ind w:left="360" w:hanging="360"/>
      </w:pPr>
      <w:rPr>
        <w:rFonts w:hint="default"/>
      </w:rPr>
    </w:lvl>
    <w:lvl w:ilvl="1" w:tplc="FCA01634">
      <w:numFmt w:val="bullet"/>
      <w:lvlText w:val="•"/>
      <w:lvlJc w:val="left"/>
      <w:pPr>
        <w:ind w:left="1440" w:hanging="720"/>
      </w:pPr>
      <w:rPr>
        <w:rFonts w:ascii="Calibri" w:eastAsiaTheme="minorEastAsia"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A481E4C"/>
    <w:multiLevelType w:val="hybridMultilevel"/>
    <w:tmpl w:val="D930BB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BFD6A50"/>
    <w:multiLevelType w:val="hybridMultilevel"/>
    <w:tmpl w:val="89B80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2187012"/>
    <w:multiLevelType w:val="hybridMultilevel"/>
    <w:tmpl w:val="1C0A2A0A"/>
    <w:lvl w:ilvl="0" w:tplc="0809000F">
      <w:start w:val="1"/>
      <w:numFmt w:val="decimal"/>
      <w:lvlText w:val="%1."/>
      <w:lvlJc w:val="left"/>
      <w:pPr>
        <w:ind w:left="360" w:hanging="360"/>
      </w:pPr>
      <w:rPr>
        <w:rFonts w:hint="default"/>
      </w:rPr>
    </w:lvl>
    <w:lvl w:ilvl="1" w:tplc="FCA01634">
      <w:numFmt w:val="bullet"/>
      <w:lvlText w:val="•"/>
      <w:lvlJc w:val="left"/>
      <w:pPr>
        <w:ind w:left="1440" w:hanging="720"/>
      </w:pPr>
      <w:rPr>
        <w:rFonts w:ascii="Calibri" w:eastAsiaTheme="minorEastAsia"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10E7FE1"/>
    <w:multiLevelType w:val="hybridMultilevel"/>
    <w:tmpl w:val="9A1CD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D1"/>
    <w:rsid w:val="003328D1"/>
    <w:rsid w:val="004B1D17"/>
    <w:rsid w:val="004F48A4"/>
    <w:rsid w:val="005E608A"/>
    <w:rsid w:val="0066121E"/>
    <w:rsid w:val="00851B67"/>
    <w:rsid w:val="00CE50C7"/>
    <w:rsid w:val="00D81022"/>
    <w:rsid w:val="00DD2559"/>
    <w:rsid w:val="00F8208A"/>
    <w:rsid w:val="00FC1E3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040"/>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04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040"/>
    <w:pPr>
      <w:ind w:left="720"/>
      <w:contextualSpacing/>
    </w:pPr>
  </w:style>
  <w:style w:type="paragraph" w:styleId="NormalWeb">
    <w:name w:val="Normal (Web)"/>
    <w:basedOn w:val="Normal"/>
    <w:uiPriority w:val="99"/>
    <w:rsid w:val="00F760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76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040"/>
    <w:rPr>
      <w:rFonts w:eastAsiaTheme="minorEastAsia"/>
      <w:lang w:eastAsia="zh-CN"/>
    </w:rPr>
  </w:style>
  <w:style w:type="character" w:styleId="Hyperlink">
    <w:name w:val="Hyperlink"/>
    <w:basedOn w:val="DefaultParagraphFont"/>
    <w:uiPriority w:val="99"/>
    <w:unhideWhenUsed/>
    <w:rsid w:val="00F76040"/>
    <w:rPr>
      <w:color w:val="0000FF" w:themeColor="hyperlink"/>
      <w:u w:val="single"/>
    </w:rPr>
  </w:style>
  <w:style w:type="character" w:styleId="CommentReference">
    <w:name w:val="annotation reference"/>
    <w:basedOn w:val="DefaultParagraphFont"/>
    <w:uiPriority w:val="99"/>
    <w:semiHidden/>
    <w:unhideWhenUsed/>
    <w:rsid w:val="00F76040"/>
    <w:rPr>
      <w:sz w:val="16"/>
      <w:szCs w:val="16"/>
    </w:rPr>
  </w:style>
  <w:style w:type="paragraph" w:styleId="CommentText">
    <w:name w:val="annotation text"/>
    <w:basedOn w:val="Normal"/>
    <w:link w:val="CommentTextChar"/>
    <w:uiPriority w:val="99"/>
    <w:semiHidden/>
    <w:unhideWhenUsed/>
    <w:rsid w:val="00F76040"/>
    <w:pPr>
      <w:spacing w:line="240" w:lineRule="auto"/>
    </w:pPr>
    <w:rPr>
      <w:szCs w:val="20"/>
    </w:rPr>
  </w:style>
  <w:style w:type="character" w:customStyle="1" w:styleId="CommentTextChar">
    <w:name w:val="Comment Text Char"/>
    <w:basedOn w:val="DefaultParagraphFont"/>
    <w:link w:val="CommentText"/>
    <w:uiPriority w:val="99"/>
    <w:semiHidden/>
    <w:rsid w:val="00F76040"/>
    <w:rPr>
      <w:rFonts w:eastAsiaTheme="minorEastAsia"/>
      <w:szCs w:val="20"/>
      <w:lang w:eastAsia="zh-CN"/>
    </w:rPr>
  </w:style>
  <w:style w:type="paragraph" w:styleId="BalloonText">
    <w:name w:val="Balloon Text"/>
    <w:basedOn w:val="Normal"/>
    <w:link w:val="BalloonTextChar"/>
    <w:uiPriority w:val="99"/>
    <w:semiHidden/>
    <w:unhideWhenUsed/>
    <w:rsid w:val="00F76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040"/>
    <w:rPr>
      <w:rFonts w:ascii="Tahoma" w:eastAsiaTheme="minorEastAsia" w:hAnsi="Tahoma" w:cs="Tahoma"/>
      <w:sz w:val="16"/>
      <w:szCs w:val="16"/>
      <w:lang w:eastAsia="zh-CN"/>
    </w:rPr>
  </w:style>
  <w:style w:type="character" w:customStyle="1" w:styleId="uficommentbody">
    <w:name w:val="uficommentbody"/>
    <w:basedOn w:val="DefaultParagraphFont"/>
    <w:rsid w:val="00A61303"/>
  </w:style>
  <w:style w:type="paragraph" w:styleId="Header">
    <w:name w:val="header"/>
    <w:basedOn w:val="Normal"/>
    <w:link w:val="HeaderChar"/>
    <w:uiPriority w:val="99"/>
    <w:unhideWhenUsed/>
    <w:rsid w:val="00D81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022"/>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040"/>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04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040"/>
    <w:pPr>
      <w:ind w:left="720"/>
      <w:contextualSpacing/>
    </w:pPr>
  </w:style>
  <w:style w:type="paragraph" w:styleId="NormalWeb">
    <w:name w:val="Normal (Web)"/>
    <w:basedOn w:val="Normal"/>
    <w:uiPriority w:val="99"/>
    <w:rsid w:val="00F760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76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040"/>
    <w:rPr>
      <w:rFonts w:eastAsiaTheme="minorEastAsia"/>
      <w:lang w:eastAsia="zh-CN"/>
    </w:rPr>
  </w:style>
  <w:style w:type="character" w:styleId="Hyperlink">
    <w:name w:val="Hyperlink"/>
    <w:basedOn w:val="DefaultParagraphFont"/>
    <w:uiPriority w:val="99"/>
    <w:unhideWhenUsed/>
    <w:rsid w:val="00F76040"/>
    <w:rPr>
      <w:color w:val="0000FF" w:themeColor="hyperlink"/>
      <w:u w:val="single"/>
    </w:rPr>
  </w:style>
  <w:style w:type="character" w:styleId="CommentReference">
    <w:name w:val="annotation reference"/>
    <w:basedOn w:val="DefaultParagraphFont"/>
    <w:uiPriority w:val="99"/>
    <w:semiHidden/>
    <w:unhideWhenUsed/>
    <w:rsid w:val="00F76040"/>
    <w:rPr>
      <w:sz w:val="16"/>
      <w:szCs w:val="16"/>
    </w:rPr>
  </w:style>
  <w:style w:type="paragraph" w:styleId="CommentText">
    <w:name w:val="annotation text"/>
    <w:basedOn w:val="Normal"/>
    <w:link w:val="CommentTextChar"/>
    <w:uiPriority w:val="99"/>
    <w:semiHidden/>
    <w:unhideWhenUsed/>
    <w:rsid w:val="00F76040"/>
    <w:pPr>
      <w:spacing w:line="240" w:lineRule="auto"/>
    </w:pPr>
    <w:rPr>
      <w:szCs w:val="20"/>
    </w:rPr>
  </w:style>
  <w:style w:type="character" w:customStyle="1" w:styleId="CommentTextChar">
    <w:name w:val="Comment Text Char"/>
    <w:basedOn w:val="DefaultParagraphFont"/>
    <w:link w:val="CommentText"/>
    <w:uiPriority w:val="99"/>
    <w:semiHidden/>
    <w:rsid w:val="00F76040"/>
    <w:rPr>
      <w:rFonts w:eastAsiaTheme="minorEastAsia"/>
      <w:szCs w:val="20"/>
      <w:lang w:eastAsia="zh-CN"/>
    </w:rPr>
  </w:style>
  <w:style w:type="paragraph" w:styleId="BalloonText">
    <w:name w:val="Balloon Text"/>
    <w:basedOn w:val="Normal"/>
    <w:link w:val="BalloonTextChar"/>
    <w:uiPriority w:val="99"/>
    <w:semiHidden/>
    <w:unhideWhenUsed/>
    <w:rsid w:val="00F76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040"/>
    <w:rPr>
      <w:rFonts w:ascii="Tahoma" w:eastAsiaTheme="minorEastAsia" w:hAnsi="Tahoma" w:cs="Tahoma"/>
      <w:sz w:val="16"/>
      <w:szCs w:val="16"/>
      <w:lang w:eastAsia="zh-CN"/>
    </w:rPr>
  </w:style>
  <w:style w:type="character" w:customStyle="1" w:styleId="uficommentbody">
    <w:name w:val="uficommentbody"/>
    <w:basedOn w:val="DefaultParagraphFont"/>
    <w:rsid w:val="00A61303"/>
  </w:style>
  <w:style w:type="paragraph" w:styleId="Header">
    <w:name w:val="header"/>
    <w:basedOn w:val="Normal"/>
    <w:link w:val="HeaderChar"/>
    <w:uiPriority w:val="99"/>
    <w:unhideWhenUsed/>
    <w:rsid w:val="00D81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022"/>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cuments.manchester.ac.uk/display.aspx?DocID=2456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44E6B-2EA6-4E9B-9A28-3B5199EA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1748</Words>
  <Characters>9966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Smyth</dc:creator>
  <cp:lastModifiedBy>Susan Rowe</cp:lastModifiedBy>
  <cp:revision>2</cp:revision>
  <dcterms:created xsi:type="dcterms:W3CDTF">2017-09-27T08:05:00Z</dcterms:created>
  <dcterms:modified xsi:type="dcterms:W3CDTF">2017-09-27T08:05:00Z</dcterms:modified>
</cp:coreProperties>
</file>