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E" w:rsidRPr="00885E63" w:rsidRDefault="0096413D" w:rsidP="001B77AE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>
        <w:rPr>
          <w:rFonts w:cs="Arial"/>
          <w:b/>
          <w:sz w:val="21"/>
          <w:szCs w:val="21"/>
        </w:rPr>
        <w:t xml:space="preserve"> </w:t>
      </w:r>
      <w:r w:rsidR="001B77AE" w:rsidRPr="00885E63">
        <w:rPr>
          <w:rFonts w:cs="Arial"/>
          <w:b/>
          <w:sz w:val="21"/>
          <w:szCs w:val="21"/>
        </w:rPr>
        <w:t>Faculty of Humanities</w:t>
      </w:r>
    </w:p>
    <w:p w:rsidR="001B77AE" w:rsidRPr="00885E63" w:rsidRDefault="001B77AE" w:rsidP="001B77AE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885E63">
        <w:rPr>
          <w:rFonts w:cs="Arial"/>
          <w:b/>
          <w:sz w:val="21"/>
          <w:szCs w:val="21"/>
        </w:rPr>
        <w:t>Teaching &amp; Learning Committee</w:t>
      </w:r>
    </w:p>
    <w:p w:rsidR="001B77AE" w:rsidRPr="00885E63" w:rsidRDefault="001B77AE" w:rsidP="001B77AE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885E63">
        <w:rPr>
          <w:rFonts w:cs="Arial"/>
          <w:b/>
          <w:sz w:val="21"/>
          <w:szCs w:val="21"/>
        </w:rPr>
        <w:t xml:space="preserve"> Minutes of the meeting of </w:t>
      </w:r>
      <w:r w:rsidR="009D2274">
        <w:rPr>
          <w:rFonts w:cs="Arial"/>
          <w:b/>
          <w:sz w:val="21"/>
          <w:szCs w:val="21"/>
        </w:rPr>
        <w:t xml:space="preserve">7 October </w:t>
      </w:r>
      <w:r w:rsidR="00FD344E">
        <w:rPr>
          <w:rFonts w:cs="Arial"/>
          <w:b/>
          <w:sz w:val="21"/>
          <w:szCs w:val="21"/>
        </w:rPr>
        <w:t xml:space="preserve">2015 </w:t>
      </w:r>
    </w:p>
    <w:p w:rsidR="001B77AE" w:rsidRPr="0011704C" w:rsidRDefault="00FD344E" w:rsidP="001B77AE">
      <w:pPr>
        <w:spacing w:after="0" w:line="240" w:lineRule="auto"/>
        <w:jc w:val="center"/>
        <w:rPr>
          <w:rFonts w:cs="Arial"/>
          <w:sz w:val="21"/>
          <w:szCs w:val="21"/>
        </w:rPr>
      </w:pPr>
      <w:r w:rsidRPr="0011704C">
        <w:rPr>
          <w:rFonts w:cs="Arial"/>
          <w:b/>
          <w:sz w:val="21"/>
          <w:szCs w:val="21"/>
        </w:rPr>
        <w:t xml:space="preserve">Room </w:t>
      </w:r>
      <w:r w:rsidR="0011704C" w:rsidRPr="0011704C">
        <w:rPr>
          <w:rFonts w:cs="Arial"/>
          <w:b/>
          <w:sz w:val="21"/>
          <w:szCs w:val="21"/>
        </w:rPr>
        <w:t>G1.08</w:t>
      </w:r>
      <w:r w:rsidR="001B77AE" w:rsidRPr="0011704C">
        <w:rPr>
          <w:rFonts w:cs="Arial"/>
          <w:b/>
          <w:sz w:val="21"/>
          <w:szCs w:val="21"/>
        </w:rPr>
        <w:t xml:space="preserve">, </w:t>
      </w:r>
      <w:r w:rsidR="009D2274" w:rsidRPr="0011704C">
        <w:rPr>
          <w:rFonts w:cs="Arial"/>
          <w:b/>
          <w:sz w:val="21"/>
          <w:szCs w:val="21"/>
        </w:rPr>
        <w:t>Alan Turing Building</w:t>
      </w:r>
      <w:r w:rsidR="001B77AE" w:rsidRPr="0011704C">
        <w:rPr>
          <w:rFonts w:cs="Arial"/>
          <w:b/>
          <w:sz w:val="21"/>
          <w:szCs w:val="21"/>
        </w:rPr>
        <w:t xml:space="preserve"> </w:t>
      </w:r>
    </w:p>
    <w:p w:rsidR="00373D3D" w:rsidRPr="00084B69" w:rsidRDefault="00373D3D" w:rsidP="001B77AE">
      <w:pPr>
        <w:spacing w:after="0" w:line="240" w:lineRule="auto"/>
        <w:rPr>
          <w:rFonts w:cs="Arial"/>
          <w:b/>
          <w:sz w:val="20"/>
          <w:szCs w:val="20"/>
        </w:rPr>
      </w:pPr>
    </w:p>
    <w:p w:rsidR="00373D3D" w:rsidRPr="00084B69" w:rsidRDefault="00373D3D" w:rsidP="00373D3D">
      <w:pPr>
        <w:snapToGrid w:val="0"/>
        <w:spacing w:after="0" w:line="240" w:lineRule="auto"/>
        <w:rPr>
          <w:b/>
          <w:bCs/>
          <w:sz w:val="20"/>
          <w:szCs w:val="20"/>
        </w:rPr>
      </w:pPr>
      <w:r w:rsidRPr="00084B69">
        <w:rPr>
          <w:b/>
          <w:bCs/>
          <w:sz w:val="20"/>
          <w:szCs w:val="20"/>
        </w:rPr>
        <w:t>Present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Fiona Smyth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Associate Dean for Teaching, Learning &amp; Students (Chair)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Mark Baker</w:t>
      </w:r>
      <w:r w:rsidRPr="00084B69">
        <w:rPr>
          <w:rFonts w:cs="Arial"/>
          <w:sz w:val="20"/>
          <w:szCs w:val="20"/>
        </w:rPr>
        <w:tab/>
        <w:t xml:space="preserve"> </w:t>
      </w:r>
      <w:r w:rsidRPr="00084B69">
        <w:rPr>
          <w:rFonts w:cs="Arial"/>
          <w:sz w:val="20"/>
          <w:szCs w:val="20"/>
        </w:rPr>
        <w:tab/>
        <w:t>Director of Teaching and Learning, SEED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 xml:space="preserve">Sharon Clarke 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Director of Teaching and Learning, MBS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Lisa McAleese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Faculty Teaching and Learning Manager</w:t>
      </w:r>
    </w:p>
    <w:p w:rsidR="00373D3D" w:rsidRPr="00084B69" w:rsidRDefault="0011704C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Ken Clark</w:t>
      </w:r>
      <w:r w:rsidR="00373D3D"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 xml:space="preserve">Teaching and Learning </w:t>
      </w:r>
      <w:r w:rsidR="00373D3D" w:rsidRPr="00084B69">
        <w:rPr>
          <w:rFonts w:cs="Arial"/>
          <w:sz w:val="20"/>
          <w:szCs w:val="20"/>
        </w:rPr>
        <w:t xml:space="preserve">Director, </w:t>
      </w:r>
      <w:proofErr w:type="spellStart"/>
      <w:r w:rsidR="00373D3D" w:rsidRPr="00084B69">
        <w:rPr>
          <w:rFonts w:cs="Arial"/>
          <w:sz w:val="20"/>
          <w:szCs w:val="20"/>
        </w:rPr>
        <w:t>SoSS</w:t>
      </w:r>
      <w:proofErr w:type="spellEnd"/>
      <w:r w:rsidR="00373D3D" w:rsidRPr="00084B69">
        <w:rPr>
          <w:rFonts w:cs="Arial"/>
          <w:sz w:val="20"/>
          <w:szCs w:val="20"/>
        </w:rPr>
        <w:tab/>
      </w:r>
    </w:p>
    <w:p w:rsidR="00FD344E" w:rsidRPr="00084B69" w:rsidRDefault="00FD344E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Judy Zolkiewski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Assistant Associate Dean for Teaching, Learning &amp; Students</w:t>
      </w:r>
    </w:p>
    <w:p w:rsidR="00FD344E" w:rsidRPr="00084B69" w:rsidRDefault="00FD344E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Matthew Jefferies</w:t>
      </w:r>
      <w:r w:rsidRPr="00084B69">
        <w:rPr>
          <w:rFonts w:cs="Arial"/>
          <w:sz w:val="20"/>
          <w:szCs w:val="20"/>
        </w:rPr>
        <w:tab/>
        <w:t>Assistant Associate Dean for Teaching Learning &amp; Students</w:t>
      </w:r>
    </w:p>
    <w:p w:rsidR="00FD344E" w:rsidRPr="00084B69" w:rsidRDefault="00FD344E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Mark Elliot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 xml:space="preserve">Director of Postgraduate Studies, </w:t>
      </w:r>
      <w:proofErr w:type="spellStart"/>
      <w:r w:rsidRPr="00084B69">
        <w:rPr>
          <w:rFonts w:cs="Arial"/>
          <w:sz w:val="20"/>
          <w:szCs w:val="20"/>
        </w:rPr>
        <w:t>SoSS</w:t>
      </w:r>
      <w:proofErr w:type="spellEnd"/>
    </w:p>
    <w:p w:rsidR="00FD344E" w:rsidRPr="00084B69" w:rsidRDefault="0011704C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Liam Harte</w:t>
      </w:r>
      <w:r w:rsidR="00FD344E" w:rsidRPr="00084B69">
        <w:rPr>
          <w:rFonts w:cs="Arial"/>
          <w:sz w:val="20"/>
          <w:szCs w:val="20"/>
        </w:rPr>
        <w:tab/>
      </w:r>
      <w:r w:rsidR="00FD344E" w:rsidRPr="00084B69">
        <w:rPr>
          <w:rFonts w:cs="Arial"/>
          <w:sz w:val="20"/>
          <w:szCs w:val="20"/>
        </w:rPr>
        <w:tab/>
        <w:t>Director of Undergraduate Education, SALC</w:t>
      </w:r>
    </w:p>
    <w:p w:rsidR="00FD344E" w:rsidRPr="00084B69" w:rsidRDefault="0011704C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David Brown</w:t>
      </w:r>
      <w:r w:rsidR="00FD344E" w:rsidRPr="00084B69">
        <w:rPr>
          <w:rFonts w:cs="Arial"/>
          <w:sz w:val="20"/>
          <w:szCs w:val="20"/>
        </w:rPr>
        <w:tab/>
      </w:r>
      <w:r w:rsidR="00FD344E" w:rsidRPr="00084B69">
        <w:rPr>
          <w:rFonts w:cs="Arial"/>
          <w:sz w:val="20"/>
          <w:szCs w:val="20"/>
        </w:rPr>
        <w:tab/>
        <w:t>Director of Graduate Education</w:t>
      </w:r>
    </w:p>
    <w:p w:rsidR="001E0975" w:rsidRPr="00084B69" w:rsidRDefault="001E0975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Michael Spence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Education Officer, UMSU</w:t>
      </w:r>
    </w:p>
    <w:p w:rsidR="0011704C" w:rsidRPr="00084B69" w:rsidRDefault="0011704C" w:rsidP="00373D3D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b/>
          <w:bCs/>
          <w:sz w:val="20"/>
          <w:szCs w:val="20"/>
        </w:rPr>
        <w:t>Ex-officio members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Nicola Lord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Faculty Teaching and Learning Officer</w:t>
      </w:r>
    </w:p>
    <w:p w:rsidR="003C2C4B" w:rsidRPr="00084B69" w:rsidRDefault="00FD344E" w:rsidP="003C2C4B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Anna Verges-Baus</w:t>
      </w:r>
      <w:r w:rsidR="00975528" w:rsidRPr="00084B69">
        <w:rPr>
          <w:rFonts w:cs="Arial"/>
          <w:sz w:val="20"/>
          <w:szCs w:val="20"/>
        </w:rPr>
        <w:t>i</w:t>
      </w:r>
      <w:r w:rsidRPr="00084B69">
        <w:rPr>
          <w:rFonts w:cs="Arial"/>
          <w:sz w:val="20"/>
          <w:szCs w:val="20"/>
        </w:rPr>
        <w:t>li</w:t>
      </w:r>
      <w:r w:rsidR="003C2C4B" w:rsidRPr="00084B69">
        <w:rPr>
          <w:rFonts w:cs="Arial"/>
          <w:sz w:val="20"/>
          <w:szCs w:val="20"/>
        </w:rPr>
        <w:tab/>
        <w:t>Faculty eLearning Manager</w:t>
      </w:r>
    </w:p>
    <w:p w:rsidR="00975528" w:rsidRPr="00084B69" w:rsidRDefault="00975528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Katy Woolfenden</w:t>
      </w:r>
      <w:r w:rsidRPr="00084B69">
        <w:rPr>
          <w:rFonts w:cs="Arial"/>
          <w:sz w:val="20"/>
          <w:szCs w:val="20"/>
        </w:rPr>
        <w:tab/>
      </w:r>
      <w:r w:rsid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>Head of Teaching Learning &amp; Students, Library</w:t>
      </w:r>
    </w:p>
    <w:p w:rsidR="00373D3D" w:rsidRPr="00084B69" w:rsidRDefault="00373D3D" w:rsidP="00373D3D">
      <w:pPr>
        <w:spacing w:after="0" w:line="240" w:lineRule="auto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Emma Sanders</w:t>
      </w:r>
      <w:r w:rsidRPr="00084B69">
        <w:rPr>
          <w:rFonts w:cs="Arial"/>
          <w:sz w:val="20"/>
          <w:szCs w:val="20"/>
        </w:rPr>
        <w:tab/>
      </w:r>
      <w:r w:rsidRPr="00084B69">
        <w:rPr>
          <w:rFonts w:cs="Arial"/>
          <w:sz w:val="20"/>
          <w:szCs w:val="20"/>
        </w:rPr>
        <w:tab/>
        <w:t>Faculty Teaching and Learning Officer (Secretary)</w:t>
      </w:r>
    </w:p>
    <w:p w:rsidR="00FD344E" w:rsidRPr="00084B69" w:rsidRDefault="00F65291" w:rsidP="00F65291">
      <w:pPr>
        <w:spacing w:after="0" w:line="240" w:lineRule="auto"/>
        <w:ind w:left="2160" w:hanging="2160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 xml:space="preserve">Elinor O Connor </w:t>
      </w:r>
      <w:r w:rsidRPr="00084B69">
        <w:rPr>
          <w:rFonts w:cs="Arial"/>
          <w:sz w:val="20"/>
          <w:szCs w:val="20"/>
        </w:rPr>
        <w:tab/>
        <w:t>MBS Director of Postgraduate Studies</w:t>
      </w:r>
      <w:r w:rsidR="00FD344E" w:rsidRPr="00084B69">
        <w:rPr>
          <w:rFonts w:cs="Arial"/>
          <w:sz w:val="20"/>
          <w:szCs w:val="20"/>
        </w:rPr>
        <w:tab/>
      </w:r>
    </w:p>
    <w:p w:rsidR="00373D3D" w:rsidRPr="00084B69" w:rsidRDefault="00FD344E" w:rsidP="0011704C">
      <w:pPr>
        <w:spacing w:after="0" w:line="240" w:lineRule="auto"/>
        <w:ind w:left="2160" w:hanging="2160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Norma Hird</w:t>
      </w:r>
      <w:r w:rsidRPr="00084B69">
        <w:rPr>
          <w:rFonts w:cs="Arial"/>
          <w:sz w:val="20"/>
          <w:szCs w:val="20"/>
        </w:rPr>
        <w:tab/>
        <w:t>School of Law Undergraduate Studies</w:t>
      </w:r>
    </w:p>
    <w:p w:rsidR="0011704C" w:rsidRPr="00084B69" w:rsidRDefault="0011704C" w:rsidP="0011704C">
      <w:pPr>
        <w:spacing w:after="0" w:line="240" w:lineRule="auto"/>
        <w:ind w:left="2160" w:hanging="2160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Bruce Wardhaugh</w:t>
      </w:r>
      <w:r w:rsidRPr="00084B69">
        <w:rPr>
          <w:rFonts w:cs="Arial"/>
          <w:sz w:val="20"/>
          <w:szCs w:val="20"/>
        </w:rPr>
        <w:tab/>
        <w:t>School of Law PGT Studies</w:t>
      </w:r>
    </w:p>
    <w:p w:rsidR="0011704C" w:rsidRPr="00084B69" w:rsidRDefault="0011704C" w:rsidP="0011704C">
      <w:pPr>
        <w:spacing w:after="0" w:line="240" w:lineRule="auto"/>
        <w:ind w:left="2160" w:hanging="2160"/>
        <w:rPr>
          <w:rFonts w:cs="Arial"/>
          <w:sz w:val="20"/>
          <w:szCs w:val="20"/>
        </w:rPr>
      </w:pPr>
      <w:r w:rsidRPr="00084B69">
        <w:rPr>
          <w:rFonts w:cs="Arial"/>
          <w:sz w:val="20"/>
          <w:szCs w:val="20"/>
        </w:rPr>
        <w:t>Anna Goatman</w:t>
      </w:r>
      <w:r w:rsidRPr="00084B69">
        <w:rPr>
          <w:rFonts w:cs="Arial"/>
          <w:sz w:val="20"/>
          <w:szCs w:val="20"/>
        </w:rPr>
        <w:tab/>
        <w:t xml:space="preserve">MBS </w:t>
      </w:r>
      <w:r w:rsidR="001E0975" w:rsidRPr="00084B69">
        <w:rPr>
          <w:rFonts w:cs="Arial"/>
          <w:sz w:val="20"/>
          <w:szCs w:val="20"/>
        </w:rPr>
        <w:t>UG Studies</w:t>
      </w:r>
    </w:p>
    <w:p w:rsidR="0011704C" w:rsidRPr="00084B69" w:rsidRDefault="0011704C" w:rsidP="0011704C">
      <w:pPr>
        <w:spacing w:after="0" w:line="240" w:lineRule="auto"/>
        <w:ind w:left="2160" w:hanging="2160"/>
        <w:rPr>
          <w:rFonts w:cs="Arial"/>
          <w:sz w:val="20"/>
          <w:szCs w:val="20"/>
        </w:rPr>
      </w:pPr>
    </w:p>
    <w:p w:rsidR="00373D3D" w:rsidRPr="00084B69" w:rsidRDefault="000844DA" w:rsidP="001B77AE">
      <w:pPr>
        <w:spacing w:after="0" w:line="240" w:lineRule="auto"/>
        <w:rPr>
          <w:rFonts w:cs="Arial"/>
          <w:b/>
          <w:sz w:val="20"/>
          <w:szCs w:val="20"/>
        </w:rPr>
      </w:pPr>
      <w:r w:rsidRPr="00084B69">
        <w:rPr>
          <w:rFonts w:cs="Arial"/>
          <w:b/>
          <w:sz w:val="20"/>
          <w:szCs w:val="20"/>
        </w:rPr>
        <w:t>By invitation</w:t>
      </w:r>
    </w:p>
    <w:p w:rsidR="000844DA" w:rsidRPr="00084B69" w:rsidRDefault="000844DA" w:rsidP="001B77AE">
      <w:pPr>
        <w:spacing w:after="0" w:line="240" w:lineRule="auto"/>
        <w:rPr>
          <w:rFonts w:cs="Arial"/>
          <w:b/>
          <w:sz w:val="20"/>
          <w:szCs w:val="20"/>
        </w:rPr>
      </w:pPr>
      <w:r w:rsidRPr="00084B69">
        <w:rPr>
          <w:rFonts w:cs="Arial"/>
          <w:sz w:val="20"/>
          <w:szCs w:val="20"/>
        </w:rPr>
        <w:t>Xavier Duran Martinez</w:t>
      </w:r>
      <w:r w:rsidRPr="00084B69">
        <w:rPr>
          <w:rFonts w:cs="Arial"/>
          <w:sz w:val="20"/>
          <w:szCs w:val="20"/>
        </w:rPr>
        <w:tab/>
        <w:t>pp Elaine Ferneley</w:t>
      </w:r>
    </w:p>
    <w:p w:rsidR="00FD344E" w:rsidRPr="00885E63" w:rsidRDefault="00FD344E" w:rsidP="001B77AE">
      <w:pPr>
        <w:spacing w:after="0" w:line="240" w:lineRule="auto"/>
        <w:rPr>
          <w:rFonts w:cs="Arial"/>
          <w:sz w:val="21"/>
          <w:szCs w:val="21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AA24BA" w:rsidTr="00687C5A">
        <w:tc>
          <w:tcPr>
            <w:tcW w:w="2235" w:type="dxa"/>
            <w:shd w:val="clear" w:color="auto" w:fill="F2F2F2" w:themeFill="background1" w:themeFillShade="F2"/>
          </w:tcPr>
          <w:p w:rsidR="00AA24BA" w:rsidRPr="00AA24BA" w:rsidRDefault="00AA24BA" w:rsidP="00AA24BA">
            <w:pPr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AA24BA" w:rsidRPr="00AA24BA" w:rsidRDefault="000844DA" w:rsidP="009D227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4BA" w:rsidRPr="00AA24BA" w:rsidRDefault="00AA24BA" w:rsidP="009D2274">
            <w:pPr>
              <w:rPr>
                <w:rFonts w:cs="Arial"/>
                <w:b/>
                <w:sz w:val="20"/>
                <w:szCs w:val="20"/>
              </w:rPr>
            </w:pPr>
            <w:r w:rsidRPr="00AA24BA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362C89" w:rsidTr="00687C5A">
        <w:tc>
          <w:tcPr>
            <w:tcW w:w="2235" w:type="dxa"/>
            <w:shd w:val="clear" w:color="auto" w:fill="auto"/>
          </w:tcPr>
          <w:p w:rsidR="00362C89" w:rsidRPr="00362C89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362C89">
              <w:rPr>
                <w:b/>
                <w:color w:val="000000"/>
                <w:sz w:val="20"/>
                <w:szCs w:val="20"/>
              </w:rPr>
              <w:t>Apologies</w:t>
            </w:r>
            <w:r w:rsidRPr="00362C89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362C89" w:rsidRPr="00362C89" w:rsidRDefault="00362C89" w:rsidP="000844DA">
            <w:pPr>
              <w:rPr>
                <w:rFonts w:cs="Arial"/>
                <w:b/>
                <w:sz w:val="20"/>
                <w:szCs w:val="20"/>
              </w:rPr>
            </w:pPr>
            <w:r w:rsidRPr="00362C89">
              <w:rPr>
                <w:rFonts w:cs="Arial"/>
                <w:sz w:val="20"/>
                <w:szCs w:val="20"/>
              </w:rPr>
              <w:t>Rebecca Bennett (Director o</w:t>
            </w:r>
            <w:r w:rsidR="000844DA">
              <w:rPr>
                <w:rFonts w:cs="Arial"/>
                <w:sz w:val="20"/>
                <w:szCs w:val="20"/>
              </w:rPr>
              <w:t xml:space="preserve">f Teaching and Learning, </w:t>
            </w:r>
            <w:proofErr w:type="spellStart"/>
            <w:r w:rsidR="000844DA">
              <w:rPr>
                <w:rFonts w:cs="Arial"/>
                <w:sz w:val="20"/>
                <w:szCs w:val="20"/>
              </w:rPr>
              <w:t>SoL</w:t>
            </w:r>
            <w:proofErr w:type="spellEnd"/>
            <w:r w:rsidR="000844D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62C89" w:rsidRPr="00AA24BA" w:rsidRDefault="000844DA" w:rsidP="000844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362C8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362C8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sz w:val="20"/>
                <w:szCs w:val="20"/>
              </w:rPr>
            </w:pPr>
            <w:r w:rsidRPr="00AA24BA">
              <w:rPr>
                <w:b/>
                <w:color w:val="000000"/>
                <w:sz w:val="20"/>
                <w:szCs w:val="20"/>
              </w:rPr>
              <w:t xml:space="preserve">Presentation from Off-Campus Students Project Coordinator </w:t>
            </w:r>
            <w:r w:rsidRPr="00AA24BA">
              <w:rPr>
                <w:b/>
                <w:sz w:val="20"/>
                <w:szCs w:val="20"/>
              </w:rPr>
              <w:t xml:space="preserve">(Miriam Amies) </w:t>
            </w:r>
            <w:r w:rsidRPr="00AA24BA">
              <w:rPr>
                <w:bCs/>
                <w:sz w:val="20"/>
                <w:szCs w:val="20"/>
              </w:rPr>
              <w:t>[HTLC/1/15/2]</w:t>
            </w:r>
            <w:r w:rsidRPr="00AA24B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86" w:type="dxa"/>
          </w:tcPr>
          <w:p w:rsidR="00C763DA" w:rsidRPr="00C763DA" w:rsidRDefault="00C763DA" w:rsidP="00837D65">
            <w:pPr>
              <w:rPr>
                <w:b/>
                <w:sz w:val="20"/>
                <w:szCs w:val="20"/>
              </w:rPr>
            </w:pPr>
            <w:r w:rsidRPr="00C763DA">
              <w:rPr>
                <w:b/>
                <w:sz w:val="20"/>
                <w:szCs w:val="20"/>
              </w:rPr>
              <w:t xml:space="preserve">Reported: </w:t>
            </w:r>
          </w:p>
          <w:p w:rsidR="00BA5A76" w:rsidRDefault="00BA5A76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role of Off-Campus Students Project Coordinator had been created a year ago, but Miriam had only just taken up the post, replacing Jess Nightingale. </w:t>
            </w:r>
          </w:p>
          <w:p w:rsidR="00BA5A76" w:rsidRDefault="00BA5A76" w:rsidP="00837D65">
            <w:pPr>
              <w:rPr>
                <w:sz w:val="20"/>
                <w:szCs w:val="20"/>
              </w:rPr>
            </w:pPr>
          </w:p>
          <w:p w:rsidR="00BA5A76" w:rsidRDefault="00BA5A76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completed to date indicated that m</w:t>
            </w:r>
            <w:r w:rsidR="00362C89">
              <w:rPr>
                <w:sz w:val="20"/>
                <w:szCs w:val="20"/>
              </w:rPr>
              <w:t xml:space="preserve">ale </w:t>
            </w:r>
            <w:r>
              <w:rPr>
                <w:sz w:val="20"/>
                <w:szCs w:val="20"/>
              </w:rPr>
              <w:t xml:space="preserve">students </w:t>
            </w:r>
            <w:r w:rsidR="00362C89">
              <w:rPr>
                <w:sz w:val="20"/>
                <w:szCs w:val="20"/>
              </w:rPr>
              <w:t xml:space="preserve">living at home may need more </w:t>
            </w:r>
            <w:r>
              <w:rPr>
                <w:sz w:val="20"/>
                <w:szCs w:val="20"/>
              </w:rPr>
              <w:t xml:space="preserve">academic </w:t>
            </w:r>
            <w:r w:rsidR="00362C89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prevent them dropping out</w:t>
            </w:r>
            <w:r w:rsidR="00362C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whereas it is believed from the timing of student withdrawals that </w:t>
            </w:r>
            <w:r w:rsidR="00362C89">
              <w:rPr>
                <w:sz w:val="20"/>
                <w:szCs w:val="20"/>
              </w:rPr>
              <w:t xml:space="preserve">female students </w:t>
            </w:r>
            <w:r>
              <w:rPr>
                <w:sz w:val="20"/>
                <w:szCs w:val="20"/>
              </w:rPr>
              <w:t xml:space="preserve">are more likely to </w:t>
            </w:r>
            <w:r w:rsidR="00362C89">
              <w:rPr>
                <w:sz w:val="20"/>
                <w:szCs w:val="20"/>
              </w:rPr>
              <w:t xml:space="preserve">withdraw for </w:t>
            </w:r>
            <w:r>
              <w:rPr>
                <w:sz w:val="20"/>
                <w:szCs w:val="20"/>
              </w:rPr>
              <w:t xml:space="preserve">personal, </w:t>
            </w:r>
            <w:r w:rsidR="00362C89">
              <w:rPr>
                <w:sz w:val="20"/>
                <w:szCs w:val="20"/>
              </w:rPr>
              <w:t xml:space="preserve">social reasons.  </w:t>
            </w:r>
          </w:p>
          <w:p w:rsidR="00BA5A76" w:rsidRDefault="00BA5A76" w:rsidP="00837D65">
            <w:pPr>
              <w:rPr>
                <w:sz w:val="20"/>
                <w:szCs w:val="20"/>
              </w:rPr>
            </w:pPr>
          </w:p>
          <w:p w:rsidR="004552A3" w:rsidRDefault="00362C89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Mature students </w:t>
            </w:r>
            <w:r w:rsidR="00BA5A76">
              <w:rPr>
                <w:sz w:val="20"/>
                <w:szCs w:val="20"/>
              </w:rPr>
              <w:t xml:space="preserve">are in danger of being ignored as a specific group, </w:t>
            </w:r>
            <w:r>
              <w:rPr>
                <w:sz w:val="20"/>
                <w:szCs w:val="20"/>
              </w:rPr>
              <w:t xml:space="preserve">but </w:t>
            </w:r>
            <w:r w:rsidR="004552A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different expectations/levels of engagement </w:t>
            </w:r>
            <w:r w:rsidR="004552A3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18-yr old s</w:t>
            </w:r>
            <w:r w:rsidR="004552A3">
              <w:rPr>
                <w:sz w:val="20"/>
                <w:szCs w:val="20"/>
              </w:rPr>
              <w:t>tudent</w:t>
            </w:r>
            <w:r>
              <w:rPr>
                <w:sz w:val="20"/>
                <w:szCs w:val="20"/>
              </w:rPr>
              <w:t xml:space="preserve">s </w:t>
            </w:r>
            <w:r w:rsidR="004552A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affect mature students’ satisfaction</w:t>
            </w:r>
            <w:r w:rsidR="004552A3">
              <w:rPr>
                <w:sz w:val="20"/>
                <w:szCs w:val="20"/>
              </w:rPr>
              <w:t>, e.g</w:t>
            </w:r>
            <w:r>
              <w:rPr>
                <w:sz w:val="20"/>
                <w:szCs w:val="20"/>
              </w:rPr>
              <w:t>.</w:t>
            </w:r>
            <w:r w:rsidR="004552A3">
              <w:rPr>
                <w:sz w:val="20"/>
                <w:szCs w:val="20"/>
              </w:rPr>
              <w:t xml:space="preserve"> the quality of seminar discussion greatly depends on contributions from well-prepared and engaged students.</w:t>
            </w:r>
            <w:r>
              <w:rPr>
                <w:sz w:val="20"/>
                <w:szCs w:val="20"/>
              </w:rPr>
              <w:t xml:space="preserve"> </w:t>
            </w:r>
          </w:p>
          <w:p w:rsidR="004552A3" w:rsidRDefault="004552A3" w:rsidP="00837D65">
            <w:pPr>
              <w:rPr>
                <w:sz w:val="20"/>
                <w:szCs w:val="20"/>
              </w:rPr>
            </w:pPr>
          </w:p>
          <w:p w:rsidR="004552A3" w:rsidRDefault="00742244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Mature students </w:t>
            </w:r>
            <w:r w:rsidR="004552A3">
              <w:rPr>
                <w:sz w:val="20"/>
                <w:szCs w:val="20"/>
              </w:rPr>
              <w:t xml:space="preserve">often </w:t>
            </w:r>
            <w:r>
              <w:rPr>
                <w:sz w:val="20"/>
                <w:szCs w:val="20"/>
              </w:rPr>
              <w:t xml:space="preserve">need more help </w:t>
            </w:r>
            <w:r w:rsidR="004552A3">
              <w:rPr>
                <w:sz w:val="20"/>
                <w:szCs w:val="20"/>
              </w:rPr>
              <w:t xml:space="preserve">study skills such as </w:t>
            </w:r>
            <w:r>
              <w:rPr>
                <w:sz w:val="20"/>
                <w:szCs w:val="20"/>
              </w:rPr>
              <w:t xml:space="preserve">referencing styles etc. </w:t>
            </w:r>
            <w:r w:rsidR="004552A3">
              <w:rPr>
                <w:sz w:val="20"/>
                <w:szCs w:val="20"/>
              </w:rPr>
              <w:t>either bec</w:t>
            </w:r>
            <w:r>
              <w:rPr>
                <w:sz w:val="20"/>
                <w:szCs w:val="20"/>
              </w:rPr>
              <w:t>a</w:t>
            </w:r>
            <w:r w:rsidR="004552A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 w:rsidR="004552A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they are out of practice</w:t>
            </w:r>
            <w:r w:rsidR="004552A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expectations </w:t>
            </w:r>
            <w:r w:rsidR="004552A3">
              <w:rPr>
                <w:sz w:val="20"/>
                <w:szCs w:val="20"/>
              </w:rPr>
              <w:t xml:space="preserve">/ conventions may </w:t>
            </w:r>
            <w:r>
              <w:rPr>
                <w:sz w:val="20"/>
                <w:szCs w:val="20"/>
              </w:rPr>
              <w:t>have changed</w:t>
            </w:r>
            <w:r w:rsidR="004552A3">
              <w:rPr>
                <w:sz w:val="20"/>
                <w:szCs w:val="20"/>
              </w:rPr>
              <w:t>, or because they have entered via a non-standard route such as an access course</w:t>
            </w:r>
            <w:r>
              <w:rPr>
                <w:sz w:val="20"/>
                <w:szCs w:val="20"/>
              </w:rPr>
              <w:t xml:space="preserve">. </w:t>
            </w:r>
            <w:r w:rsidR="00434203">
              <w:rPr>
                <w:sz w:val="20"/>
                <w:szCs w:val="20"/>
              </w:rPr>
              <w:t xml:space="preserve"> </w:t>
            </w:r>
          </w:p>
          <w:p w:rsidR="004552A3" w:rsidRDefault="004552A3" w:rsidP="00837D65">
            <w:pPr>
              <w:rPr>
                <w:sz w:val="20"/>
                <w:szCs w:val="20"/>
              </w:rPr>
            </w:pPr>
          </w:p>
          <w:p w:rsidR="0051744F" w:rsidRDefault="00434203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can be particularly challenging if students are required to meet up face to face, as many live far away.</w:t>
            </w:r>
            <w:r w:rsidR="007D610E">
              <w:rPr>
                <w:sz w:val="20"/>
                <w:szCs w:val="20"/>
              </w:rPr>
              <w:t xml:space="preserve"> </w:t>
            </w:r>
            <w:r w:rsidR="004552A3">
              <w:rPr>
                <w:sz w:val="20"/>
                <w:szCs w:val="20"/>
              </w:rPr>
              <w:t>Academics are asked to b</w:t>
            </w:r>
            <w:r w:rsidR="007D610E">
              <w:rPr>
                <w:sz w:val="20"/>
                <w:szCs w:val="20"/>
              </w:rPr>
              <w:t xml:space="preserve">ear study modes in mind when designing courses. </w:t>
            </w:r>
          </w:p>
          <w:p w:rsidR="004552A3" w:rsidRDefault="004552A3" w:rsidP="00837D65">
            <w:pPr>
              <w:rPr>
                <w:sz w:val="20"/>
                <w:szCs w:val="20"/>
              </w:rPr>
            </w:pPr>
          </w:p>
          <w:p w:rsidR="0051744F" w:rsidRPr="004552A3" w:rsidRDefault="004552A3" w:rsidP="00837D65">
            <w:pPr>
              <w:rPr>
                <w:b/>
                <w:sz w:val="20"/>
                <w:szCs w:val="20"/>
              </w:rPr>
            </w:pPr>
            <w:r w:rsidRPr="004552A3">
              <w:rPr>
                <w:b/>
                <w:sz w:val="20"/>
                <w:szCs w:val="20"/>
              </w:rPr>
              <w:t xml:space="preserve">Discussed: </w:t>
            </w:r>
          </w:p>
          <w:p w:rsidR="00362C89" w:rsidRDefault="00E91D15" w:rsidP="00837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Miriam hopes to </w:t>
            </w:r>
            <w:r w:rsidR="00084B69">
              <w:rPr>
                <w:sz w:val="20"/>
                <w:szCs w:val="20"/>
              </w:rPr>
              <w:t xml:space="preserve">extend the project to Distance Learning students by </w:t>
            </w:r>
            <w:r>
              <w:rPr>
                <w:sz w:val="20"/>
                <w:szCs w:val="20"/>
              </w:rPr>
              <w:t>contact</w:t>
            </w:r>
            <w:r w:rsidR="00084B6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them online e.g. via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51744F" w:rsidRDefault="0051744F" w:rsidP="00837D65">
            <w:pPr>
              <w:rPr>
                <w:sz w:val="20"/>
                <w:szCs w:val="20"/>
              </w:rPr>
            </w:pPr>
          </w:p>
          <w:p w:rsidR="0051744F" w:rsidRPr="00AA24BA" w:rsidRDefault="0051744F" w:rsidP="00084B6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Many mature / at home students study part time</w:t>
            </w:r>
            <w:r w:rsidR="00084B69">
              <w:rPr>
                <w:sz w:val="20"/>
                <w:szCs w:val="20"/>
              </w:rPr>
              <w:t xml:space="preserve">, and they are </w:t>
            </w:r>
            <w:r>
              <w:rPr>
                <w:sz w:val="20"/>
                <w:szCs w:val="20"/>
              </w:rPr>
              <w:t>factored in</w:t>
            </w:r>
            <w:r w:rsidR="00084B69">
              <w:rPr>
                <w:sz w:val="20"/>
                <w:szCs w:val="20"/>
              </w:rPr>
              <w:t>to the project</w:t>
            </w:r>
            <w:r>
              <w:rPr>
                <w:sz w:val="20"/>
                <w:szCs w:val="20"/>
              </w:rPr>
              <w:t>, but not as a separate designation</w:t>
            </w:r>
            <w:r w:rsidR="00084B69">
              <w:rPr>
                <w:sz w:val="20"/>
                <w:szCs w:val="20"/>
              </w:rPr>
              <w:t>.  However, t</w:t>
            </w:r>
            <w:r w:rsidR="00370B16">
              <w:rPr>
                <w:sz w:val="20"/>
                <w:szCs w:val="20"/>
              </w:rPr>
              <w:t>arget</w:t>
            </w:r>
            <w:r w:rsidR="00084B69">
              <w:rPr>
                <w:sz w:val="20"/>
                <w:szCs w:val="20"/>
              </w:rPr>
              <w:t xml:space="preserve">ing them specifically could be useful: </w:t>
            </w:r>
            <w:r w:rsidR="00370B16">
              <w:rPr>
                <w:sz w:val="20"/>
                <w:szCs w:val="20"/>
              </w:rPr>
              <w:t>they can be easily identified via separate, P</w:t>
            </w:r>
            <w:r w:rsidR="004552A3">
              <w:rPr>
                <w:sz w:val="20"/>
                <w:szCs w:val="20"/>
              </w:rPr>
              <w:t xml:space="preserve">art-time </w:t>
            </w:r>
            <w:r w:rsidR="00370B16">
              <w:rPr>
                <w:sz w:val="20"/>
                <w:szCs w:val="20"/>
              </w:rPr>
              <w:t>Plan Codes</w:t>
            </w:r>
            <w:r w:rsidR="004552A3">
              <w:rPr>
                <w:sz w:val="20"/>
                <w:szCs w:val="20"/>
              </w:rPr>
              <w:t xml:space="preserve"> on Campus Solutions</w:t>
            </w:r>
            <w:r w:rsidR="00370B1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5A76" w:rsidRDefault="00E91D15" w:rsidP="00BA5A76">
            <w:pPr>
              <w:rPr>
                <w:rFonts w:cs="Arial"/>
                <w:sz w:val="20"/>
                <w:szCs w:val="20"/>
              </w:rPr>
            </w:pPr>
            <w:r w:rsidRPr="00A62700">
              <w:rPr>
                <w:rFonts w:cs="Arial"/>
                <w:sz w:val="20"/>
                <w:szCs w:val="20"/>
              </w:rPr>
              <w:lastRenderedPageBreak/>
              <w:t>Miriam Amies</w:t>
            </w:r>
            <w:r w:rsidR="008F2B32">
              <w:rPr>
                <w:rFonts w:cs="Arial"/>
                <w:sz w:val="20"/>
                <w:szCs w:val="20"/>
              </w:rPr>
              <w:t xml:space="preserve"> to contact DL students</w:t>
            </w:r>
            <w:r w:rsidR="00BA5A76">
              <w:rPr>
                <w:rFonts w:cs="Arial"/>
                <w:sz w:val="20"/>
                <w:szCs w:val="20"/>
              </w:rPr>
              <w:t>.</w:t>
            </w:r>
          </w:p>
          <w:p w:rsidR="00362C89" w:rsidRDefault="00BA5A76" w:rsidP="00BA5A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TLO to send Miriam </w:t>
            </w:r>
            <w:r w:rsidR="00E91D15" w:rsidRPr="00A62700">
              <w:rPr>
                <w:rFonts w:cs="Arial"/>
                <w:sz w:val="20"/>
                <w:szCs w:val="20"/>
              </w:rPr>
              <w:t xml:space="preserve">information </w:t>
            </w:r>
            <w:r w:rsidR="008F2B32">
              <w:rPr>
                <w:rFonts w:cs="Arial"/>
                <w:sz w:val="20"/>
                <w:szCs w:val="20"/>
              </w:rPr>
              <w:t xml:space="preserve">on </w:t>
            </w:r>
            <w:r w:rsidR="00E91D15" w:rsidRPr="00A62700">
              <w:rPr>
                <w:rFonts w:cs="Arial"/>
                <w:sz w:val="20"/>
                <w:szCs w:val="20"/>
              </w:rPr>
              <w:t>DL</w:t>
            </w:r>
            <w:r w:rsidR="008F2B32">
              <w:rPr>
                <w:rFonts w:cs="Arial"/>
                <w:sz w:val="20"/>
                <w:szCs w:val="20"/>
              </w:rPr>
              <w:t xml:space="preserve"> programmes.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5A76">
              <w:rPr>
                <w:rFonts w:cs="Arial"/>
                <w:b/>
                <w:sz w:val="20"/>
                <w:szCs w:val="20"/>
              </w:rPr>
              <w:t>Completed.</w:t>
            </w:r>
          </w:p>
          <w:p w:rsidR="00BA5A76" w:rsidRPr="00BA5A76" w:rsidRDefault="00BA5A76" w:rsidP="00BA5A7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Default="00362C89" w:rsidP="00362C89">
            <w:pPr>
              <w:rPr>
                <w:sz w:val="20"/>
                <w:szCs w:val="20"/>
              </w:rPr>
            </w:pPr>
          </w:p>
          <w:p w:rsidR="00362C89" w:rsidRPr="00AA24BA" w:rsidRDefault="00362C89" w:rsidP="00837D65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362C8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CB3310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Minutes of the last meeting of 10 June 2015 </w:t>
            </w:r>
            <w:r w:rsidRPr="00AA24BA">
              <w:rPr>
                <w:bCs/>
                <w:sz w:val="20"/>
                <w:szCs w:val="20"/>
              </w:rPr>
              <w:t>[HTLC/6/14]</w:t>
            </w:r>
          </w:p>
        </w:tc>
        <w:tc>
          <w:tcPr>
            <w:tcW w:w="5386" w:type="dxa"/>
          </w:tcPr>
          <w:p w:rsidR="00362C89" w:rsidRPr="00DA4232" w:rsidRDefault="00135E30" w:rsidP="00135E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Approved subject to a correction to p2, about </w:t>
            </w:r>
            <w:r w:rsidR="001514D8" w:rsidRPr="00DA4232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>’s</w:t>
            </w:r>
            <w:r w:rsidR="001514D8" w:rsidRPr="00DA4232">
              <w:rPr>
                <w:rFonts w:cs="Arial"/>
                <w:sz w:val="20"/>
                <w:szCs w:val="20"/>
              </w:rPr>
              <w:t xml:space="preserve"> SSR not </w:t>
            </w:r>
            <w:r>
              <w:rPr>
                <w:rFonts w:cs="Arial"/>
                <w:sz w:val="20"/>
                <w:szCs w:val="20"/>
              </w:rPr>
              <w:t xml:space="preserve">being as </w:t>
            </w:r>
            <w:r w:rsidR="001514D8" w:rsidRPr="00DA4232">
              <w:rPr>
                <w:rFonts w:cs="Arial"/>
                <w:sz w:val="20"/>
                <w:szCs w:val="20"/>
              </w:rPr>
              <w:t xml:space="preserve">high as </w:t>
            </w:r>
            <w:r>
              <w:rPr>
                <w:rFonts w:cs="Arial"/>
                <w:sz w:val="20"/>
                <w:szCs w:val="20"/>
              </w:rPr>
              <w:t xml:space="preserve">that </w:t>
            </w:r>
            <w:r w:rsidR="001514D8" w:rsidRPr="00DA4232">
              <w:rPr>
                <w:rFonts w:cs="Arial"/>
                <w:sz w:val="20"/>
                <w:szCs w:val="20"/>
              </w:rPr>
              <w:t xml:space="preserve">stated in the </w:t>
            </w:r>
            <w:r>
              <w:rPr>
                <w:rFonts w:cs="Arial"/>
                <w:sz w:val="20"/>
                <w:szCs w:val="20"/>
              </w:rPr>
              <w:t xml:space="preserve">League </w:t>
            </w:r>
            <w:r w:rsidR="001514D8" w:rsidRPr="00DA4232">
              <w:rPr>
                <w:rFonts w:cs="Arial"/>
                <w:sz w:val="20"/>
                <w:szCs w:val="20"/>
              </w:rPr>
              <w:t>table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62C89" w:rsidRPr="00135E30" w:rsidRDefault="00135E30" w:rsidP="000B37C1">
            <w:pPr>
              <w:jc w:val="center"/>
              <w:rPr>
                <w:rFonts w:cs="Arial"/>
                <w:sz w:val="20"/>
                <w:szCs w:val="20"/>
              </w:rPr>
            </w:pPr>
            <w:r w:rsidRPr="00135E30">
              <w:rPr>
                <w:rFonts w:cs="Arial"/>
                <w:sz w:val="20"/>
                <w:szCs w:val="20"/>
              </w:rPr>
              <w:t xml:space="preserve">Emma Sanders. </w:t>
            </w:r>
          </w:p>
          <w:p w:rsidR="00135E30" w:rsidRPr="00AA24BA" w:rsidRDefault="00135E30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Completed.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DA4232" w:rsidRDefault="00362C89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41B3" w:rsidTr="00F91BA8">
        <w:tc>
          <w:tcPr>
            <w:tcW w:w="2235" w:type="dxa"/>
          </w:tcPr>
          <w:p w:rsidR="00C641B3" w:rsidRPr="00AA24BA" w:rsidRDefault="00C641B3" w:rsidP="00CB3310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Matters arising from the previous meeting of 10 June 2015  </w:t>
            </w:r>
            <w:r w:rsidRPr="00AA24BA">
              <w:rPr>
                <w:bCs/>
                <w:sz w:val="20"/>
                <w:szCs w:val="20"/>
              </w:rPr>
              <w:t>[HTLC/1/15/4]</w:t>
            </w:r>
            <w:r w:rsidRPr="00AA24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27851" w:rsidRPr="00227851" w:rsidRDefault="00227851" w:rsidP="00227851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</w:pPr>
          </w:p>
          <w:p w:rsidR="00227851" w:rsidRPr="00227851" w:rsidRDefault="00227851" w:rsidP="00227851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</w:pP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>Carried forward from HTLC of Weds 2</w:t>
            </w: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  <w:vertAlign w:val="superscript"/>
              </w:rPr>
              <w:t>nd</w:t>
            </w: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 xml:space="preserve"> April 2014: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2593"/>
              <w:gridCol w:w="702"/>
              <w:gridCol w:w="1975"/>
            </w:tblGrid>
            <w:tr w:rsidR="00C641B3" w:rsidRPr="00125E15" w:rsidTr="00227851">
              <w:tc>
                <w:tcPr>
                  <w:tcW w:w="1237" w:type="pct"/>
                </w:tcPr>
                <w:p w:rsidR="00C641B3" w:rsidRPr="00C641B3" w:rsidRDefault="00C641B3" w:rsidP="00F91BA8">
                  <w:pPr>
                    <w:pStyle w:val="Body1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C641B3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Item</w:t>
                  </w:r>
                </w:p>
              </w:tc>
              <w:tc>
                <w:tcPr>
                  <w:tcW w:w="1851" w:type="pct"/>
                </w:tcPr>
                <w:p w:rsidR="00C641B3" w:rsidRPr="00C641B3" w:rsidRDefault="00C641B3" w:rsidP="00F91BA8">
                  <w:pPr>
                    <w:outlineLvl w:val="0"/>
                    <w:rPr>
                      <w:rFonts w:eastAsia="Arial Unicode MS"/>
                      <w:b/>
                      <w:i/>
                      <w:iCs/>
                      <w:color w:val="000000"/>
                      <w:sz w:val="20"/>
                      <w:szCs w:val="20"/>
                      <w:u w:color="000000"/>
                    </w:rPr>
                  </w:pPr>
                  <w:r w:rsidRPr="00C641B3">
                    <w:rPr>
                      <w:rFonts w:eastAsia="Arial Unicode MS"/>
                      <w:b/>
                      <w:i/>
                      <w:iCs/>
                      <w:color w:val="000000"/>
                      <w:sz w:val="20"/>
                      <w:szCs w:val="20"/>
                      <w:u w:color="000000"/>
                    </w:rPr>
                    <w:t>Action</w:t>
                  </w:r>
                </w:p>
              </w:tc>
              <w:tc>
                <w:tcPr>
                  <w:tcW w:w="501" w:type="pct"/>
                </w:tcPr>
                <w:p w:rsidR="00C641B3" w:rsidRPr="00C641B3" w:rsidRDefault="001934E5" w:rsidP="00F91BA8">
                  <w:pPr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1410" w:type="pct"/>
                </w:tcPr>
                <w:p w:rsidR="00C641B3" w:rsidRPr="00C641B3" w:rsidRDefault="00C641B3" w:rsidP="00F91BA8">
                  <w:pPr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C641B3">
                    <w:rPr>
                      <w:b/>
                      <w:i/>
                      <w:sz w:val="20"/>
                      <w:szCs w:val="20"/>
                    </w:rPr>
                    <w:t>Update</w:t>
                  </w:r>
                </w:p>
              </w:tc>
            </w:tr>
            <w:tr w:rsidR="00C641B3" w:rsidRPr="00125E15" w:rsidTr="00227851">
              <w:trPr>
                <w:trHeight w:val="1014"/>
              </w:trPr>
              <w:tc>
                <w:tcPr>
                  <w:tcW w:w="1237" w:type="pct"/>
                </w:tcPr>
                <w:p w:rsidR="00C641B3" w:rsidRPr="00C641B3" w:rsidRDefault="00C641B3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641B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13. of 19.02.14 Promoting Languages: to agree ways in which language units can be promoted across the Faculty at UG and PGT level, with reference to new UG and PGT Regulations</w:t>
                  </w:r>
                </w:p>
              </w:tc>
              <w:tc>
                <w:tcPr>
                  <w:tcW w:w="1851" w:type="pct"/>
                </w:tcPr>
                <w:p w:rsidR="00C641B3" w:rsidRPr="00C641B3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641B3">
                    <w:rPr>
                      <w:rFonts w:asciiTheme="minorHAnsi" w:hAnsiTheme="minorHAnsi"/>
                      <w:sz w:val="20"/>
                      <w:szCs w:val="20"/>
                    </w:rPr>
                    <w:t>ULC would enhance Level 1 LEAP units to Level 3.  Course Unit Specs to be forwarded to TLO for approval</w:t>
                  </w:r>
                </w:p>
              </w:tc>
              <w:tc>
                <w:tcPr>
                  <w:tcW w:w="501" w:type="pct"/>
                </w:tcPr>
                <w:p w:rsidR="00C641B3" w:rsidRPr="00C641B3" w:rsidRDefault="00C641B3" w:rsidP="001934E5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641B3">
                    <w:rPr>
                      <w:rFonts w:asciiTheme="minorHAnsi" w:hAnsiTheme="minorHAnsi"/>
                      <w:sz w:val="20"/>
                      <w:szCs w:val="20"/>
                    </w:rPr>
                    <w:t>J</w:t>
                  </w:r>
                  <w:r w:rsidR="001934E5">
                    <w:rPr>
                      <w:rFonts w:asciiTheme="minorHAnsi" w:hAnsiTheme="minorHAnsi"/>
                      <w:sz w:val="20"/>
                      <w:szCs w:val="20"/>
                    </w:rPr>
                    <w:t>G</w:t>
                  </w:r>
                  <w:r w:rsidRPr="00C641B3">
                    <w:rPr>
                      <w:rFonts w:asciiTheme="minorHAnsi" w:hAnsiTheme="minorHAnsi"/>
                      <w:sz w:val="20"/>
                      <w:szCs w:val="20"/>
                    </w:rPr>
                    <w:t>/ E</w:t>
                  </w:r>
                  <w:r w:rsidR="001934E5">
                    <w:rPr>
                      <w:rFonts w:asciiTheme="minorHAnsi" w:hAnsiTheme="minorHAnsi"/>
                      <w:sz w:val="20"/>
                      <w:szCs w:val="20"/>
                    </w:rPr>
                    <w:t>CS</w:t>
                  </w:r>
                </w:p>
              </w:tc>
              <w:tc>
                <w:tcPr>
                  <w:tcW w:w="1410" w:type="pct"/>
                </w:tcPr>
                <w:p w:rsidR="00C641B3" w:rsidRPr="00C641B3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641B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Ongoing:</w:t>
                  </w:r>
                  <w:r w:rsidRPr="00C641B3">
                    <w:rPr>
                      <w:rFonts w:asciiTheme="minorHAnsi" w:hAnsiTheme="minorHAnsi"/>
                      <w:sz w:val="20"/>
                      <w:szCs w:val="20"/>
                    </w:rPr>
                    <w:t xml:space="preserve"> Emma and James </w:t>
                  </w:r>
                  <w:r w:rsidR="001934E5">
                    <w:rPr>
                      <w:rFonts w:asciiTheme="minorHAnsi" w:hAnsiTheme="minorHAnsi"/>
                      <w:sz w:val="20"/>
                      <w:szCs w:val="20"/>
                    </w:rPr>
                    <w:t xml:space="preserve">Garratt </w:t>
                  </w:r>
                  <w:r w:rsidRPr="00C641B3">
                    <w:rPr>
                      <w:rFonts w:asciiTheme="minorHAnsi" w:hAnsiTheme="minorHAnsi"/>
                      <w:sz w:val="20"/>
                      <w:szCs w:val="20"/>
                    </w:rPr>
                    <w:t>to provide a briefing paper for consideration (again) by TLG.</w:t>
                  </w:r>
                </w:p>
              </w:tc>
            </w:tr>
          </w:tbl>
          <w:p w:rsidR="001934E5" w:rsidRDefault="001934E5" w:rsidP="00C641B3">
            <w:pPr>
              <w:rPr>
                <w:rFonts w:cs="Arial"/>
                <w:sz w:val="20"/>
                <w:szCs w:val="20"/>
              </w:rPr>
            </w:pPr>
          </w:p>
          <w:p w:rsidR="00C641B3" w:rsidRPr="00227851" w:rsidRDefault="00C641B3" w:rsidP="00C641B3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>Action</w:t>
            </w: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>s arising from HTLC of Weds 10</w:t>
            </w: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  <w:vertAlign w:val="superscript"/>
              </w:rPr>
              <w:t>th</w:t>
            </w:r>
            <w:r w:rsidRPr="00227851"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 xml:space="preserve"> June 2015: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2593"/>
              <w:gridCol w:w="702"/>
              <w:gridCol w:w="1975"/>
            </w:tblGrid>
            <w:tr w:rsidR="00C641B3" w:rsidRPr="00227851" w:rsidTr="009A2674">
              <w:tc>
                <w:tcPr>
                  <w:tcW w:w="1237" w:type="pct"/>
                </w:tcPr>
                <w:p w:rsidR="00C641B3" w:rsidRPr="00227851" w:rsidRDefault="00C641B3" w:rsidP="00F91BA8">
                  <w:pPr>
                    <w:pStyle w:val="Body1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227851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Item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F91BA8">
                  <w:pPr>
                    <w:outlineLvl w:val="0"/>
                    <w:rPr>
                      <w:rFonts w:eastAsia="Arial Unicode MS"/>
                      <w:b/>
                      <w:i/>
                      <w:iCs/>
                      <w:color w:val="000000"/>
                      <w:sz w:val="20"/>
                      <w:szCs w:val="20"/>
                      <w:u w:color="000000"/>
                    </w:rPr>
                  </w:pPr>
                  <w:r w:rsidRPr="00227851">
                    <w:rPr>
                      <w:rFonts w:eastAsia="Arial Unicode MS"/>
                      <w:b/>
                      <w:i/>
                      <w:iCs/>
                      <w:color w:val="000000"/>
                      <w:sz w:val="20"/>
                      <w:szCs w:val="20"/>
                      <w:u w:color="000000"/>
                    </w:rPr>
                    <w:t>Action</w:t>
                  </w:r>
                </w:p>
              </w:tc>
              <w:tc>
                <w:tcPr>
                  <w:tcW w:w="501" w:type="pct"/>
                </w:tcPr>
                <w:p w:rsidR="00C641B3" w:rsidRPr="00227851" w:rsidRDefault="00227851" w:rsidP="00F91BA8">
                  <w:pPr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1410" w:type="pct"/>
                </w:tcPr>
                <w:p w:rsidR="00C641B3" w:rsidRPr="00227851" w:rsidRDefault="00C641B3" w:rsidP="00F91BA8">
                  <w:pPr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227851">
                    <w:rPr>
                      <w:b/>
                      <w:i/>
                      <w:sz w:val="20"/>
                      <w:szCs w:val="20"/>
                    </w:rPr>
                    <w:t>Update</w:t>
                  </w:r>
                </w:p>
              </w:tc>
            </w:tr>
            <w:tr w:rsidR="00C641B3" w:rsidRPr="00227851" w:rsidTr="009A2674">
              <w:trPr>
                <w:trHeight w:val="217"/>
              </w:trPr>
              <w:tc>
                <w:tcPr>
                  <w:tcW w:w="1237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4.1: Chair’s Report – Sustainability Challenge 2015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>Law to provide the Programme Directors name to be contacted regarding the sustainability challenge</w:t>
                  </w:r>
                </w:p>
              </w:tc>
              <w:tc>
                <w:tcPr>
                  <w:tcW w:w="501" w:type="pct"/>
                </w:tcPr>
                <w:p w:rsidR="00C641B3" w:rsidRPr="00227851" w:rsidRDefault="00227851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NH</w:t>
                  </w:r>
                </w:p>
              </w:tc>
              <w:tc>
                <w:tcPr>
                  <w:tcW w:w="1410" w:type="pct"/>
                </w:tcPr>
                <w:p w:rsidR="00C641B3" w:rsidRP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Completed.</w:t>
                  </w:r>
                </w:p>
              </w:tc>
            </w:tr>
            <w:tr w:rsidR="00C641B3" w:rsidRPr="00227851" w:rsidTr="009A2674">
              <w:trPr>
                <w:trHeight w:val="217"/>
              </w:trPr>
              <w:tc>
                <w:tcPr>
                  <w:tcW w:w="1237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b/>
                      <w:sz w:val="20"/>
                      <w:szCs w:val="20"/>
                    </w:rPr>
                    <w:t>7. Draft Statement of the Attributes required for a graduate of a University of Manchester postgraduate taught programme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227851">
                    <w:rPr>
                      <w:rFonts w:cs="Arial"/>
                      <w:bCs/>
                      <w:sz w:val="20"/>
                      <w:szCs w:val="20"/>
                    </w:rPr>
                    <w:t>Feed back</w:t>
                  </w:r>
                  <w:proofErr w:type="spellEnd"/>
                  <w:r w:rsidRPr="00227851">
                    <w:rPr>
                      <w:rFonts w:cs="Arial"/>
                      <w:bCs/>
                      <w:sz w:val="20"/>
                      <w:szCs w:val="20"/>
                    </w:rPr>
                    <w:t xml:space="preserve"> the following points to Louise Walmsley: </w:t>
                  </w:r>
                </w:p>
                <w:p w:rsidR="00C641B3" w:rsidRPr="00227851" w:rsidRDefault="00C641B3" w:rsidP="00227851">
                  <w:pPr>
                    <w:pStyle w:val="Default"/>
                    <w:numPr>
                      <w:ilvl w:val="0"/>
                      <w:numId w:val="19"/>
                    </w:numPr>
                    <w:spacing w:before="2" w:after="2"/>
                    <w:ind w:left="455" w:hanging="425"/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>the</w:t>
                  </w:r>
                  <w:proofErr w:type="gramEnd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 statement should only apply to students who graduated with a full Masters, not those who exited with a </w:t>
                  </w:r>
                  <w:proofErr w:type="spellStart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>PGDip</w:t>
                  </w:r>
                  <w:proofErr w:type="spellEnd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 or </w:t>
                  </w:r>
                  <w:proofErr w:type="spellStart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>PGCert</w:t>
                  </w:r>
                  <w:proofErr w:type="spellEnd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C641B3" w:rsidRPr="00227851" w:rsidRDefault="00C641B3" w:rsidP="00227851">
                  <w:pPr>
                    <w:pStyle w:val="Default"/>
                    <w:numPr>
                      <w:ilvl w:val="0"/>
                      <w:numId w:val="19"/>
                    </w:numPr>
                    <w:spacing w:before="2" w:after="2"/>
                    <w:ind w:left="455" w:hanging="425"/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Is this statement applicable to the PGCE </w:t>
                  </w:r>
                  <w:proofErr w:type="gramStart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>students.</w:t>
                  </w:r>
                  <w:proofErr w:type="gramEnd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C641B3" w:rsidRPr="00227851" w:rsidRDefault="00C641B3" w:rsidP="00227851">
                  <w:pPr>
                    <w:pStyle w:val="Default"/>
                    <w:numPr>
                      <w:ilvl w:val="0"/>
                      <w:numId w:val="19"/>
                    </w:numPr>
                    <w:spacing w:before="2" w:after="2"/>
                    <w:ind w:left="455" w:hanging="425"/>
                    <w:rPr>
                      <w:sz w:val="20"/>
                      <w:szCs w:val="20"/>
                    </w:rPr>
                  </w:pPr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The </w:t>
                  </w:r>
                  <w:proofErr w:type="spellStart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>the</w:t>
                  </w:r>
                  <w:proofErr w:type="spellEnd"/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 word ‘professional’ seemed </w:t>
                  </w:r>
                  <w:r w:rsidRPr="00227851">
                    <w:rPr>
                      <w:rFonts w:ascii="Calibri" w:eastAsiaTheme="minorHAnsi" w:hAnsi="Calibri"/>
                      <w:bCs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t xml:space="preserve">overused, notably in the first line of the Personal Achievements section. </w:t>
                  </w:r>
                </w:p>
              </w:tc>
              <w:tc>
                <w:tcPr>
                  <w:tcW w:w="501" w:type="pct"/>
                </w:tcPr>
                <w:p w:rsidR="00C641B3" w:rsidRPr="00227851" w:rsidRDefault="00C641B3" w:rsidP="00227851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F</w:t>
                  </w:r>
                  <w:r w:rsidR="00227851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0" w:type="pct"/>
                </w:tcPr>
                <w:p w:rsidR="00C641B3" w:rsidRP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Completed.</w:t>
                  </w:r>
                </w:p>
              </w:tc>
            </w:tr>
            <w:tr w:rsidR="009A2674" w:rsidRPr="000F0C9A" w:rsidTr="009A2674">
              <w:trPr>
                <w:trHeight w:val="217"/>
              </w:trPr>
              <w:tc>
                <w:tcPr>
                  <w:tcW w:w="1237" w:type="pct"/>
                </w:tcPr>
                <w:p w:rsidR="009A2674" w:rsidRPr="00227851" w:rsidRDefault="009A2674" w:rsidP="00F91BA8">
                  <w:pPr>
                    <w:pStyle w:val="PlainText"/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  <w:lastRenderedPageBreak/>
                    <w:t>8. F</w:t>
                  </w:r>
                  <w:r w:rsidRPr="00227851">
                    <w:rPr>
                      <w:rFonts w:cs="Arial"/>
                      <w:b/>
                      <w:sz w:val="20"/>
                      <w:szCs w:val="20"/>
                    </w:rPr>
                    <w:t>ramework for minimum requirements for contact at PGT</w:t>
                  </w:r>
                </w:p>
              </w:tc>
              <w:tc>
                <w:tcPr>
                  <w:tcW w:w="1851" w:type="pct"/>
                </w:tcPr>
                <w:p w:rsidR="009A2674" w:rsidRPr="00227851" w:rsidRDefault="009A2674" w:rsidP="00F91BA8">
                  <w:pPr>
                    <w:rPr>
                      <w:sz w:val="20"/>
                      <w:szCs w:val="20"/>
                    </w:rPr>
                  </w:pPr>
                  <w:r w:rsidRPr="00227851">
                    <w:rPr>
                      <w:sz w:val="20"/>
                      <w:szCs w:val="20"/>
                    </w:rPr>
                    <w:t>A mapping out of the implementation of the framework was required before it can be agreed by TLC.  All Schools will then pick up in their October SEAP meetings.</w:t>
                  </w:r>
                </w:p>
              </w:tc>
              <w:tc>
                <w:tcPr>
                  <w:tcW w:w="501" w:type="pct"/>
                </w:tcPr>
                <w:p w:rsidR="009A2674" w:rsidRPr="00227851" w:rsidRDefault="009A2674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 xml:space="preserve">T&amp;L Directors </w:t>
                  </w:r>
                </w:p>
              </w:tc>
              <w:tc>
                <w:tcPr>
                  <w:tcW w:w="1410" w:type="pct"/>
                </w:tcPr>
                <w:p w:rsidR="009A2674" w:rsidRPr="0051194F" w:rsidRDefault="009A2674" w:rsidP="002D2D58">
                  <w:r>
                    <w:rPr>
                      <w:b/>
                      <w:sz w:val="20"/>
                      <w:szCs w:val="20"/>
                    </w:rPr>
                    <w:t xml:space="preserve">Ongoing: </w:t>
                  </w:r>
                  <w:r w:rsidR="0051194F">
                    <w:rPr>
                      <w:rFonts w:cs="Arial"/>
                      <w:sz w:val="20"/>
                      <w:szCs w:val="20"/>
                    </w:rPr>
                    <w:t xml:space="preserve">TRAC data indicates PGT already expensive.  But more contact hours will increase cost.  </w:t>
                  </w:r>
                  <w:r w:rsidR="002D2D58">
                    <w:rPr>
                      <w:rFonts w:cs="Arial"/>
                      <w:sz w:val="20"/>
                      <w:szCs w:val="20"/>
                    </w:rPr>
                    <w:t>Schools are asked to i</w:t>
                  </w:r>
                  <w:r w:rsidR="0051194F">
                    <w:rPr>
                      <w:rFonts w:cs="Arial"/>
                      <w:sz w:val="20"/>
                      <w:szCs w:val="20"/>
                    </w:rPr>
                    <w:t xml:space="preserve">dentify </w:t>
                  </w:r>
                  <w:r w:rsidR="002D2D58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="0051194F">
                    <w:rPr>
                      <w:rFonts w:cs="Arial"/>
                      <w:sz w:val="20"/>
                      <w:szCs w:val="20"/>
                    </w:rPr>
                    <w:t xml:space="preserve">gap between what contact hours are currently delivered and what the </w:t>
                  </w:r>
                  <w:r w:rsidR="002D2D58">
                    <w:rPr>
                      <w:rFonts w:cs="Arial"/>
                      <w:sz w:val="20"/>
                      <w:szCs w:val="20"/>
                    </w:rPr>
                    <w:t xml:space="preserve">framework </w:t>
                  </w:r>
                  <w:r w:rsidR="0051194F">
                    <w:rPr>
                      <w:rFonts w:cs="Arial"/>
                      <w:sz w:val="20"/>
                      <w:szCs w:val="20"/>
                    </w:rPr>
                    <w:t>says, for discussion at SEAP meeting</w:t>
                  </w:r>
                  <w:r w:rsidR="002D2D58"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51194F">
                    <w:t>.</w:t>
                  </w:r>
                </w:p>
              </w:tc>
            </w:tr>
            <w:tr w:rsidR="00C641B3" w:rsidRPr="000F0C9A" w:rsidTr="009A2674">
              <w:trPr>
                <w:trHeight w:val="217"/>
              </w:trPr>
              <w:tc>
                <w:tcPr>
                  <w:tcW w:w="1237" w:type="pct"/>
                  <w:vMerge w:val="restar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b/>
                      <w:sz w:val="20"/>
                      <w:szCs w:val="20"/>
                    </w:rPr>
                    <w:t>9. Graduate Destinations and Employability Strategy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227851">
                    <w:rPr>
                      <w:rFonts w:eastAsia="SimSun" w:cs="Arial"/>
                      <w:sz w:val="20"/>
                      <w:szCs w:val="20"/>
                      <w:lang w:eastAsia="zh-CN"/>
                    </w:rPr>
                    <w:t>Feed back</w:t>
                  </w:r>
                  <w:proofErr w:type="spellEnd"/>
                  <w:r w:rsidRPr="00227851">
                    <w:rPr>
                      <w:rFonts w:eastAsia="SimSun" w:cs="Arial"/>
                      <w:sz w:val="20"/>
                      <w:szCs w:val="20"/>
                      <w:lang w:eastAsia="zh-CN"/>
                    </w:rPr>
                    <w:t xml:space="preserve"> any further comments on the Strategy to Matthew Jefferies. </w:t>
                  </w:r>
                </w:p>
              </w:tc>
              <w:tc>
                <w:tcPr>
                  <w:tcW w:w="50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 xml:space="preserve">T&amp;L Directors </w:t>
                  </w:r>
                </w:p>
              </w:tc>
              <w:tc>
                <w:tcPr>
                  <w:tcW w:w="1410" w:type="pct"/>
                </w:tcPr>
                <w:p w:rsidR="00C641B3" w:rsidRPr="00227851" w:rsidRDefault="009A2674" w:rsidP="00F91BA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Completed.</w:t>
                  </w:r>
                </w:p>
              </w:tc>
            </w:tr>
            <w:tr w:rsidR="00C641B3" w:rsidRPr="000F0C9A" w:rsidTr="009A2674">
              <w:trPr>
                <w:trHeight w:val="217"/>
              </w:trPr>
              <w:tc>
                <w:tcPr>
                  <w:tcW w:w="1237" w:type="pct"/>
                  <w:vMerge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pct"/>
                </w:tcPr>
                <w:p w:rsidR="00C641B3" w:rsidRDefault="00C641B3" w:rsidP="00227851">
                  <w:pPr>
                    <w:pStyle w:val="ListParagraph"/>
                    <w:numPr>
                      <w:ilvl w:val="0"/>
                      <w:numId w:val="20"/>
                    </w:numPr>
                    <w:ind w:left="314" w:hanging="314"/>
                    <w:rPr>
                      <w:sz w:val="20"/>
                      <w:szCs w:val="20"/>
                    </w:rPr>
                  </w:pPr>
                  <w:r w:rsidRPr="00227851">
                    <w:rPr>
                      <w:sz w:val="20"/>
                      <w:szCs w:val="20"/>
                    </w:rPr>
                    <w:t xml:space="preserve">Clarify in the strategy what Academic Advisors, Employability Leads and Senior Academic Advisors are actually responsible for in terms of embedding employability. </w:t>
                  </w:r>
                </w:p>
                <w:p w:rsidR="00227851" w:rsidRPr="00227851" w:rsidRDefault="00227851" w:rsidP="00227851">
                  <w:pPr>
                    <w:pStyle w:val="ListParagraph"/>
                    <w:ind w:left="314" w:hanging="314"/>
                    <w:rPr>
                      <w:sz w:val="20"/>
                      <w:szCs w:val="20"/>
                    </w:rPr>
                  </w:pPr>
                </w:p>
                <w:p w:rsidR="00C641B3" w:rsidRPr="00227851" w:rsidRDefault="00C641B3" w:rsidP="00227851">
                  <w:pPr>
                    <w:pStyle w:val="ListParagraph"/>
                    <w:numPr>
                      <w:ilvl w:val="0"/>
                      <w:numId w:val="20"/>
                    </w:numPr>
                    <w:ind w:left="314" w:hanging="314"/>
                    <w:rPr>
                      <w:rFonts w:cs="Arial"/>
                      <w:sz w:val="20"/>
                      <w:szCs w:val="20"/>
                    </w:rPr>
                  </w:pPr>
                  <w:r w:rsidRPr="00227851">
                    <w:rPr>
                      <w:sz w:val="20"/>
                      <w:szCs w:val="20"/>
                    </w:rPr>
                    <w:t>Create an implementation plan to accompany the Strategy.</w:t>
                  </w:r>
                </w:p>
              </w:tc>
              <w:tc>
                <w:tcPr>
                  <w:tcW w:w="50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>Matthew Jefferies</w:t>
                  </w:r>
                </w:p>
              </w:tc>
              <w:tc>
                <w:tcPr>
                  <w:tcW w:w="1410" w:type="pct"/>
                </w:tcPr>
                <w:p w:rsidR="00C641B3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Completed.</w:t>
                  </w: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Default="00227851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227851" w:rsidRPr="00227851" w:rsidRDefault="00227851" w:rsidP="00227851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Ongoing: </w:t>
                  </w:r>
                  <w:proofErr w:type="spellStart"/>
                  <w:r w:rsidRPr="00687C5A">
                    <w:rPr>
                      <w:rFonts w:cs="Arial"/>
                      <w:sz w:val="20"/>
                      <w:szCs w:val="20"/>
                    </w:rPr>
                    <w:t>t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>b.c</w:t>
                  </w:r>
                  <w:proofErr w:type="spellEnd"/>
                  <w:r w:rsidRPr="00687C5A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following a meeting </w:t>
                  </w:r>
                  <w:proofErr w:type="gramStart"/>
                  <w:r w:rsidRPr="00687C5A">
                    <w:rPr>
                      <w:rFonts w:cs="Arial"/>
                      <w:sz w:val="20"/>
                      <w:szCs w:val="20"/>
                    </w:rPr>
                    <w:t>w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ith 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 xml:space="preserve"> Paul</w:t>
                  </w:r>
                  <w:proofErr w:type="gramEnd"/>
                  <w:r w:rsidRPr="00687C5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Gratrick 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 xml:space="preserve">and School </w:t>
                  </w:r>
                  <w:r>
                    <w:rPr>
                      <w:rFonts w:cs="Arial"/>
                      <w:sz w:val="20"/>
                      <w:szCs w:val="20"/>
                    </w:rPr>
                    <w:t>E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>mp</w:t>
                  </w:r>
                  <w:r>
                    <w:rPr>
                      <w:rFonts w:cs="Arial"/>
                      <w:sz w:val="20"/>
                      <w:szCs w:val="20"/>
                    </w:rPr>
                    <w:t>loyability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L</w:t>
                  </w:r>
                  <w:r w:rsidRPr="00687C5A">
                    <w:rPr>
                      <w:rFonts w:cs="Arial"/>
                      <w:sz w:val="20"/>
                      <w:szCs w:val="20"/>
                    </w:rPr>
                    <w:t>eads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641B3" w:rsidRPr="00255978" w:rsidTr="009A2674">
              <w:trPr>
                <w:trHeight w:val="217"/>
              </w:trPr>
              <w:tc>
                <w:tcPr>
                  <w:tcW w:w="1237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  <w:t xml:space="preserve">10. </w:t>
                  </w:r>
                  <w:r w:rsidRPr="00227851">
                    <w:rPr>
                      <w:b/>
                      <w:sz w:val="20"/>
                      <w:szCs w:val="20"/>
                    </w:rPr>
                    <w:t>Technology in Teaching &amp; Learning Committee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51194F">
                  <w:pPr>
                    <w:pStyle w:val="PlainText"/>
                    <w:rPr>
                      <w:rFonts w:cs="Arial"/>
                      <w:sz w:val="20"/>
                      <w:szCs w:val="20"/>
                    </w:rPr>
                  </w:pPr>
                  <w:r w:rsidRPr="00227851">
                    <w:rPr>
                      <w:rFonts w:cs="Arial"/>
                      <w:sz w:val="20"/>
                      <w:szCs w:val="20"/>
                    </w:rPr>
                    <w:t>Further discussion over the future of TTLC was required – bring back to HTLC once the Chair of TTLC had given further thought to the implications of disbanding the committee.</w:t>
                  </w:r>
                </w:p>
              </w:tc>
              <w:tc>
                <w:tcPr>
                  <w:tcW w:w="50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>Judy Zolkiewski</w:t>
                  </w:r>
                </w:p>
              </w:tc>
              <w:tc>
                <w:tcPr>
                  <w:tcW w:w="1410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>November meeting of HTLC.</w:t>
                  </w:r>
                </w:p>
              </w:tc>
            </w:tr>
            <w:tr w:rsidR="00C641B3" w:rsidRPr="000F0C9A" w:rsidTr="009A2674">
              <w:trPr>
                <w:trHeight w:val="217"/>
              </w:trPr>
              <w:tc>
                <w:tcPr>
                  <w:tcW w:w="1237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</w:pPr>
                  <w:r w:rsidRPr="00227851">
                    <w:rPr>
                      <w:rFonts w:eastAsia="SimSun" w:cs="Arial"/>
                      <w:b/>
                      <w:sz w:val="20"/>
                      <w:szCs w:val="20"/>
                      <w:lang w:eastAsia="zh-CN"/>
                    </w:rPr>
                    <w:t>13. Units with fewer than 10 students</w:t>
                  </w:r>
                </w:p>
              </w:tc>
              <w:tc>
                <w:tcPr>
                  <w:tcW w:w="185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cs="Arial"/>
                      <w:sz w:val="20"/>
                      <w:szCs w:val="20"/>
                    </w:rPr>
                  </w:pPr>
                  <w:r w:rsidRPr="00227851">
                    <w:rPr>
                      <w:rFonts w:cs="Arial"/>
                      <w:sz w:val="20"/>
                      <w:szCs w:val="20"/>
                    </w:rPr>
                    <w:t>Schools will check the raw data against units once received by the T&amp;L Directors</w:t>
                  </w:r>
                </w:p>
              </w:tc>
              <w:tc>
                <w:tcPr>
                  <w:tcW w:w="501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sz w:val="20"/>
                      <w:szCs w:val="20"/>
                    </w:rPr>
                    <w:t>T&amp;L Directors</w:t>
                  </w:r>
                </w:p>
              </w:tc>
              <w:tc>
                <w:tcPr>
                  <w:tcW w:w="1410" w:type="pct"/>
                </w:tcPr>
                <w:p w:rsidR="00C641B3" w:rsidRPr="00227851" w:rsidRDefault="00C641B3" w:rsidP="00F91BA8">
                  <w:pPr>
                    <w:pStyle w:val="Plai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2785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Completed. </w:t>
                  </w:r>
                </w:p>
              </w:tc>
            </w:tr>
          </w:tbl>
          <w:p w:rsidR="00C641B3" w:rsidRPr="00AA24BA" w:rsidRDefault="00C641B3" w:rsidP="006657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EB1E2D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To receive HTLC Terms of Reference </w:t>
            </w:r>
            <w:r w:rsidRPr="00AA24BA">
              <w:rPr>
                <w:bCs/>
                <w:sz w:val="20"/>
                <w:szCs w:val="20"/>
              </w:rPr>
              <w:t xml:space="preserve">[HTLC/1/15/5.1] </w:t>
            </w:r>
            <w:r w:rsidRPr="00AA24B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t>Approved</w:t>
            </w:r>
            <w:r>
              <w:rPr>
                <w:rFonts w:cs="Arial"/>
                <w:sz w:val="20"/>
                <w:szCs w:val="20"/>
              </w:rPr>
              <w:t xml:space="preserve"> with minor corrections: </w:t>
            </w:r>
          </w:p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</w:p>
          <w:p w:rsidR="00EB1E2D" w:rsidRPr="00EB1E2D" w:rsidRDefault="00E52C9A" w:rsidP="00EB1E2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EB1E2D">
              <w:rPr>
                <w:rFonts w:cs="Arial"/>
                <w:sz w:val="20"/>
                <w:szCs w:val="20"/>
              </w:rPr>
              <w:t>Hum</w:t>
            </w:r>
            <w:r w:rsidR="00EB1E2D" w:rsidRPr="00EB1E2D">
              <w:rPr>
                <w:rFonts w:cs="Arial"/>
                <w:sz w:val="20"/>
                <w:szCs w:val="20"/>
              </w:rPr>
              <w:t>anities</w:t>
            </w:r>
            <w:r w:rsidRPr="00EB1E2D">
              <w:rPr>
                <w:rFonts w:cs="Arial"/>
                <w:sz w:val="20"/>
                <w:szCs w:val="20"/>
              </w:rPr>
              <w:t xml:space="preserve"> Peer Review Group </w:t>
            </w:r>
            <w:r w:rsidR="00EB1E2D" w:rsidRPr="00EB1E2D">
              <w:rPr>
                <w:rFonts w:cs="Arial"/>
                <w:sz w:val="20"/>
                <w:szCs w:val="20"/>
              </w:rPr>
              <w:t xml:space="preserve">is </w:t>
            </w:r>
            <w:r w:rsidRPr="00EB1E2D">
              <w:rPr>
                <w:rFonts w:cs="Arial"/>
                <w:sz w:val="20"/>
                <w:szCs w:val="20"/>
              </w:rPr>
              <w:t>now a Network</w:t>
            </w:r>
          </w:p>
          <w:p w:rsidR="00362C89" w:rsidRDefault="00EB1E2D" w:rsidP="00EB1E2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EB1E2D">
              <w:rPr>
                <w:rFonts w:cs="Arial"/>
                <w:sz w:val="20"/>
                <w:szCs w:val="20"/>
              </w:rPr>
              <w:t>Portfolio Review and Horizon-Scanning Group is now “Portfolio Advisory Group”</w:t>
            </w:r>
          </w:p>
          <w:p w:rsidR="00EB1E2D" w:rsidRPr="00EB1E2D" w:rsidRDefault="00EB1E2D" w:rsidP="00EB1E2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eLearning Network has not yet been established: to be discussed at HTLC in November, along with the future of Technology in Teaching Sub-Committee </w:t>
            </w:r>
          </w:p>
          <w:p w:rsidR="00E52C9A" w:rsidRPr="00EB1E2D" w:rsidRDefault="00EB1E2D" w:rsidP="00E52C9A">
            <w:pPr>
              <w:rPr>
                <w:rFonts w:cs="Arial"/>
                <w:b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lastRenderedPageBreak/>
              <w:t xml:space="preserve">Discussed: </w:t>
            </w:r>
          </w:p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52C9A">
              <w:rPr>
                <w:rFonts w:cs="Arial"/>
                <w:sz w:val="20"/>
                <w:szCs w:val="20"/>
              </w:rPr>
              <w:t xml:space="preserve">embership and </w:t>
            </w:r>
            <w:proofErr w:type="spellStart"/>
            <w:r w:rsidR="00E52C9A">
              <w:rPr>
                <w:rFonts w:cs="Arial"/>
                <w:sz w:val="20"/>
                <w:szCs w:val="20"/>
              </w:rPr>
              <w:t>ToR</w:t>
            </w:r>
            <w:proofErr w:type="spellEnd"/>
            <w:r w:rsidR="00E52C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 Intake Management Group were </w:t>
            </w:r>
            <w:r w:rsidR="00E52C9A">
              <w:rPr>
                <w:rFonts w:cs="Arial"/>
                <w:sz w:val="20"/>
                <w:szCs w:val="20"/>
              </w:rPr>
              <w:t>unclear</w:t>
            </w:r>
            <w:r>
              <w:rPr>
                <w:rFonts w:cs="Arial"/>
                <w:sz w:val="20"/>
                <w:szCs w:val="20"/>
              </w:rPr>
              <w:t xml:space="preserve">, and it was queried whether the current membership was appropriate. </w:t>
            </w:r>
          </w:p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</w:p>
          <w:p w:rsidR="00EB1E2D" w:rsidRPr="00EB1E2D" w:rsidRDefault="00EB1E2D" w:rsidP="00E52C9A">
            <w:pPr>
              <w:rPr>
                <w:rFonts w:cs="Arial"/>
                <w:b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t xml:space="preserve">Confirmed: </w:t>
            </w:r>
          </w:p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IMG </w:t>
            </w:r>
            <w:r w:rsidR="00E52C9A">
              <w:rPr>
                <w:rFonts w:cs="Arial"/>
                <w:sz w:val="20"/>
                <w:szCs w:val="20"/>
              </w:rPr>
              <w:t xml:space="preserve">is </w:t>
            </w:r>
            <w:r w:rsidR="00667506">
              <w:rPr>
                <w:rFonts w:cs="Arial"/>
                <w:sz w:val="20"/>
                <w:szCs w:val="20"/>
              </w:rPr>
              <w:t xml:space="preserve">primarily </w:t>
            </w:r>
            <w:r w:rsidR="00E52C9A">
              <w:rPr>
                <w:rFonts w:cs="Arial"/>
                <w:sz w:val="20"/>
                <w:szCs w:val="20"/>
              </w:rPr>
              <w:t xml:space="preserve">an operational group.  </w:t>
            </w:r>
            <w:r w:rsidR="00667506">
              <w:rPr>
                <w:rFonts w:cs="Arial"/>
                <w:sz w:val="20"/>
                <w:szCs w:val="20"/>
              </w:rPr>
              <w:t>However, w</w:t>
            </w:r>
            <w:r>
              <w:rPr>
                <w:rFonts w:cs="Arial"/>
                <w:sz w:val="20"/>
                <w:szCs w:val="20"/>
              </w:rPr>
              <w:t>he</w:t>
            </w:r>
            <w:r w:rsidR="00667506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67506">
              <w:rPr>
                <w:rFonts w:cs="Arial"/>
                <w:sz w:val="20"/>
                <w:szCs w:val="20"/>
              </w:rPr>
              <w:t xml:space="preserve">IMG does discuss </w:t>
            </w:r>
            <w:r w:rsidR="00E52C9A">
              <w:rPr>
                <w:rFonts w:cs="Arial"/>
                <w:sz w:val="20"/>
                <w:szCs w:val="20"/>
              </w:rPr>
              <w:t xml:space="preserve">strategic </w:t>
            </w:r>
            <w:r>
              <w:rPr>
                <w:rFonts w:cs="Arial"/>
                <w:sz w:val="20"/>
                <w:szCs w:val="20"/>
              </w:rPr>
              <w:t xml:space="preserve">issues they </w:t>
            </w:r>
            <w:r w:rsidR="00E52C9A">
              <w:rPr>
                <w:rFonts w:cs="Arial"/>
                <w:sz w:val="20"/>
                <w:szCs w:val="20"/>
              </w:rPr>
              <w:t>should be brought to HTLC,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67506">
              <w:rPr>
                <w:rFonts w:cs="Arial"/>
                <w:sz w:val="20"/>
                <w:szCs w:val="20"/>
              </w:rPr>
              <w:t xml:space="preserve">to help </w:t>
            </w:r>
            <w:r>
              <w:rPr>
                <w:rFonts w:cs="Arial"/>
                <w:sz w:val="20"/>
                <w:szCs w:val="20"/>
              </w:rPr>
              <w:t>T&amp;L Director</w:t>
            </w:r>
            <w:r w:rsidR="00E52C9A">
              <w:rPr>
                <w:rFonts w:cs="Arial"/>
                <w:sz w:val="20"/>
                <w:szCs w:val="20"/>
              </w:rPr>
              <w:t xml:space="preserve">s maintain </w:t>
            </w:r>
            <w:r>
              <w:rPr>
                <w:rFonts w:cs="Arial"/>
                <w:sz w:val="20"/>
                <w:szCs w:val="20"/>
              </w:rPr>
              <w:t xml:space="preserve">strategic </w:t>
            </w:r>
            <w:r w:rsidR="00E52C9A">
              <w:rPr>
                <w:rFonts w:cs="Arial"/>
                <w:sz w:val="20"/>
                <w:szCs w:val="20"/>
              </w:rPr>
              <w:t>oversight of recruitment and admissions.</w:t>
            </w:r>
            <w:r w:rsidR="00EA113B">
              <w:rPr>
                <w:rFonts w:cs="Arial"/>
                <w:sz w:val="20"/>
                <w:szCs w:val="20"/>
              </w:rPr>
              <w:t xml:space="preserve">  </w:t>
            </w:r>
          </w:p>
          <w:p w:rsidR="00EB1E2D" w:rsidRDefault="00EB1E2D" w:rsidP="00E52C9A">
            <w:pPr>
              <w:rPr>
                <w:rFonts w:cs="Arial"/>
                <w:sz w:val="20"/>
                <w:szCs w:val="20"/>
              </w:rPr>
            </w:pPr>
          </w:p>
          <w:p w:rsidR="00FA03C1" w:rsidRPr="00E52C9A" w:rsidRDefault="00EA113B" w:rsidP="002D1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Schools </w:t>
            </w:r>
            <w:r w:rsidR="00EB1E2D">
              <w:rPr>
                <w:rFonts w:cs="Arial"/>
                <w:sz w:val="20"/>
                <w:szCs w:val="20"/>
              </w:rPr>
              <w:t xml:space="preserve">are at liberty to </w:t>
            </w:r>
            <w:r>
              <w:rPr>
                <w:rFonts w:cs="Arial"/>
                <w:sz w:val="20"/>
                <w:szCs w:val="20"/>
              </w:rPr>
              <w:t xml:space="preserve">decide who should </w:t>
            </w:r>
            <w:r w:rsidR="00EB1E2D">
              <w:rPr>
                <w:rFonts w:cs="Arial"/>
                <w:sz w:val="20"/>
                <w:szCs w:val="20"/>
              </w:rPr>
              <w:t xml:space="preserve">best </w:t>
            </w:r>
            <w:r>
              <w:rPr>
                <w:rFonts w:cs="Arial"/>
                <w:sz w:val="20"/>
                <w:szCs w:val="20"/>
              </w:rPr>
              <w:t>represent the</w:t>
            </w:r>
            <w:r w:rsidR="00EB1E2D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at IMG, </w:t>
            </w:r>
            <w:r w:rsidR="00EB1E2D">
              <w:rPr>
                <w:rFonts w:cs="Arial"/>
                <w:sz w:val="20"/>
                <w:szCs w:val="20"/>
              </w:rPr>
              <w:t xml:space="preserve">who should </w:t>
            </w:r>
            <w:r>
              <w:rPr>
                <w:rFonts w:cs="Arial"/>
                <w:sz w:val="20"/>
                <w:szCs w:val="20"/>
              </w:rPr>
              <w:t>manag</w:t>
            </w:r>
            <w:r w:rsidR="00EB1E2D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confirmation and clearing week etc.</w:t>
            </w:r>
          </w:p>
        </w:tc>
        <w:tc>
          <w:tcPr>
            <w:tcW w:w="1843" w:type="dxa"/>
          </w:tcPr>
          <w:p w:rsidR="00EB1E2D" w:rsidRDefault="00EB1E2D" w:rsidP="00EB1E2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Emma Sanders.</w:t>
            </w:r>
          </w:p>
          <w:p w:rsidR="00EB1E2D" w:rsidRPr="00EB1E2D" w:rsidRDefault="00EB1E2D" w:rsidP="00EB1E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t>Completed.</w:t>
            </w: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Default="00FA03C1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03C1" w:rsidRPr="00E52C9A" w:rsidRDefault="00FA03C1" w:rsidP="00EB1E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B1E2D" w:rsidTr="00687C5A">
        <w:tc>
          <w:tcPr>
            <w:tcW w:w="2235" w:type="dxa"/>
          </w:tcPr>
          <w:p w:rsidR="00EB1E2D" w:rsidRPr="00AA24BA" w:rsidRDefault="00EB1E2D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lastRenderedPageBreak/>
              <w:t>T&amp;L Director Overview of Faculty Responsibilities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24BA">
              <w:rPr>
                <w:bCs/>
                <w:sz w:val="20"/>
                <w:szCs w:val="20"/>
              </w:rPr>
              <w:t>[HTLC/1/15/5.2]</w:t>
            </w:r>
          </w:p>
        </w:tc>
        <w:tc>
          <w:tcPr>
            <w:tcW w:w="5386" w:type="dxa"/>
          </w:tcPr>
          <w:p w:rsidR="00EB1E2D" w:rsidRDefault="00EB1E2D" w:rsidP="00EB1E2D">
            <w:pPr>
              <w:rPr>
                <w:rFonts w:cs="Arial"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t>Approved</w:t>
            </w:r>
            <w:r>
              <w:rPr>
                <w:rFonts w:cs="Arial"/>
                <w:sz w:val="20"/>
                <w:szCs w:val="20"/>
              </w:rPr>
              <w:t xml:space="preserve"> with minor correction: </w:t>
            </w:r>
          </w:p>
          <w:p w:rsidR="00EB1E2D" w:rsidRPr="00EB1E2D" w:rsidRDefault="00EB1E2D" w:rsidP="00EB1E2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PASC meets x 7 per year, not x </w:t>
            </w:r>
            <w:r w:rsidRPr="00EB1E2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B1E2D" w:rsidRDefault="00EB1E2D" w:rsidP="00EB1E2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Emma Sanders.</w:t>
            </w:r>
          </w:p>
          <w:p w:rsidR="00EB1E2D" w:rsidRPr="00EB1E2D" w:rsidRDefault="00EB1E2D" w:rsidP="00EB1E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1E2D">
              <w:rPr>
                <w:rFonts w:cs="Arial"/>
                <w:b/>
                <w:sz w:val="20"/>
                <w:szCs w:val="20"/>
              </w:rPr>
              <w:t>Completed.</w:t>
            </w:r>
          </w:p>
          <w:p w:rsidR="00EB1E2D" w:rsidRPr="00AA24BA" w:rsidRDefault="00EB1E2D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Chair’s report</w:t>
            </w:r>
          </w:p>
        </w:tc>
        <w:tc>
          <w:tcPr>
            <w:tcW w:w="5386" w:type="dxa"/>
          </w:tcPr>
          <w:p w:rsidR="00362C89" w:rsidRPr="00FA03C1" w:rsidRDefault="00362C89" w:rsidP="00FA03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1412A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6.1 Verbal Report</w:t>
            </w:r>
          </w:p>
          <w:p w:rsidR="00362C89" w:rsidRPr="00AA24BA" w:rsidRDefault="00362C89" w:rsidP="00667506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667506" w:rsidRPr="00AA24BA" w:rsidRDefault="00F3776F" w:rsidP="00706A4A">
            <w:pPr>
              <w:tabs>
                <w:tab w:val="left" w:pos="567"/>
              </w:tabs>
              <w:rPr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1 </w:t>
            </w:r>
            <w:r w:rsidR="00667506">
              <w:rPr>
                <w:b/>
                <w:sz w:val="20"/>
                <w:szCs w:val="20"/>
                <w:lang w:val="en"/>
              </w:rPr>
              <w:t xml:space="preserve">Faculty </w:t>
            </w:r>
            <w:r w:rsidR="00667506" w:rsidRPr="00667506">
              <w:rPr>
                <w:b/>
                <w:sz w:val="20"/>
                <w:szCs w:val="20"/>
                <w:lang w:val="en"/>
              </w:rPr>
              <w:t>T&amp;L Away Day (September 2015)</w:t>
            </w:r>
            <w:r w:rsidR="00667506" w:rsidRPr="00AA24BA">
              <w:rPr>
                <w:sz w:val="20"/>
                <w:szCs w:val="20"/>
                <w:lang w:val="en"/>
              </w:rPr>
              <w:t xml:space="preserve"> </w:t>
            </w:r>
            <w:r w:rsidR="00667506">
              <w:rPr>
                <w:sz w:val="20"/>
                <w:szCs w:val="20"/>
                <w:lang w:val="en"/>
              </w:rPr>
              <w:t xml:space="preserve">had focused </w:t>
            </w:r>
            <w:r w:rsidR="00667506" w:rsidRPr="00AA24BA">
              <w:rPr>
                <w:sz w:val="20"/>
                <w:szCs w:val="20"/>
                <w:lang w:val="en"/>
              </w:rPr>
              <w:t>on assessment and degree attainment.  There were four areas that we looked closely at with a series of actions:</w:t>
            </w:r>
          </w:p>
          <w:p w:rsidR="00667506" w:rsidRPr="00AA24BA" w:rsidRDefault="00667506" w:rsidP="00706A4A">
            <w:pPr>
              <w:pStyle w:val="ListParagraph"/>
              <w:numPr>
                <w:ilvl w:val="1"/>
                <w:numId w:val="16"/>
              </w:numPr>
              <w:tabs>
                <w:tab w:val="clear" w:pos="1440"/>
              </w:tabs>
              <w:ind w:left="426" w:hanging="284"/>
              <w:rPr>
                <w:sz w:val="20"/>
                <w:szCs w:val="20"/>
                <w:lang w:val="en"/>
              </w:rPr>
            </w:pPr>
            <w:r w:rsidRPr="00AA24BA">
              <w:rPr>
                <w:sz w:val="20"/>
                <w:szCs w:val="20"/>
                <w:lang w:val="en"/>
              </w:rPr>
              <w:t xml:space="preserve">Grade Descriptors </w:t>
            </w:r>
          </w:p>
          <w:p w:rsidR="00667506" w:rsidRPr="00AA24BA" w:rsidRDefault="00667506" w:rsidP="00706A4A">
            <w:pPr>
              <w:pStyle w:val="ListParagraph"/>
              <w:numPr>
                <w:ilvl w:val="1"/>
                <w:numId w:val="16"/>
              </w:numPr>
              <w:tabs>
                <w:tab w:val="clear" w:pos="1440"/>
              </w:tabs>
              <w:ind w:left="426" w:hanging="284"/>
              <w:rPr>
                <w:sz w:val="20"/>
                <w:szCs w:val="20"/>
                <w:lang w:val="en"/>
              </w:rPr>
            </w:pPr>
            <w:r w:rsidRPr="00AA24BA">
              <w:rPr>
                <w:sz w:val="20"/>
                <w:szCs w:val="20"/>
                <w:lang w:val="en"/>
              </w:rPr>
              <w:t>Moderation Processes</w:t>
            </w:r>
          </w:p>
          <w:p w:rsidR="00667506" w:rsidRPr="00AA24BA" w:rsidRDefault="00667506" w:rsidP="00706A4A">
            <w:pPr>
              <w:pStyle w:val="ListParagraph"/>
              <w:numPr>
                <w:ilvl w:val="1"/>
                <w:numId w:val="16"/>
              </w:numPr>
              <w:tabs>
                <w:tab w:val="clear" w:pos="1440"/>
              </w:tabs>
              <w:ind w:left="426" w:hanging="284"/>
              <w:rPr>
                <w:sz w:val="20"/>
                <w:szCs w:val="20"/>
                <w:lang w:val="en"/>
              </w:rPr>
            </w:pPr>
            <w:r w:rsidRPr="00AA24BA">
              <w:rPr>
                <w:sz w:val="20"/>
                <w:szCs w:val="20"/>
                <w:lang w:val="en"/>
              </w:rPr>
              <w:t>Assessment levels (are we over assessing?)</w:t>
            </w:r>
          </w:p>
          <w:p w:rsidR="00667506" w:rsidRPr="00AA24BA" w:rsidRDefault="00667506" w:rsidP="00706A4A">
            <w:pPr>
              <w:pStyle w:val="ListParagraph"/>
              <w:numPr>
                <w:ilvl w:val="1"/>
                <w:numId w:val="16"/>
              </w:numPr>
              <w:tabs>
                <w:tab w:val="clear" w:pos="1440"/>
              </w:tabs>
              <w:ind w:left="426" w:hanging="284"/>
              <w:rPr>
                <w:sz w:val="20"/>
                <w:szCs w:val="20"/>
                <w:lang w:val="en"/>
              </w:rPr>
            </w:pPr>
            <w:r w:rsidRPr="00AA24BA">
              <w:rPr>
                <w:sz w:val="20"/>
                <w:szCs w:val="20"/>
                <w:lang w:val="en"/>
              </w:rPr>
              <w:t>Reduced scale/step marking</w:t>
            </w:r>
          </w:p>
          <w:p w:rsidR="00667506" w:rsidRDefault="00667506" w:rsidP="00706A4A">
            <w:pPr>
              <w:rPr>
                <w:rFonts w:cs="Arial"/>
                <w:sz w:val="20"/>
                <w:szCs w:val="20"/>
              </w:rPr>
            </w:pPr>
          </w:p>
          <w:p w:rsidR="00667506" w:rsidRPr="00667506" w:rsidRDefault="00F3776F" w:rsidP="00706A4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 </w:t>
            </w:r>
            <w:r w:rsidR="00667506" w:rsidRPr="00667506">
              <w:rPr>
                <w:rFonts w:cs="Arial"/>
                <w:b/>
                <w:sz w:val="20"/>
                <w:szCs w:val="20"/>
              </w:rPr>
              <w:t>National Teaching Excellence Framework</w:t>
            </w:r>
            <w:r w:rsidR="00667506">
              <w:rPr>
                <w:rFonts w:cs="Arial"/>
                <w:b/>
                <w:sz w:val="20"/>
                <w:szCs w:val="20"/>
              </w:rPr>
              <w:t xml:space="preserve"> (TEF)</w:t>
            </w:r>
          </w:p>
          <w:p w:rsidR="00362C89" w:rsidRDefault="00FA03C1" w:rsidP="00706A4A">
            <w:pPr>
              <w:rPr>
                <w:rFonts w:cs="Arial"/>
                <w:sz w:val="20"/>
                <w:szCs w:val="20"/>
              </w:rPr>
            </w:pPr>
            <w:r w:rsidRPr="00FA03C1">
              <w:rPr>
                <w:rFonts w:cs="Arial"/>
                <w:sz w:val="20"/>
                <w:szCs w:val="20"/>
              </w:rPr>
              <w:t>TEF</w:t>
            </w:r>
            <w:r w:rsidR="00667506">
              <w:rPr>
                <w:rFonts w:cs="Arial"/>
                <w:sz w:val="20"/>
                <w:szCs w:val="20"/>
              </w:rPr>
              <w:t xml:space="preserve"> phase </w:t>
            </w:r>
            <w:r w:rsidRPr="00FA03C1">
              <w:rPr>
                <w:rFonts w:cs="Arial"/>
                <w:sz w:val="20"/>
                <w:szCs w:val="20"/>
              </w:rPr>
              <w:t xml:space="preserve">1 </w:t>
            </w:r>
            <w:r w:rsidR="00667506">
              <w:rPr>
                <w:rFonts w:cs="Arial"/>
                <w:sz w:val="20"/>
                <w:szCs w:val="20"/>
              </w:rPr>
              <w:t xml:space="preserve">was expected to look at institution-based </w:t>
            </w:r>
            <w:r w:rsidRPr="00FA03C1">
              <w:rPr>
                <w:rFonts w:cs="Arial"/>
                <w:sz w:val="20"/>
                <w:szCs w:val="20"/>
              </w:rPr>
              <w:t>metrics only</w:t>
            </w:r>
            <w:r w:rsidR="00DC5796">
              <w:rPr>
                <w:rFonts w:cs="Arial"/>
                <w:sz w:val="20"/>
                <w:szCs w:val="20"/>
              </w:rPr>
              <w:t>.  (</w:t>
            </w:r>
            <w:r w:rsidR="00667506">
              <w:rPr>
                <w:rFonts w:cs="Arial"/>
                <w:sz w:val="20"/>
                <w:szCs w:val="20"/>
              </w:rPr>
              <w:t xml:space="preserve">To be </w:t>
            </w:r>
            <w:r w:rsidR="00DC5796">
              <w:rPr>
                <w:rFonts w:cs="Arial"/>
                <w:sz w:val="20"/>
                <w:szCs w:val="20"/>
              </w:rPr>
              <w:t xml:space="preserve">agreed by May </w:t>
            </w:r>
            <w:r w:rsidR="00667506">
              <w:rPr>
                <w:rFonts w:cs="Arial"/>
                <w:sz w:val="20"/>
                <w:szCs w:val="20"/>
              </w:rPr>
              <w:t>2016</w:t>
            </w:r>
            <w:r w:rsidR="00DC5796">
              <w:rPr>
                <w:rFonts w:cs="Arial"/>
                <w:sz w:val="20"/>
                <w:szCs w:val="20"/>
              </w:rPr>
              <w:t>).</w:t>
            </w:r>
          </w:p>
          <w:p w:rsidR="00A77900" w:rsidRPr="00FA03C1" w:rsidRDefault="00A77900" w:rsidP="00706A4A">
            <w:pPr>
              <w:rPr>
                <w:rFonts w:cs="Arial"/>
                <w:sz w:val="20"/>
                <w:szCs w:val="20"/>
              </w:rPr>
            </w:pPr>
          </w:p>
          <w:p w:rsidR="00F91BA8" w:rsidRDefault="00FA03C1" w:rsidP="00706A4A">
            <w:pPr>
              <w:rPr>
                <w:rFonts w:cs="Arial"/>
                <w:sz w:val="20"/>
                <w:szCs w:val="20"/>
              </w:rPr>
            </w:pPr>
            <w:r w:rsidRPr="00FA03C1">
              <w:rPr>
                <w:rFonts w:cs="Arial"/>
                <w:sz w:val="20"/>
                <w:szCs w:val="20"/>
              </w:rPr>
              <w:t xml:space="preserve">TEF </w:t>
            </w:r>
            <w:r w:rsidR="00667506">
              <w:rPr>
                <w:rFonts w:cs="Arial"/>
                <w:sz w:val="20"/>
                <w:szCs w:val="20"/>
              </w:rPr>
              <w:t xml:space="preserve">phase </w:t>
            </w:r>
            <w:r w:rsidRPr="00FA03C1">
              <w:rPr>
                <w:rFonts w:cs="Arial"/>
                <w:sz w:val="20"/>
                <w:szCs w:val="20"/>
              </w:rPr>
              <w:t xml:space="preserve">2 (1-2 </w:t>
            </w:r>
            <w:proofErr w:type="spellStart"/>
            <w:r w:rsidRPr="00FA03C1">
              <w:rPr>
                <w:rFonts w:cs="Arial"/>
                <w:sz w:val="20"/>
                <w:szCs w:val="20"/>
              </w:rPr>
              <w:t>yrs</w:t>
            </w:r>
            <w:proofErr w:type="spellEnd"/>
            <w:r w:rsidRPr="00FA03C1">
              <w:rPr>
                <w:rFonts w:cs="Arial"/>
                <w:sz w:val="20"/>
                <w:szCs w:val="20"/>
              </w:rPr>
              <w:t xml:space="preserve"> later) </w:t>
            </w:r>
            <w:r w:rsidR="00F91BA8">
              <w:rPr>
                <w:rFonts w:cs="Arial"/>
                <w:sz w:val="20"/>
                <w:szCs w:val="20"/>
              </w:rPr>
              <w:t>still under discussion</w:t>
            </w:r>
            <w:r w:rsidR="00667506">
              <w:rPr>
                <w:rFonts w:cs="Arial"/>
                <w:sz w:val="20"/>
                <w:szCs w:val="20"/>
              </w:rPr>
              <w:t>, but was likely to be subject-based, with subjects based on REF-categories</w:t>
            </w:r>
            <w:r w:rsidRPr="00FA03C1">
              <w:rPr>
                <w:rFonts w:cs="Arial"/>
                <w:sz w:val="20"/>
                <w:szCs w:val="20"/>
              </w:rPr>
              <w:t xml:space="preserve">.  </w:t>
            </w:r>
          </w:p>
          <w:p w:rsidR="00F91BA8" w:rsidRDefault="00F91BA8" w:rsidP="00706A4A">
            <w:pPr>
              <w:rPr>
                <w:rFonts w:cs="Arial"/>
                <w:sz w:val="20"/>
                <w:szCs w:val="20"/>
              </w:rPr>
            </w:pPr>
          </w:p>
          <w:p w:rsidR="00F91BA8" w:rsidRDefault="00667506" w:rsidP="00706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Russell Group </w:t>
            </w:r>
            <w:r w:rsidR="00FA03C1" w:rsidRPr="00FA03C1">
              <w:rPr>
                <w:rFonts w:cs="Arial"/>
                <w:sz w:val="20"/>
                <w:szCs w:val="20"/>
              </w:rPr>
              <w:t xml:space="preserve">are proposing some </w:t>
            </w:r>
            <w:r>
              <w:rPr>
                <w:rFonts w:cs="Arial"/>
                <w:sz w:val="20"/>
                <w:szCs w:val="20"/>
              </w:rPr>
              <w:t xml:space="preserve">that </w:t>
            </w:r>
            <w:r w:rsidR="00FA03C1" w:rsidRPr="00FA03C1">
              <w:rPr>
                <w:rFonts w:cs="Arial"/>
                <w:sz w:val="20"/>
                <w:szCs w:val="20"/>
              </w:rPr>
              <w:t>sort of S</w:t>
            </w:r>
            <w:r>
              <w:rPr>
                <w:rFonts w:cs="Arial"/>
                <w:sz w:val="20"/>
                <w:szCs w:val="20"/>
              </w:rPr>
              <w:t>elf-Evaluation Document should accompany any quantitative data</w:t>
            </w:r>
            <w:r w:rsidR="00FA03C1" w:rsidRPr="00FA03C1">
              <w:rPr>
                <w:rFonts w:cs="Arial"/>
                <w:sz w:val="20"/>
                <w:szCs w:val="20"/>
              </w:rPr>
              <w:t xml:space="preserve">, and </w:t>
            </w:r>
            <w:r>
              <w:rPr>
                <w:rFonts w:cs="Arial"/>
                <w:sz w:val="20"/>
                <w:szCs w:val="20"/>
              </w:rPr>
              <w:t xml:space="preserve">express the </w:t>
            </w:r>
            <w:r w:rsidR="00FA03C1" w:rsidRPr="00FA03C1">
              <w:rPr>
                <w:rFonts w:cs="Arial"/>
                <w:sz w:val="20"/>
                <w:szCs w:val="20"/>
              </w:rPr>
              <w:t>benefits of being in a research-intensive university.</w:t>
            </w:r>
            <w:r w:rsidR="00A77900">
              <w:rPr>
                <w:rFonts w:cs="Arial"/>
                <w:sz w:val="20"/>
                <w:szCs w:val="20"/>
              </w:rPr>
              <w:t xml:space="preserve"> </w:t>
            </w:r>
          </w:p>
          <w:p w:rsidR="00F91BA8" w:rsidRDefault="00F91BA8" w:rsidP="00706A4A">
            <w:pPr>
              <w:rPr>
                <w:rFonts w:cs="Arial"/>
                <w:sz w:val="20"/>
                <w:szCs w:val="20"/>
              </w:rPr>
            </w:pPr>
          </w:p>
          <w:p w:rsidR="00F91BA8" w:rsidRDefault="00F91BA8" w:rsidP="00706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m</w:t>
            </w:r>
            <w:r w:rsidR="00A77900">
              <w:rPr>
                <w:rFonts w:cs="Arial"/>
                <w:sz w:val="20"/>
                <w:szCs w:val="20"/>
              </w:rPr>
              <w:t xml:space="preserve">ay include </w:t>
            </w:r>
            <w:r>
              <w:rPr>
                <w:rFonts w:cs="Arial"/>
                <w:sz w:val="20"/>
                <w:szCs w:val="20"/>
              </w:rPr>
              <w:t xml:space="preserve">statistics on graduate </w:t>
            </w:r>
            <w:r w:rsidR="00A77900">
              <w:rPr>
                <w:rFonts w:cs="Arial"/>
                <w:sz w:val="20"/>
                <w:szCs w:val="20"/>
              </w:rPr>
              <w:t>employment</w:t>
            </w:r>
            <w:r>
              <w:rPr>
                <w:rFonts w:cs="Arial"/>
                <w:sz w:val="20"/>
                <w:szCs w:val="20"/>
              </w:rPr>
              <w:t>,</w:t>
            </w:r>
            <w:r w:rsidR="00A77900">
              <w:rPr>
                <w:rFonts w:cs="Arial"/>
                <w:sz w:val="20"/>
                <w:szCs w:val="20"/>
              </w:rPr>
              <w:t xml:space="preserve"> but </w:t>
            </w:r>
            <w:r>
              <w:rPr>
                <w:rFonts w:cs="Arial"/>
                <w:sz w:val="20"/>
                <w:szCs w:val="20"/>
              </w:rPr>
              <w:t xml:space="preserve">probably not </w:t>
            </w:r>
            <w:r w:rsidR="00A77900">
              <w:rPr>
                <w:rFonts w:cs="Arial"/>
                <w:sz w:val="20"/>
                <w:szCs w:val="20"/>
              </w:rPr>
              <w:t xml:space="preserve">DLHE – </w:t>
            </w:r>
            <w:r>
              <w:rPr>
                <w:rFonts w:cs="Arial"/>
                <w:sz w:val="20"/>
                <w:szCs w:val="20"/>
              </w:rPr>
              <w:t xml:space="preserve">argument is TEF </w:t>
            </w:r>
            <w:r w:rsidR="00A77900">
              <w:rPr>
                <w:rFonts w:cs="Arial"/>
                <w:sz w:val="20"/>
                <w:szCs w:val="20"/>
              </w:rPr>
              <w:t>needs to measure employment outcomes longer term.</w:t>
            </w:r>
            <w:r w:rsidR="004374D3">
              <w:rPr>
                <w:rFonts w:cs="Arial"/>
                <w:sz w:val="20"/>
                <w:szCs w:val="20"/>
              </w:rPr>
              <w:t xml:space="preserve">  </w:t>
            </w:r>
          </w:p>
          <w:p w:rsidR="00F91BA8" w:rsidRDefault="00F91BA8" w:rsidP="00706A4A">
            <w:pPr>
              <w:rPr>
                <w:rFonts w:cs="Arial"/>
                <w:sz w:val="20"/>
                <w:szCs w:val="20"/>
              </w:rPr>
            </w:pPr>
          </w:p>
          <w:p w:rsidR="00FA03C1" w:rsidRDefault="00F91BA8" w:rsidP="00706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TEF is expected to </w:t>
            </w:r>
            <w:r w:rsidR="004374D3">
              <w:rPr>
                <w:rFonts w:cs="Arial"/>
                <w:sz w:val="20"/>
                <w:szCs w:val="20"/>
              </w:rPr>
              <w:t xml:space="preserve">include PGT, but </w:t>
            </w:r>
            <w:r>
              <w:rPr>
                <w:rFonts w:cs="Arial"/>
                <w:sz w:val="20"/>
                <w:szCs w:val="20"/>
              </w:rPr>
              <w:t>this is not yet confirmed</w:t>
            </w:r>
            <w:r w:rsidR="004374D3">
              <w:rPr>
                <w:rFonts w:cs="Arial"/>
                <w:sz w:val="20"/>
                <w:szCs w:val="20"/>
              </w:rPr>
              <w:t>.</w:t>
            </w:r>
          </w:p>
          <w:p w:rsidR="00A77900" w:rsidRDefault="00A77900" w:rsidP="00FA03C1">
            <w:pPr>
              <w:rPr>
                <w:rFonts w:cs="Arial"/>
                <w:sz w:val="20"/>
                <w:szCs w:val="20"/>
              </w:rPr>
            </w:pPr>
          </w:p>
          <w:p w:rsidR="00F91BA8" w:rsidRDefault="00F3776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 </w:t>
            </w:r>
            <w:r w:rsidR="00FF3194" w:rsidRPr="00F91BA8">
              <w:rPr>
                <w:rFonts w:cs="Arial"/>
                <w:b/>
                <w:sz w:val="20"/>
                <w:szCs w:val="20"/>
              </w:rPr>
              <w:t>Career M</w:t>
            </w:r>
            <w:r w:rsidR="00F91BA8" w:rsidRPr="00F91BA8">
              <w:rPr>
                <w:rFonts w:cs="Arial"/>
                <w:b/>
                <w:sz w:val="20"/>
                <w:szCs w:val="20"/>
              </w:rPr>
              <w:t xml:space="preserve">anagement </w:t>
            </w:r>
            <w:r w:rsidR="00FF3194" w:rsidRPr="00F91BA8">
              <w:rPr>
                <w:rFonts w:cs="Arial"/>
                <w:b/>
                <w:sz w:val="20"/>
                <w:szCs w:val="20"/>
              </w:rPr>
              <w:t xml:space="preserve">Skills </w:t>
            </w:r>
            <w:r w:rsidR="00F91BA8" w:rsidRPr="00F91BA8">
              <w:rPr>
                <w:rFonts w:cs="Arial"/>
                <w:b/>
                <w:sz w:val="20"/>
                <w:szCs w:val="20"/>
              </w:rPr>
              <w:t>Unit</w:t>
            </w: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is being revamped to make it </w:t>
            </w:r>
            <w:r w:rsidR="00FF3194">
              <w:rPr>
                <w:rFonts w:cs="Arial"/>
                <w:sz w:val="20"/>
                <w:szCs w:val="20"/>
              </w:rPr>
              <w:t>more scalable</w:t>
            </w:r>
            <w:r>
              <w:rPr>
                <w:rFonts w:cs="Arial"/>
                <w:sz w:val="20"/>
                <w:szCs w:val="20"/>
              </w:rPr>
              <w:t>: the Careers Service will no longer assess work – Schools will have to do this.</w:t>
            </w: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revised unit </w:t>
            </w:r>
            <w:r w:rsidR="00FF3194">
              <w:rPr>
                <w:rFonts w:cs="Arial"/>
                <w:sz w:val="20"/>
                <w:szCs w:val="20"/>
              </w:rPr>
              <w:t>will include assessment centre prep</w:t>
            </w:r>
            <w:r>
              <w:rPr>
                <w:rFonts w:cs="Arial"/>
                <w:sz w:val="20"/>
                <w:szCs w:val="20"/>
              </w:rPr>
              <w:t>aration</w:t>
            </w:r>
            <w:r w:rsidR="00FF3194">
              <w:rPr>
                <w:rFonts w:cs="Arial"/>
                <w:sz w:val="20"/>
                <w:szCs w:val="20"/>
              </w:rPr>
              <w:t xml:space="preserve"> and psychometric testing.  </w:t>
            </w:r>
          </w:p>
          <w:p w:rsidR="00F4366D" w:rsidRDefault="00F4366D" w:rsidP="00FA03C1">
            <w:pPr>
              <w:rPr>
                <w:rFonts w:cs="Arial"/>
                <w:sz w:val="20"/>
                <w:szCs w:val="20"/>
              </w:rPr>
            </w:pPr>
          </w:p>
          <w:p w:rsidR="00F91BA8" w:rsidRDefault="00F3776F" w:rsidP="00FA03C1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4 </w:t>
            </w:r>
            <w:r w:rsidR="007D1FA2" w:rsidRPr="00F91BA8">
              <w:rPr>
                <w:rFonts w:cs="Arial"/>
                <w:b/>
                <w:sz w:val="20"/>
                <w:szCs w:val="20"/>
              </w:rPr>
              <w:t>PGT Dissertation re-submission.</w:t>
            </w:r>
            <w:proofErr w:type="gramEnd"/>
            <w:r w:rsidR="007D1FA2" w:rsidRPr="00F91BA8">
              <w:rPr>
                <w:rFonts w:cs="Arial"/>
                <w:b/>
                <w:sz w:val="20"/>
                <w:szCs w:val="20"/>
              </w:rPr>
              <w:t xml:space="preserve">  (</w:t>
            </w:r>
            <w:proofErr w:type="gramStart"/>
            <w:r w:rsidR="007D1FA2" w:rsidRPr="00F91BA8">
              <w:rPr>
                <w:rFonts w:cs="Arial"/>
                <w:b/>
                <w:sz w:val="20"/>
                <w:szCs w:val="20"/>
              </w:rPr>
              <w:t>continued</w:t>
            </w:r>
            <w:proofErr w:type="gramEnd"/>
            <w:r w:rsidR="007D1FA2" w:rsidRPr="00F91BA8">
              <w:rPr>
                <w:rFonts w:cs="Arial"/>
                <w:b/>
                <w:sz w:val="20"/>
                <w:szCs w:val="20"/>
              </w:rPr>
              <w:t xml:space="preserve"> from last year).</w:t>
            </w:r>
            <w:r w:rsidR="007D1FA2">
              <w:rPr>
                <w:rFonts w:cs="Arial"/>
                <w:sz w:val="20"/>
                <w:szCs w:val="20"/>
              </w:rPr>
              <w:t xml:space="preserve">  </w:t>
            </w: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</w:p>
          <w:p w:rsidR="00F91BA8" w:rsidRDefault="00F91BA8" w:rsidP="00FA03C1">
            <w:pPr>
              <w:rPr>
                <w:rFonts w:cs="Arial"/>
                <w:b/>
                <w:sz w:val="20"/>
                <w:szCs w:val="20"/>
              </w:rPr>
            </w:pPr>
            <w:r w:rsidRPr="00F91BA8">
              <w:rPr>
                <w:rFonts w:cs="Arial"/>
                <w:b/>
                <w:sz w:val="20"/>
                <w:szCs w:val="20"/>
              </w:rPr>
              <w:lastRenderedPageBreak/>
              <w:t>P</w:t>
            </w:r>
            <w:r w:rsidR="000E605B" w:rsidRPr="00F91BA8">
              <w:rPr>
                <w:rFonts w:cs="Arial"/>
                <w:b/>
                <w:sz w:val="20"/>
                <w:szCs w:val="20"/>
              </w:rPr>
              <w:t xml:space="preserve">roposed: </w:t>
            </w:r>
          </w:p>
          <w:p w:rsidR="007D1FA2" w:rsidRDefault="00F91BA8" w:rsidP="00FA03C1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student must have achieved at least </w:t>
            </w:r>
            <w:r w:rsidR="000E605B">
              <w:rPr>
                <w:rFonts w:cs="Arial"/>
                <w:sz w:val="20"/>
                <w:szCs w:val="20"/>
              </w:rPr>
              <w:t xml:space="preserve">30% </w:t>
            </w:r>
            <w:r>
              <w:rPr>
                <w:rFonts w:cs="Arial"/>
                <w:sz w:val="20"/>
                <w:szCs w:val="20"/>
              </w:rPr>
              <w:t xml:space="preserve">in order </w:t>
            </w:r>
            <w:r w:rsidR="000E605B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be granted </w:t>
            </w:r>
            <w:r w:rsidR="000E605B">
              <w:rPr>
                <w:rFonts w:cs="Arial"/>
                <w:sz w:val="20"/>
                <w:szCs w:val="20"/>
              </w:rPr>
              <w:t xml:space="preserve">a resubmission attempt.  </w:t>
            </w: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</w:p>
          <w:p w:rsidR="00F91BA8" w:rsidRDefault="00F91BA8" w:rsidP="00F91BA8">
            <w:pPr>
              <w:rPr>
                <w:rFonts w:cs="Arial"/>
                <w:sz w:val="20"/>
                <w:szCs w:val="20"/>
              </w:rPr>
            </w:pPr>
            <w:r w:rsidRPr="000755BE">
              <w:rPr>
                <w:rFonts w:cs="Arial"/>
                <w:b/>
                <w:sz w:val="20"/>
                <w:szCs w:val="20"/>
              </w:rPr>
              <w:t>AGREED.</w:t>
            </w:r>
            <w:r>
              <w:rPr>
                <w:rFonts w:cs="Arial"/>
                <w:sz w:val="20"/>
                <w:szCs w:val="20"/>
              </w:rPr>
              <w:t xml:space="preserve">  To take effect 16/17, following Senate approval. </w:t>
            </w:r>
          </w:p>
          <w:p w:rsidR="00F91BA8" w:rsidRDefault="00F91BA8" w:rsidP="00FA03C1">
            <w:pPr>
              <w:rPr>
                <w:rFonts w:cs="Arial"/>
                <w:sz w:val="20"/>
                <w:szCs w:val="20"/>
              </w:rPr>
            </w:pPr>
          </w:p>
          <w:p w:rsidR="000755BE" w:rsidRDefault="00F91BA8" w:rsidP="00FA03C1">
            <w:pPr>
              <w:rPr>
                <w:rFonts w:cs="Arial"/>
                <w:sz w:val="20"/>
                <w:szCs w:val="20"/>
              </w:rPr>
            </w:pPr>
            <w:r w:rsidRPr="00F91BA8">
              <w:rPr>
                <w:rFonts w:cs="Arial"/>
                <w:b/>
                <w:sz w:val="20"/>
                <w:szCs w:val="20"/>
              </w:rPr>
              <w:t>Noted: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E605B">
              <w:rPr>
                <w:rFonts w:cs="Arial"/>
                <w:sz w:val="20"/>
                <w:szCs w:val="20"/>
              </w:rPr>
              <w:t>MBS ha</w:t>
            </w:r>
            <w:r>
              <w:rPr>
                <w:rFonts w:cs="Arial"/>
                <w:sz w:val="20"/>
                <w:szCs w:val="20"/>
              </w:rPr>
              <w:t>s</w:t>
            </w:r>
            <w:r w:rsidR="000E605B">
              <w:rPr>
                <w:rFonts w:cs="Arial"/>
                <w:sz w:val="20"/>
                <w:szCs w:val="20"/>
              </w:rPr>
              <w:t xml:space="preserve"> a 40% threshold </w:t>
            </w:r>
            <w:r>
              <w:rPr>
                <w:rFonts w:cs="Arial"/>
                <w:sz w:val="20"/>
                <w:szCs w:val="20"/>
              </w:rPr>
              <w:t xml:space="preserve">– approved </w:t>
            </w:r>
            <w:r w:rsidR="000E605B">
              <w:rPr>
                <w:rFonts w:cs="Arial"/>
                <w:sz w:val="20"/>
                <w:szCs w:val="20"/>
              </w:rPr>
              <w:t xml:space="preserve">by Dispensation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="000E605B">
              <w:rPr>
                <w:rFonts w:cs="Arial"/>
                <w:sz w:val="20"/>
                <w:szCs w:val="20"/>
              </w:rPr>
              <w:t>due to the nature of the programme</w:t>
            </w:r>
            <w:r w:rsidR="000755BE">
              <w:rPr>
                <w:rFonts w:cs="Arial"/>
                <w:sz w:val="20"/>
                <w:szCs w:val="20"/>
              </w:rPr>
              <w:t>s</w:t>
            </w:r>
            <w:r w:rsidR="000E605B">
              <w:rPr>
                <w:rFonts w:cs="Arial"/>
                <w:sz w:val="20"/>
                <w:szCs w:val="20"/>
              </w:rPr>
              <w:t>.</w:t>
            </w:r>
          </w:p>
          <w:p w:rsidR="000755BE" w:rsidRDefault="000755BE" w:rsidP="00FA03C1">
            <w:pPr>
              <w:rPr>
                <w:rFonts w:cs="Arial"/>
                <w:sz w:val="20"/>
                <w:szCs w:val="20"/>
              </w:rPr>
            </w:pPr>
          </w:p>
          <w:p w:rsidR="00F91BA8" w:rsidRPr="00F91BA8" w:rsidRDefault="00F3776F" w:rsidP="00FA03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 </w:t>
            </w:r>
            <w:r w:rsidR="00F91BA8" w:rsidRPr="00F91BA8">
              <w:rPr>
                <w:rFonts w:cs="Arial"/>
                <w:b/>
                <w:sz w:val="20"/>
                <w:szCs w:val="20"/>
              </w:rPr>
              <w:t>Progression on UG Programmes</w:t>
            </w:r>
          </w:p>
          <w:p w:rsidR="00393765" w:rsidRDefault="00F91BA8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HTLC members were reminded that under the 2012 Degree Regulations students are not permitted to </w:t>
            </w:r>
            <w:r w:rsidR="006B60DA">
              <w:rPr>
                <w:rFonts w:cs="Arial"/>
                <w:sz w:val="20"/>
                <w:szCs w:val="20"/>
              </w:rPr>
              <w:t xml:space="preserve">progress </w:t>
            </w:r>
            <w:r>
              <w:rPr>
                <w:rFonts w:cs="Arial"/>
                <w:sz w:val="20"/>
                <w:szCs w:val="20"/>
              </w:rPr>
              <w:t xml:space="preserve">on track for </w:t>
            </w:r>
            <w:r w:rsidR="006B60DA">
              <w:rPr>
                <w:rFonts w:cs="Arial"/>
                <w:sz w:val="20"/>
                <w:szCs w:val="20"/>
              </w:rPr>
              <w:t>an Ord</w:t>
            </w:r>
            <w:r w:rsidR="007E69F5">
              <w:rPr>
                <w:rFonts w:cs="Arial"/>
                <w:sz w:val="20"/>
                <w:szCs w:val="20"/>
              </w:rPr>
              <w:t>inary degree</w:t>
            </w:r>
            <w:r>
              <w:rPr>
                <w:rFonts w:cs="Arial"/>
                <w:sz w:val="20"/>
                <w:szCs w:val="20"/>
              </w:rPr>
              <w:t xml:space="preserve"> – students can instead be given the opportunity to </w:t>
            </w:r>
            <w:r w:rsidR="006B60DA">
              <w:rPr>
                <w:rFonts w:cs="Arial"/>
                <w:sz w:val="20"/>
                <w:szCs w:val="20"/>
              </w:rPr>
              <w:t>repeat</w:t>
            </w:r>
            <w:r>
              <w:rPr>
                <w:rFonts w:cs="Arial"/>
                <w:sz w:val="20"/>
                <w:szCs w:val="20"/>
              </w:rPr>
              <w:t xml:space="preserve"> the year.  A student may </w:t>
            </w:r>
            <w:r w:rsidR="006B60DA">
              <w:rPr>
                <w:rFonts w:cs="Arial"/>
                <w:sz w:val="20"/>
                <w:szCs w:val="20"/>
              </w:rPr>
              <w:t xml:space="preserve">only repeat a year once during an UG career.  </w:t>
            </w:r>
          </w:p>
          <w:p w:rsidR="00393765" w:rsidRDefault="00393765" w:rsidP="00FA03C1">
            <w:pPr>
              <w:rPr>
                <w:rFonts w:cs="Arial"/>
                <w:sz w:val="20"/>
                <w:szCs w:val="20"/>
              </w:rPr>
            </w:pPr>
          </w:p>
          <w:p w:rsidR="006B60DA" w:rsidRDefault="00393765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Discussed: </w:t>
            </w:r>
            <w:r w:rsidR="006B60DA">
              <w:rPr>
                <w:rFonts w:cs="Arial"/>
                <w:sz w:val="20"/>
                <w:szCs w:val="20"/>
              </w:rPr>
              <w:t>What about mit</w:t>
            </w:r>
            <w:r>
              <w:rPr>
                <w:rFonts w:cs="Arial"/>
                <w:sz w:val="20"/>
                <w:szCs w:val="20"/>
              </w:rPr>
              <w:t>igating</w:t>
            </w:r>
            <w:r w:rsidR="006B60DA">
              <w:rPr>
                <w:rFonts w:cs="Arial"/>
                <w:sz w:val="20"/>
                <w:szCs w:val="20"/>
              </w:rPr>
              <w:t xml:space="preserve"> circ</w:t>
            </w:r>
            <w:r>
              <w:rPr>
                <w:rFonts w:cs="Arial"/>
                <w:sz w:val="20"/>
                <w:szCs w:val="20"/>
              </w:rPr>
              <w:t>umstances, e.g. for a student with a chronic condition</w:t>
            </w:r>
            <w:r w:rsidR="006B60DA">
              <w:rPr>
                <w:rFonts w:cs="Arial"/>
                <w:sz w:val="20"/>
                <w:szCs w:val="20"/>
              </w:rPr>
              <w:t xml:space="preserve">?  </w:t>
            </w:r>
          </w:p>
          <w:p w:rsidR="00F4366D" w:rsidRDefault="00F4366D" w:rsidP="00FA03C1">
            <w:pPr>
              <w:rPr>
                <w:rFonts w:cs="Arial"/>
                <w:sz w:val="20"/>
                <w:szCs w:val="20"/>
              </w:rPr>
            </w:pPr>
          </w:p>
          <w:p w:rsidR="008D2761" w:rsidRPr="008D2761" w:rsidRDefault="008D2761" w:rsidP="00FA03C1">
            <w:pPr>
              <w:rPr>
                <w:rFonts w:cs="Arial"/>
                <w:i/>
                <w:sz w:val="20"/>
                <w:szCs w:val="20"/>
              </w:rPr>
            </w:pPr>
            <w:r w:rsidRPr="008D2761">
              <w:rPr>
                <w:rFonts w:cs="Arial"/>
                <w:i/>
                <w:sz w:val="20"/>
                <w:szCs w:val="20"/>
                <w:u w:val="single"/>
              </w:rPr>
              <w:t>Secretary’s Note</w:t>
            </w:r>
            <w:r w:rsidRPr="008D2761">
              <w:rPr>
                <w:rFonts w:cs="Arial"/>
                <w:i/>
                <w:sz w:val="20"/>
                <w:szCs w:val="20"/>
              </w:rPr>
              <w:t xml:space="preserve">: </w:t>
            </w:r>
          </w:p>
          <w:p w:rsidR="008D2761" w:rsidRPr="008D2761" w:rsidRDefault="008D2761" w:rsidP="008D2761">
            <w:pPr>
              <w:rPr>
                <w:i/>
                <w:sz w:val="20"/>
                <w:szCs w:val="20"/>
              </w:rPr>
            </w:pPr>
            <w:r w:rsidRPr="008D2761">
              <w:rPr>
                <w:i/>
                <w:sz w:val="20"/>
                <w:szCs w:val="20"/>
              </w:rPr>
              <w:t>It was subsequently confirmed that ‘undergraduate students can normally only repeat the entire level on one occasion during the whole programme, at level 4 or 5 subject to teaching capacity not being exceeded. Exceptions may be permitted in cases of mitigating circumstances’.</w:t>
            </w:r>
          </w:p>
          <w:p w:rsidR="008D2761" w:rsidRPr="008D2761" w:rsidRDefault="008D2761" w:rsidP="00FA03C1">
            <w:pPr>
              <w:rPr>
                <w:rFonts w:cs="Arial"/>
                <w:i/>
                <w:sz w:val="20"/>
                <w:szCs w:val="20"/>
              </w:rPr>
            </w:pPr>
          </w:p>
          <w:p w:rsidR="00CE0610" w:rsidRPr="00CE0610" w:rsidRDefault="00F3776F" w:rsidP="00FA03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 </w:t>
            </w:r>
            <w:r w:rsidR="00F4366D" w:rsidRPr="00CE0610">
              <w:rPr>
                <w:rFonts w:cs="Arial"/>
                <w:b/>
                <w:sz w:val="20"/>
                <w:szCs w:val="20"/>
              </w:rPr>
              <w:t>I</w:t>
            </w:r>
            <w:r w:rsidR="00CE0610" w:rsidRPr="00CE0610">
              <w:rPr>
                <w:rFonts w:cs="Arial"/>
                <w:b/>
                <w:sz w:val="20"/>
                <w:szCs w:val="20"/>
              </w:rPr>
              <w:t xml:space="preserve">ntegrated </w:t>
            </w:r>
            <w:proofErr w:type="spellStart"/>
            <w:r w:rsidR="00F4366D" w:rsidRPr="00CE0610">
              <w:rPr>
                <w:rFonts w:cs="Arial"/>
                <w:b/>
                <w:sz w:val="20"/>
                <w:szCs w:val="20"/>
              </w:rPr>
              <w:t>M</w:t>
            </w:r>
            <w:r w:rsidR="00CE0610" w:rsidRPr="00CE0610">
              <w:rPr>
                <w:rFonts w:cs="Arial"/>
                <w:b/>
                <w:sz w:val="20"/>
                <w:szCs w:val="20"/>
              </w:rPr>
              <w:t>asters</w:t>
            </w:r>
            <w:proofErr w:type="spellEnd"/>
            <w:r w:rsidR="00CE0610">
              <w:rPr>
                <w:rFonts w:cs="Arial"/>
                <w:b/>
                <w:sz w:val="20"/>
                <w:szCs w:val="20"/>
              </w:rPr>
              <w:t xml:space="preserve"> Degree Outcomes</w:t>
            </w:r>
            <w:r>
              <w:rPr>
                <w:rFonts w:cs="Arial"/>
                <w:b/>
                <w:sz w:val="20"/>
                <w:szCs w:val="20"/>
              </w:rPr>
              <w:t xml:space="preserve"> - guidance</w:t>
            </w:r>
          </w:p>
          <w:p w:rsidR="00F3776F" w:rsidRDefault="00CE0610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5234E7">
              <w:rPr>
                <w:rFonts w:cs="Arial"/>
                <w:sz w:val="20"/>
                <w:szCs w:val="20"/>
              </w:rPr>
              <w:t>f a</w:t>
            </w:r>
            <w:r>
              <w:rPr>
                <w:rFonts w:cs="Arial"/>
                <w:sz w:val="20"/>
                <w:szCs w:val="20"/>
              </w:rPr>
              <w:t>n IM</w:t>
            </w:r>
            <w:r w:rsidR="005234E7">
              <w:rPr>
                <w:rFonts w:cs="Arial"/>
                <w:sz w:val="20"/>
                <w:szCs w:val="20"/>
              </w:rPr>
              <w:t xml:space="preserve"> student ends up with a profile that means </w:t>
            </w:r>
            <w:r>
              <w:rPr>
                <w:rFonts w:cs="Arial"/>
                <w:sz w:val="20"/>
                <w:szCs w:val="20"/>
              </w:rPr>
              <w:t xml:space="preserve">s/he would have achieved a </w:t>
            </w:r>
            <w:r w:rsidR="00F4366D">
              <w:rPr>
                <w:rFonts w:cs="Arial"/>
                <w:sz w:val="20"/>
                <w:szCs w:val="20"/>
              </w:rPr>
              <w:t xml:space="preserve">2.1 </w:t>
            </w:r>
            <w:r>
              <w:rPr>
                <w:rFonts w:cs="Arial"/>
                <w:sz w:val="20"/>
                <w:szCs w:val="20"/>
              </w:rPr>
              <w:t xml:space="preserve">at </w:t>
            </w:r>
            <w:r w:rsidR="00F4366D">
              <w:rPr>
                <w:rFonts w:cs="Arial"/>
                <w:sz w:val="20"/>
                <w:szCs w:val="20"/>
              </w:rPr>
              <w:t xml:space="preserve">BA </w:t>
            </w:r>
            <w:r>
              <w:rPr>
                <w:rFonts w:cs="Arial"/>
                <w:sz w:val="20"/>
                <w:szCs w:val="20"/>
              </w:rPr>
              <w:t xml:space="preserve">(on completion of Level 6) </w:t>
            </w:r>
            <w:r w:rsidR="00F4366D">
              <w:rPr>
                <w:rFonts w:cs="Arial"/>
                <w:sz w:val="20"/>
                <w:szCs w:val="20"/>
              </w:rPr>
              <w:t xml:space="preserve">but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="00F4366D">
              <w:rPr>
                <w:rFonts w:cs="Arial"/>
                <w:sz w:val="20"/>
                <w:szCs w:val="20"/>
              </w:rPr>
              <w:t>2.2 I</w:t>
            </w:r>
            <w:r>
              <w:rPr>
                <w:rFonts w:cs="Arial"/>
                <w:sz w:val="20"/>
                <w:szCs w:val="20"/>
              </w:rPr>
              <w:t xml:space="preserve">ntegrated </w:t>
            </w:r>
            <w:r w:rsidR="00F4366D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asters (on completion of Level 7)</w:t>
            </w:r>
            <w:r w:rsidR="00F3776F">
              <w:rPr>
                <w:rFonts w:cs="Arial"/>
                <w:sz w:val="20"/>
                <w:szCs w:val="20"/>
              </w:rPr>
              <w:t>: the s</w:t>
            </w:r>
            <w:r w:rsidR="00F4366D">
              <w:rPr>
                <w:rFonts w:cs="Arial"/>
                <w:sz w:val="20"/>
                <w:szCs w:val="20"/>
              </w:rPr>
              <w:t>tudent</w:t>
            </w:r>
            <w:r w:rsidR="00F3776F">
              <w:rPr>
                <w:rFonts w:cs="Arial"/>
                <w:sz w:val="20"/>
                <w:szCs w:val="20"/>
              </w:rPr>
              <w:t xml:space="preserve"> may </w:t>
            </w:r>
            <w:r w:rsidR="00F4366D">
              <w:rPr>
                <w:rFonts w:cs="Arial"/>
                <w:sz w:val="20"/>
                <w:szCs w:val="20"/>
              </w:rPr>
              <w:t xml:space="preserve">prefer to exit with </w:t>
            </w:r>
            <w:r w:rsidR="00F3776F">
              <w:rPr>
                <w:rFonts w:cs="Arial"/>
                <w:sz w:val="20"/>
                <w:szCs w:val="20"/>
              </w:rPr>
              <w:t>the</w:t>
            </w:r>
            <w:r w:rsidR="00F4366D">
              <w:rPr>
                <w:rFonts w:cs="Arial"/>
                <w:sz w:val="20"/>
                <w:szCs w:val="20"/>
              </w:rPr>
              <w:t xml:space="preserve"> BA 2.1</w:t>
            </w:r>
            <w:r w:rsidR="00F3776F">
              <w:rPr>
                <w:rFonts w:cs="Arial"/>
                <w:sz w:val="20"/>
                <w:szCs w:val="20"/>
              </w:rPr>
              <w:t>.</w:t>
            </w:r>
            <w:r w:rsidR="00F4366D">
              <w:rPr>
                <w:rFonts w:cs="Arial"/>
                <w:sz w:val="20"/>
                <w:szCs w:val="20"/>
              </w:rPr>
              <w:t xml:space="preserve">  </w:t>
            </w:r>
          </w:p>
          <w:p w:rsidR="00F3776F" w:rsidRDefault="00F3776F" w:rsidP="00FA03C1">
            <w:pPr>
              <w:rPr>
                <w:rFonts w:cs="Arial"/>
                <w:sz w:val="20"/>
                <w:szCs w:val="20"/>
              </w:rPr>
            </w:pPr>
          </w:p>
          <w:p w:rsidR="00F4366D" w:rsidRDefault="00F3776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Guidance was that i</w:t>
            </w:r>
            <w:r w:rsidR="00F4366D">
              <w:rPr>
                <w:rFonts w:cs="Arial"/>
                <w:sz w:val="20"/>
                <w:szCs w:val="20"/>
              </w:rPr>
              <w:t xml:space="preserve">f the </w:t>
            </w:r>
            <w:r>
              <w:rPr>
                <w:rFonts w:cs="Arial"/>
                <w:sz w:val="20"/>
                <w:szCs w:val="20"/>
              </w:rPr>
              <w:t>student W</w:t>
            </w:r>
            <w:r w:rsidR="00F4366D">
              <w:rPr>
                <w:rFonts w:cs="Arial"/>
                <w:sz w:val="20"/>
                <w:szCs w:val="20"/>
              </w:rPr>
              <w:t>ithdraw</w:t>
            </w:r>
            <w:r>
              <w:rPr>
                <w:rFonts w:cs="Arial"/>
                <w:sz w:val="20"/>
                <w:szCs w:val="20"/>
              </w:rPr>
              <w:t>s</w:t>
            </w:r>
            <w:r w:rsidR="00F4366D">
              <w:rPr>
                <w:rFonts w:cs="Arial"/>
                <w:sz w:val="20"/>
                <w:szCs w:val="20"/>
              </w:rPr>
              <w:t xml:space="preserve"> on last day of term, </w:t>
            </w:r>
            <w:r>
              <w:rPr>
                <w:rFonts w:cs="Arial"/>
                <w:sz w:val="20"/>
                <w:szCs w:val="20"/>
              </w:rPr>
              <w:t xml:space="preserve">s/he </w:t>
            </w:r>
            <w:r w:rsidR="00F4366D">
              <w:rPr>
                <w:rFonts w:cs="Arial"/>
                <w:sz w:val="20"/>
                <w:szCs w:val="20"/>
              </w:rPr>
              <w:t xml:space="preserve">can rescind their final award. </w:t>
            </w:r>
            <w:r w:rsidR="00AE0BF4">
              <w:rPr>
                <w:rFonts w:cs="Arial"/>
                <w:sz w:val="20"/>
                <w:szCs w:val="20"/>
              </w:rPr>
              <w:t xml:space="preserve"> But this </w:t>
            </w:r>
            <w:r>
              <w:rPr>
                <w:rFonts w:cs="Arial"/>
                <w:sz w:val="20"/>
                <w:szCs w:val="20"/>
              </w:rPr>
              <w:t xml:space="preserve">would </w:t>
            </w:r>
            <w:r w:rsidR="00AE0BF4">
              <w:rPr>
                <w:rFonts w:cs="Arial"/>
                <w:sz w:val="20"/>
                <w:szCs w:val="20"/>
              </w:rPr>
              <w:t>mean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="00AE0BF4">
              <w:rPr>
                <w:rFonts w:cs="Arial"/>
                <w:sz w:val="20"/>
                <w:szCs w:val="20"/>
              </w:rPr>
              <w:t xml:space="preserve"> student hav</w:t>
            </w:r>
            <w:r>
              <w:rPr>
                <w:rFonts w:cs="Arial"/>
                <w:sz w:val="20"/>
                <w:szCs w:val="20"/>
              </w:rPr>
              <w:t xml:space="preserve">ing </w:t>
            </w:r>
            <w:r w:rsidR="00AE0BF4">
              <w:rPr>
                <w:rFonts w:cs="Arial"/>
                <w:sz w:val="20"/>
                <w:szCs w:val="20"/>
              </w:rPr>
              <w:t>to act before the BoE</w:t>
            </w:r>
            <w:r>
              <w:rPr>
                <w:rFonts w:cs="Arial"/>
                <w:sz w:val="20"/>
                <w:szCs w:val="20"/>
              </w:rPr>
              <w:t xml:space="preserve"> met to agree results.  HTLC felt this needed more discussion at the centre.</w:t>
            </w:r>
          </w:p>
          <w:p w:rsidR="005234E7" w:rsidRDefault="005234E7" w:rsidP="00FA03C1">
            <w:pPr>
              <w:rPr>
                <w:rFonts w:cs="Arial"/>
                <w:sz w:val="20"/>
                <w:szCs w:val="20"/>
              </w:rPr>
            </w:pPr>
          </w:p>
          <w:p w:rsidR="00F3776F" w:rsidRDefault="00F3776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 UG Degree Regulations – Referrals </w:t>
            </w:r>
          </w:p>
          <w:p w:rsidR="00F3776F" w:rsidRDefault="005234E7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can </w:t>
            </w:r>
            <w:r w:rsidR="00F3776F">
              <w:rPr>
                <w:rFonts w:cs="Arial"/>
                <w:sz w:val="20"/>
                <w:szCs w:val="20"/>
              </w:rPr>
              <w:t xml:space="preserve">currently be referred in up to </w:t>
            </w:r>
            <w:r>
              <w:rPr>
                <w:rFonts w:cs="Arial"/>
                <w:sz w:val="20"/>
                <w:szCs w:val="20"/>
              </w:rPr>
              <w:t xml:space="preserve">80cr.  </w:t>
            </w:r>
          </w:p>
          <w:p w:rsidR="005234E7" w:rsidRDefault="00F3776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Proposed:</w:t>
            </w:r>
            <w:r w:rsidR="005234E7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reduce maximum referrals to </w:t>
            </w:r>
            <w:r w:rsidR="005234E7">
              <w:rPr>
                <w:rFonts w:cs="Arial"/>
                <w:sz w:val="20"/>
                <w:szCs w:val="20"/>
              </w:rPr>
              <w:t>60cr</w:t>
            </w:r>
            <w:r>
              <w:rPr>
                <w:rFonts w:cs="Arial"/>
                <w:sz w:val="20"/>
                <w:szCs w:val="20"/>
              </w:rPr>
              <w:t xml:space="preserve">.  However, initial modelling had shown that </w:t>
            </w:r>
            <w:r w:rsidR="005234E7">
              <w:rPr>
                <w:rFonts w:cs="Arial"/>
                <w:sz w:val="20"/>
                <w:szCs w:val="20"/>
              </w:rPr>
              <w:t>no more students ended up leaving if they resat 80cr or 60cr.</w:t>
            </w:r>
          </w:p>
          <w:p w:rsidR="001F4110" w:rsidRDefault="001F4110" w:rsidP="00FA03C1">
            <w:pPr>
              <w:rPr>
                <w:rFonts w:cs="Arial"/>
                <w:sz w:val="20"/>
                <w:szCs w:val="20"/>
              </w:rPr>
            </w:pPr>
          </w:p>
          <w:p w:rsidR="00F3776F" w:rsidRPr="00F3776F" w:rsidRDefault="00F3776F" w:rsidP="00FA03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 </w:t>
            </w:r>
            <w:r w:rsidRPr="00F3776F">
              <w:rPr>
                <w:rFonts w:cs="Arial"/>
                <w:b/>
                <w:sz w:val="20"/>
                <w:szCs w:val="20"/>
              </w:rPr>
              <w:t xml:space="preserve">PGT Degree Regulations – Resits </w:t>
            </w:r>
            <w:r>
              <w:rPr>
                <w:rFonts w:cs="Arial"/>
                <w:b/>
                <w:sz w:val="20"/>
                <w:szCs w:val="20"/>
              </w:rPr>
              <w:t xml:space="preserve">&amp; </w:t>
            </w:r>
            <w:r w:rsidRPr="00F3776F">
              <w:rPr>
                <w:rFonts w:cs="Arial"/>
                <w:b/>
                <w:sz w:val="20"/>
                <w:szCs w:val="20"/>
              </w:rPr>
              <w:t>Dissertation</w:t>
            </w:r>
            <w:r>
              <w:rPr>
                <w:rFonts w:cs="Arial"/>
                <w:b/>
                <w:sz w:val="20"/>
                <w:szCs w:val="20"/>
              </w:rPr>
              <w:t xml:space="preserve"> submission</w:t>
            </w:r>
          </w:p>
          <w:p w:rsidR="001F4110" w:rsidRDefault="001F4110" w:rsidP="009E56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PGT students have to do a </w:t>
            </w:r>
            <w:r w:rsidR="009E5606">
              <w:rPr>
                <w:rFonts w:cs="Arial"/>
                <w:sz w:val="20"/>
                <w:szCs w:val="20"/>
              </w:rPr>
              <w:t>resit, should we extend the Dissertation period to give them a fair chance?  Currently varied practice across Faculty, as emerged at TLAN discussion in 14/15.</w:t>
            </w:r>
            <w:r w:rsidR="002B5750">
              <w:rPr>
                <w:rFonts w:cs="Arial"/>
                <w:sz w:val="20"/>
                <w:szCs w:val="20"/>
              </w:rPr>
              <w:t xml:space="preserve">  </w:t>
            </w:r>
          </w:p>
          <w:p w:rsidR="00F4013A" w:rsidRDefault="00F4013A" w:rsidP="009E5606">
            <w:pPr>
              <w:rPr>
                <w:rFonts w:cs="Arial"/>
                <w:sz w:val="20"/>
                <w:szCs w:val="20"/>
              </w:rPr>
            </w:pPr>
          </w:p>
          <w:p w:rsidR="00F3776F" w:rsidRPr="00F3776F" w:rsidRDefault="00F3776F" w:rsidP="009E5606">
            <w:pPr>
              <w:rPr>
                <w:rFonts w:cs="Arial"/>
                <w:b/>
                <w:sz w:val="20"/>
                <w:szCs w:val="20"/>
              </w:rPr>
            </w:pPr>
            <w:r w:rsidRPr="00F3776F">
              <w:rPr>
                <w:rFonts w:cs="Arial"/>
                <w:b/>
                <w:sz w:val="20"/>
                <w:szCs w:val="20"/>
              </w:rPr>
              <w:t xml:space="preserve">9 </w:t>
            </w:r>
            <w:proofErr w:type="spellStart"/>
            <w:r w:rsidR="00F4013A" w:rsidRPr="00F3776F">
              <w:rPr>
                <w:rFonts w:cs="Arial"/>
                <w:b/>
                <w:sz w:val="20"/>
                <w:szCs w:val="20"/>
              </w:rPr>
              <w:t>MyManchester</w:t>
            </w:r>
            <w:proofErr w:type="spellEnd"/>
            <w:r w:rsidR="00F4013A" w:rsidRPr="00F3776F">
              <w:rPr>
                <w:rFonts w:cs="Arial"/>
                <w:b/>
                <w:sz w:val="20"/>
                <w:szCs w:val="20"/>
              </w:rPr>
              <w:t xml:space="preserve"> for Students </w:t>
            </w:r>
          </w:p>
          <w:p w:rsidR="00F4013A" w:rsidRDefault="00F3776F" w:rsidP="009E5606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Staff were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alerted that this portal h</w:t>
            </w:r>
            <w:r w:rsidR="00F4013A">
              <w:rPr>
                <w:rFonts w:cs="Arial"/>
                <w:sz w:val="20"/>
                <w:szCs w:val="20"/>
              </w:rPr>
              <w:t xml:space="preserve">as some more microsites – FS has asked that these are made visible through the TLSO website. </w:t>
            </w:r>
          </w:p>
          <w:p w:rsidR="0008396E" w:rsidRDefault="0008396E" w:rsidP="009E5606">
            <w:pPr>
              <w:rPr>
                <w:rFonts w:cs="Arial"/>
                <w:sz w:val="20"/>
                <w:szCs w:val="20"/>
              </w:rPr>
            </w:pPr>
          </w:p>
          <w:p w:rsidR="00F3776F" w:rsidRPr="00F3776F" w:rsidRDefault="00F3776F" w:rsidP="00F377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Pr="00F3776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Boundary Zones</w:t>
            </w:r>
            <w:r w:rsidRPr="00F3776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059E7" w:rsidRDefault="00661264" w:rsidP="000839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Discussion was ongoing about how to deal with cases where </w:t>
            </w:r>
            <w:r w:rsidR="0008396E">
              <w:rPr>
                <w:rFonts w:cs="Arial"/>
                <w:sz w:val="20"/>
                <w:szCs w:val="20"/>
              </w:rPr>
              <w:t xml:space="preserve">a student has a HIGHER mark </w:t>
            </w:r>
            <w:r w:rsidR="00F3776F">
              <w:rPr>
                <w:rFonts w:cs="Arial"/>
                <w:sz w:val="20"/>
                <w:szCs w:val="20"/>
              </w:rPr>
              <w:t xml:space="preserve">than required for a particular </w:t>
            </w:r>
            <w:r w:rsidR="00F3776F">
              <w:rPr>
                <w:rFonts w:cs="Arial"/>
                <w:sz w:val="20"/>
                <w:szCs w:val="20"/>
              </w:rPr>
              <w:lastRenderedPageBreak/>
              <w:t xml:space="preserve">classification, </w:t>
            </w:r>
            <w:r w:rsidR="0008396E">
              <w:rPr>
                <w:rFonts w:cs="Arial"/>
                <w:sz w:val="20"/>
                <w:szCs w:val="20"/>
              </w:rPr>
              <w:t xml:space="preserve">but a </w:t>
            </w:r>
            <w:r>
              <w:rPr>
                <w:rFonts w:cs="Arial"/>
                <w:sz w:val="20"/>
                <w:szCs w:val="20"/>
              </w:rPr>
              <w:t xml:space="preserve">poor </w:t>
            </w:r>
            <w:r w:rsidR="0008396E">
              <w:rPr>
                <w:rFonts w:cs="Arial"/>
                <w:sz w:val="20"/>
                <w:szCs w:val="20"/>
              </w:rPr>
              <w:t>fail mean</w:t>
            </w:r>
            <w:r>
              <w:rPr>
                <w:rFonts w:cs="Arial"/>
                <w:sz w:val="20"/>
                <w:szCs w:val="20"/>
              </w:rPr>
              <w:t>s</w:t>
            </w:r>
            <w:r w:rsidR="0008396E">
              <w:rPr>
                <w:rFonts w:cs="Arial"/>
                <w:sz w:val="20"/>
                <w:szCs w:val="20"/>
              </w:rPr>
              <w:t xml:space="preserve"> they </w:t>
            </w:r>
            <w:r w:rsidR="00F3776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o not </w:t>
            </w:r>
            <w:r w:rsidR="00F3776F">
              <w:rPr>
                <w:rFonts w:cs="Arial"/>
                <w:sz w:val="20"/>
                <w:szCs w:val="20"/>
              </w:rPr>
              <w:t xml:space="preserve">end up in </w:t>
            </w:r>
            <w:r w:rsidR="0008396E">
              <w:rPr>
                <w:rFonts w:cs="Arial"/>
                <w:sz w:val="20"/>
                <w:szCs w:val="20"/>
              </w:rPr>
              <w:t>the boundary zone due to credit deficit</w:t>
            </w:r>
            <w:r>
              <w:rPr>
                <w:rFonts w:cs="Arial"/>
                <w:sz w:val="20"/>
                <w:szCs w:val="20"/>
              </w:rPr>
              <w:t xml:space="preserve"> (preponderance / </w:t>
            </w:r>
            <w:r w:rsidR="0008396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.</w:t>
            </w:r>
            <w:r w:rsidR="0008396E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.</w:t>
            </w:r>
            <w:r w:rsidR="0008396E">
              <w:rPr>
                <w:rFonts w:cs="Arial"/>
                <w:sz w:val="20"/>
                <w:szCs w:val="20"/>
              </w:rPr>
              <w:t xml:space="preserve"> they don’t have enough credits “in the zone”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:rsidR="002059E7" w:rsidRDefault="002059E7" w:rsidP="0008396E">
            <w:pPr>
              <w:rPr>
                <w:rFonts w:cs="Arial"/>
                <w:sz w:val="20"/>
                <w:szCs w:val="20"/>
              </w:rPr>
            </w:pPr>
          </w:p>
          <w:p w:rsidR="003526C1" w:rsidRPr="003526C1" w:rsidRDefault="003526C1" w:rsidP="0008396E">
            <w:pPr>
              <w:rPr>
                <w:rFonts w:cs="Arial"/>
                <w:b/>
                <w:sz w:val="20"/>
                <w:szCs w:val="20"/>
              </w:rPr>
            </w:pPr>
            <w:r w:rsidRPr="003526C1">
              <w:rPr>
                <w:rFonts w:cs="Arial"/>
                <w:b/>
                <w:sz w:val="20"/>
                <w:szCs w:val="20"/>
              </w:rPr>
              <w:t xml:space="preserve">11 </w:t>
            </w:r>
            <w:r w:rsidR="002059E7" w:rsidRPr="003526C1">
              <w:rPr>
                <w:rFonts w:cs="Arial"/>
                <w:b/>
                <w:sz w:val="20"/>
                <w:szCs w:val="20"/>
              </w:rPr>
              <w:t>Library News</w:t>
            </w:r>
          </w:p>
          <w:p w:rsidR="00507302" w:rsidRPr="003526C1" w:rsidRDefault="00BB4C31" w:rsidP="003526C1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</w:t>
            </w:r>
            <w:r w:rsidR="002059E7" w:rsidRPr="003526C1">
              <w:rPr>
                <w:rFonts w:cs="Arial"/>
                <w:sz w:val="20"/>
                <w:szCs w:val="20"/>
              </w:rPr>
              <w:t xml:space="preserve">presentation </w:t>
            </w:r>
            <w:r>
              <w:rPr>
                <w:rFonts w:cs="Arial"/>
                <w:sz w:val="20"/>
                <w:szCs w:val="20"/>
              </w:rPr>
              <w:t xml:space="preserve">had been </w:t>
            </w:r>
            <w:r w:rsidR="002059E7" w:rsidRPr="003526C1">
              <w:rPr>
                <w:rFonts w:cs="Arial"/>
                <w:sz w:val="20"/>
                <w:szCs w:val="20"/>
              </w:rPr>
              <w:t xml:space="preserve">given </w:t>
            </w:r>
            <w:r>
              <w:rPr>
                <w:rFonts w:cs="Arial"/>
                <w:sz w:val="20"/>
                <w:szCs w:val="20"/>
              </w:rPr>
              <w:t xml:space="preserve">to TLG </w:t>
            </w:r>
            <w:r w:rsidR="002059E7" w:rsidRPr="003526C1">
              <w:rPr>
                <w:rFonts w:cs="Arial"/>
                <w:sz w:val="20"/>
                <w:szCs w:val="20"/>
              </w:rPr>
              <w:t xml:space="preserve">by Katy on </w:t>
            </w:r>
            <w:r w:rsidR="003526C1" w:rsidRPr="003526C1">
              <w:rPr>
                <w:rFonts w:cs="Arial"/>
                <w:sz w:val="20"/>
                <w:szCs w:val="20"/>
              </w:rPr>
              <w:t xml:space="preserve">library </w:t>
            </w:r>
            <w:r w:rsidR="002059E7" w:rsidRPr="003526C1">
              <w:rPr>
                <w:rFonts w:cs="Arial"/>
                <w:sz w:val="20"/>
                <w:szCs w:val="20"/>
              </w:rPr>
              <w:t>redevelopment</w:t>
            </w:r>
            <w:r w:rsidR="003526C1" w:rsidRPr="003526C1">
              <w:rPr>
                <w:rFonts w:cs="Arial"/>
                <w:sz w:val="20"/>
                <w:szCs w:val="20"/>
              </w:rPr>
              <w:t>s</w:t>
            </w:r>
            <w:r w:rsidR="002059E7" w:rsidRPr="003526C1">
              <w:rPr>
                <w:rFonts w:cs="Arial"/>
                <w:sz w:val="20"/>
                <w:szCs w:val="20"/>
              </w:rPr>
              <w:t xml:space="preserve"> due to start end 15/16.</w:t>
            </w:r>
            <w:r w:rsidR="00507302" w:rsidRPr="003526C1">
              <w:rPr>
                <w:rFonts w:cs="Arial"/>
                <w:sz w:val="20"/>
                <w:szCs w:val="20"/>
              </w:rPr>
              <w:t xml:space="preserve">  More to come </w:t>
            </w:r>
            <w:r w:rsidR="003526C1" w:rsidRPr="003526C1">
              <w:rPr>
                <w:rFonts w:cs="Arial"/>
                <w:sz w:val="20"/>
                <w:szCs w:val="20"/>
              </w:rPr>
              <w:t>at</w:t>
            </w:r>
            <w:r w:rsidR="00507302" w:rsidRPr="003526C1">
              <w:rPr>
                <w:rFonts w:cs="Arial"/>
                <w:sz w:val="20"/>
                <w:szCs w:val="20"/>
              </w:rPr>
              <w:t xml:space="preserve"> November HTLC.</w:t>
            </w:r>
          </w:p>
          <w:p w:rsidR="00507302" w:rsidRDefault="00507302" w:rsidP="0008396E">
            <w:pPr>
              <w:rPr>
                <w:rFonts w:cs="Arial"/>
                <w:sz w:val="20"/>
                <w:szCs w:val="20"/>
              </w:rPr>
            </w:pPr>
          </w:p>
          <w:p w:rsidR="0008396E" w:rsidRPr="003526C1" w:rsidRDefault="00507302" w:rsidP="003526C1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3526C1">
              <w:rPr>
                <w:rFonts w:cs="Arial"/>
                <w:sz w:val="20"/>
                <w:szCs w:val="20"/>
              </w:rPr>
              <w:t xml:space="preserve">Books Right Here, Right </w:t>
            </w:r>
            <w:proofErr w:type="gramStart"/>
            <w:r w:rsidRPr="003526C1">
              <w:rPr>
                <w:rFonts w:cs="Arial"/>
                <w:sz w:val="20"/>
                <w:szCs w:val="20"/>
              </w:rPr>
              <w:t>Now</w:t>
            </w:r>
            <w:proofErr w:type="gramEnd"/>
            <w:r w:rsidRPr="003526C1">
              <w:rPr>
                <w:rFonts w:cs="Arial"/>
                <w:sz w:val="20"/>
                <w:szCs w:val="20"/>
              </w:rPr>
              <w:t xml:space="preserve"> project </w:t>
            </w:r>
            <w:r w:rsidR="003526C1">
              <w:rPr>
                <w:rFonts w:cs="Arial"/>
                <w:sz w:val="20"/>
                <w:szCs w:val="20"/>
              </w:rPr>
              <w:t xml:space="preserve">was </w:t>
            </w:r>
            <w:r w:rsidRPr="003526C1">
              <w:rPr>
                <w:rFonts w:cs="Arial"/>
                <w:sz w:val="20"/>
                <w:szCs w:val="20"/>
              </w:rPr>
              <w:t xml:space="preserve">ongoing – next phase to understand how academics request books and </w:t>
            </w:r>
            <w:proofErr w:type="spellStart"/>
            <w:r w:rsidRPr="003526C1">
              <w:rPr>
                <w:rFonts w:cs="Arial"/>
                <w:sz w:val="20"/>
                <w:szCs w:val="20"/>
              </w:rPr>
              <w:t>ebooks</w:t>
            </w:r>
            <w:proofErr w:type="spellEnd"/>
            <w:r w:rsidRPr="003526C1">
              <w:rPr>
                <w:rFonts w:cs="Arial"/>
                <w:sz w:val="20"/>
                <w:szCs w:val="20"/>
              </w:rPr>
              <w:t xml:space="preserve"> to improve access to recommended texts.  </w:t>
            </w:r>
            <w:r w:rsidR="003A1349" w:rsidRPr="003526C1">
              <w:rPr>
                <w:rFonts w:cs="Arial"/>
                <w:sz w:val="20"/>
                <w:szCs w:val="20"/>
              </w:rPr>
              <w:t>Questionnaire to be circulated – important that staff take the opportunity to respond and feed in.</w:t>
            </w:r>
            <w:r w:rsidR="008B36AC" w:rsidRPr="003526C1">
              <w:rPr>
                <w:rFonts w:cs="Arial"/>
                <w:sz w:val="20"/>
                <w:szCs w:val="20"/>
              </w:rPr>
              <w:t xml:space="preserve">  Academic Engagement Teams will be promoting via School committees. </w:t>
            </w:r>
            <w:r w:rsidR="0008396E" w:rsidRPr="003526C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2C89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E69F5" w:rsidRDefault="007E69F5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7E69F5">
            <w:pPr>
              <w:rPr>
                <w:rFonts w:cs="Arial"/>
                <w:b/>
                <w:sz w:val="20"/>
                <w:szCs w:val="20"/>
              </w:rPr>
            </w:pPr>
          </w:p>
          <w:p w:rsidR="002B5750" w:rsidRDefault="002B575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CE0610" w:rsidRDefault="00CE061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2B5750" w:rsidRDefault="002B575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2B5750" w:rsidRDefault="002B575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2B5750" w:rsidRDefault="002B575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2B5750" w:rsidRDefault="002B5750" w:rsidP="00AE0BF4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F3776F" w:rsidRDefault="00F3776F" w:rsidP="004348C1">
            <w:pPr>
              <w:rPr>
                <w:rFonts w:cs="Arial"/>
                <w:b/>
                <w:sz w:val="20"/>
                <w:szCs w:val="20"/>
              </w:rPr>
            </w:pPr>
          </w:p>
          <w:p w:rsidR="007E69F5" w:rsidRPr="00AA24BA" w:rsidRDefault="002B5750" w:rsidP="00F377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Lisa </w:t>
            </w:r>
            <w:r w:rsidR="00F3776F">
              <w:rPr>
                <w:rFonts w:cs="Arial"/>
                <w:b/>
                <w:sz w:val="20"/>
                <w:szCs w:val="20"/>
              </w:rPr>
              <w:t xml:space="preserve">McAleese </w:t>
            </w:r>
            <w:r>
              <w:rPr>
                <w:rFonts w:cs="Arial"/>
                <w:b/>
                <w:sz w:val="20"/>
                <w:szCs w:val="20"/>
              </w:rPr>
              <w:t xml:space="preserve">to collate current practice </w:t>
            </w:r>
            <w:r w:rsidR="00F3776F">
              <w:rPr>
                <w:rFonts w:cs="Arial"/>
                <w:b/>
                <w:sz w:val="20"/>
                <w:szCs w:val="20"/>
              </w:rPr>
              <w:t xml:space="preserve">on whether Schools give Dissertation submission extensions to PGT students with resits, </w:t>
            </w:r>
            <w:r>
              <w:rPr>
                <w:rFonts w:cs="Arial"/>
                <w:b/>
                <w:sz w:val="20"/>
                <w:szCs w:val="20"/>
              </w:rPr>
              <w:t>and forward to Emma Hilton-Wood.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lastRenderedPageBreak/>
              <w:t>6.2 *Briefing Note</w:t>
            </w:r>
            <w:r w:rsidRPr="00AA24BA">
              <w:rPr>
                <w:bCs/>
                <w:sz w:val="20"/>
                <w:szCs w:val="20"/>
              </w:rPr>
              <w:t xml:space="preserve"> [HTLC/1/15/6.2]</w:t>
            </w:r>
          </w:p>
        </w:tc>
        <w:tc>
          <w:tcPr>
            <w:tcW w:w="5386" w:type="dxa"/>
          </w:tcPr>
          <w:p w:rsidR="00362C89" w:rsidRPr="00602D74" w:rsidRDefault="00602D74" w:rsidP="00FA03C1">
            <w:pPr>
              <w:rPr>
                <w:rFonts w:cs="Arial"/>
                <w:b/>
                <w:sz w:val="20"/>
                <w:szCs w:val="20"/>
              </w:rPr>
            </w:pPr>
            <w:r w:rsidRPr="00602D74">
              <w:rPr>
                <w:rFonts w:cs="Arial"/>
                <w:b/>
                <w:sz w:val="20"/>
                <w:szCs w:val="20"/>
              </w:rPr>
              <w:t>1 Documents circulated since the last meeting</w:t>
            </w:r>
          </w:p>
          <w:p w:rsidR="00602D74" w:rsidRPr="00602D74" w:rsidRDefault="00602D74" w:rsidP="00FA03C1">
            <w:pPr>
              <w:rPr>
                <w:rFonts w:cs="Arial"/>
                <w:sz w:val="20"/>
                <w:szCs w:val="20"/>
              </w:rPr>
            </w:pPr>
            <w:r w:rsidRPr="00602D74">
              <w:rPr>
                <w:rFonts w:cs="Arial"/>
                <w:b/>
                <w:sz w:val="20"/>
                <w:szCs w:val="20"/>
              </w:rPr>
              <w:t>2 Senate</w:t>
            </w:r>
            <w:r w:rsidRPr="00602D74">
              <w:rPr>
                <w:rFonts w:cs="Arial"/>
                <w:sz w:val="20"/>
                <w:szCs w:val="20"/>
              </w:rPr>
              <w:t xml:space="preserve">: 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>Policy on Inclusive Teaching and Learning Materials: approved – see below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>Policy on Submission of Work for Summative Assessment: approved – see below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>Policy on Ethical Approval of Research in Taught Assessment: approved – see below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 xml:space="preserve">Amendments to: </w:t>
            </w:r>
          </w:p>
          <w:p w:rsidR="00602D74" w:rsidRPr="00602D74" w:rsidRDefault="00602D74" w:rsidP="00602D74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>General Regulation XVIII: Student Complaints Procedure: approved – see below</w:t>
            </w:r>
          </w:p>
          <w:p w:rsidR="00602D74" w:rsidRPr="00602D74" w:rsidRDefault="00602D74" w:rsidP="00602D74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>General Regulation XIX: Academic Appeals Procedure (in response to OIA’s Good Practice Framework) : approved – see below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 xml:space="preserve">Changes Ordinance XI (1) which will </w:t>
            </w:r>
            <w:proofErr w:type="spellStart"/>
            <w:r w:rsidRPr="00602D74">
              <w:rPr>
                <w:sz w:val="20"/>
                <w:szCs w:val="20"/>
                <w:lang w:val="en"/>
              </w:rPr>
              <w:t>recognise</w:t>
            </w:r>
            <w:proofErr w:type="spellEnd"/>
            <w:r w:rsidRPr="00602D74">
              <w:rPr>
                <w:sz w:val="20"/>
                <w:szCs w:val="20"/>
                <w:lang w:val="en"/>
              </w:rPr>
              <w:t xml:space="preserve"> only three faculties: EPS, Humanities, MHS from 1 August 2016: approved</w:t>
            </w:r>
          </w:p>
          <w:p w:rsidR="00602D74" w:rsidRP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 xml:space="preserve">Updated </w:t>
            </w:r>
            <w:proofErr w:type="spellStart"/>
            <w:r w:rsidRPr="00602D74">
              <w:rPr>
                <w:sz w:val="20"/>
                <w:szCs w:val="20"/>
                <w:lang w:val="en"/>
              </w:rPr>
              <w:t>Internationalisation</w:t>
            </w:r>
            <w:proofErr w:type="spellEnd"/>
            <w:r w:rsidRPr="00602D74">
              <w:rPr>
                <w:sz w:val="20"/>
                <w:szCs w:val="20"/>
                <w:lang w:val="en"/>
              </w:rPr>
              <w:t xml:space="preserve"> Strategy</w:t>
            </w:r>
          </w:p>
          <w:p w:rsidR="00602D74" w:rsidRDefault="00602D74" w:rsidP="00602D74">
            <w:pPr>
              <w:numPr>
                <w:ilvl w:val="0"/>
                <w:numId w:val="26"/>
              </w:numPr>
              <w:ind w:left="714" w:hanging="357"/>
              <w:rPr>
                <w:sz w:val="20"/>
                <w:szCs w:val="20"/>
                <w:lang w:val="en"/>
              </w:rPr>
            </w:pPr>
            <w:r w:rsidRPr="00602D74">
              <w:rPr>
                <w:sz w:val="20"/>
                <w:szCs w:val="20"/>
                <w:lang w:val="en"/>
              </w:rPr>
              <w:t xml:space="preserve">New and amended undergraduate and postgraduate taught </w:t>
            </w:r>
            <w:proofErr w:type="spellStart"/>
            <w:r w:rsidRPr="00602D74">
              <w:rPr>
                <w:sz w:val="20"/>
                <w:szCs w:val="20"/>
                <w:lang w:val="en"/>
              </w:rPr>
              <w:t>programmes</w:t>
            </w:r>
            <w:proofErr w:type="spellEnd"/>
          </w:p>
          <w:p w:rsidR="00E40C99" w:rsidRPr="00602D74" w:rsidRDefault="00E40C99" w:rsidP="00E40C99">
            <w:pPr>
              <w:ind w:left="714"/>
              <w:rPr>
                <w:sz w:val="20"/>
                <w:szCs w:val="20"/>
                <w:lang w:val="en"/>
              </w:rPr>
            </w:pPr>
          </w:p>
          <w:p w:rsidR="00602D74" w:rsidRPr="00602D74" w:rsidRDefault="00602D74" w:rsidP="00FA03C1">
            <w:pPr>
              <w:rPr>
                <w:rFonts w:cs="Arial"/>
                <w:b/>
                <w:sz w:val="20"/>
                <w:szCs w:val="20"/>
                <w:lang w:val="en"/>
              </w:rPr>
            </w:pPr>
            <w:r w:rsidRPr="00602D74">
              <w:rPr>
                <w:rFonts w:cs="Arial"/>
                <w:b/>
                <w:sz w:val="20"/>
                <w:szCs w:val="20"/>
                <w:lang w:val="en"/>
              </w:rPr>
              <w:t>3 Teaching Excellence Awards 14/15</w:t>
            </w:r>
          </w:p>
          <w:p w:rsidR="00602D74" w:rsidRPr="00602D74" w:rsidRDefault="0023793D" w:rsidP="00602D7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"/>
              </w:rPr>
            </w:pPr>
            <w:hyperlink r:id="rId8" w:history="1">
              <w:r w:rsidR="00602D74" w:rsidRPr="00602D74">
                <w:rPr>
                  <w:rStyle w:val="Hyperlink"/>
                  <w:bCs/>
                  <w:sz w:val="20"/>
                  <w:szCs w:val="20"/>
                  <w:lang w:val="en"/>
                </w:rPr>
                <w:t>Gemma Edwards</w:t>
              </w:r>
            </w:hyperlink>
            <w:r w:rsidR="00602D74" w:rsidRPr="00602D74">
              <w:rPr>
                <w:rStyle w:val="Strong"/>
                <w:sz w:val="20"/>
                <w:szCs w:val="20"/>
                <w:lang w:val="en"/>
              </w:rPr>
              <w:t xml:space="preserve"> </w:t>
            </w:r>
            <w:r w:rsidR="00602D74" w:rsidRPr="00602D74">
              <w:rPr>
                <w:rStyle w:val="Strong"/>
                <w:b w:val="0"/>
                <w:sz w:val="20"/>
                <w:szCs w:val="20"/>
                <w:lang w:val="en"/>
              </w:rPr>
              <w:t>(</w:t>
            </w:r>
            <w:proofErr w:type="spellStart"/>
            <w:r w:rsidR="00602D74" w:rsidRPr="00602D74">
              <w:rPr>
                <w:rStyle w:val="Strong"/>
                <w:b w:val="0"/>
                <w:sz w:val="20"/>
                <w:szCs w:val="20"/>
                <w:lang w:val="en"/>
              </w:rPr>
              <w:t>SoSS</w:t>
            </w:r>
            <w:proofErr w:type="spellEnd"/>
            <w:r w:rsidR="00602D74" w:rsidRPr="00602D74">
              <w:rPr>
                <w:rStyle w:val="Strong"/>
                <w:b w:val="0"/>
                <w:sz w:val="20"/>
                <w:szCs w:val="20"/>
                <w:lang w:val="en"/>
              </w:rPr>
              <w:t xml:space="preserve">) </w:t>
            </w:r>
            <w:r w:rsidR="00602D74" w:rsidRPr="00602D74">
              <w:rPr>
                <w:rStyle w:val="Emphasis"/>
                <w:sz w:val="20"/>
                <w:szCs w:val="20"/>
                <w:lang w:val="en"/>
              </w:rPr>
              <w:t>for her approach to her own teaching and to the students’ learning, and combining support for employability and community building through the ‘</w:t>
            </w:r>
            <w:proofErr w:type="spellStart"/>
            <w:r w:rsidR="00602D74" w:rsidRPr="00602D74">
              <w:rPr>
                <w:rStyle w:val="Emphasis"/>
                <w:sz w:val="20"/>
                <w:szCs w:val="20"/>
                <w:lang w:val="en"/>
              </w:rPr>
              <w:t>ProD</w:t>
            </w:r>
            <w:proofErr w:type="spellEnd"/>
            <w:r w:rsidR="00602D74" w:rsidRPr="00602D74">
              <w:rPr>
                <w:rStyle w:val="Emphasis"/>
                <w:sz w:val="20"/>
                <w:szCs w:val="20"/>
                <w:lang w:val="en"/>
              </w:rPr>
              <w:t>’.</w:t>
            </w:r>
          </w:p>
          <w:p w:rsidR="00602D74" w:rsidRDefault="00602D74" w:rsidP="00602D74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602D74" w:rsidRPr="00602D74" w:rsidRDefault="00602D74" w:rsidP="00602D74">
            <w:pPr>
              <w:suppressAutoHyphens/>
              <w:rPr>
                <w:b/>
                <w:bCs/>
                <w:sz w:val="20"/>
                <w:szCs w:val="20"/>
              </w:rPr>
            </w:pPr>
            <w:r w:rsidRPr="00602D74">
              <w:rPr>
                <w:b/>
                <w:bCs/>
                <w:sz w:val="20"/>
                <w:szCs w:val="20"/>
              </w:rPr>
              <w:t>4 Unit Surveys</w:t>
            </w:r>
          </w:p>
          <w:p w:rsidR="00602D74" w:rsidRPr="00602D74" w:rsidRDefault="00602D74" w:rsidP="0060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02D74">
              <w:rPr>
                <w:rFonts w:asciiTheme="minorHAnsi" w:hAnsiTheme="minorHAnsi"/>
                <w:sz w:val="20"/>
                <w:szCs w:val="20"/>
              </w:rPr>
              <w:t xml:space="preserve">Schools are reminded that from 15/16 TLSO will only be supporting the online Unit Survey system. </w:t>
            </w:r>
          </w:p>
          <w:p w:rsidR="00602D74" w:rsidRDefault="00602D74" w:rsidP="00602D74">
            <w:pPr>
              <w:pStyle w:val="Default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602D74" w:rsidRPr="00602D74" w:rsidRDefault="00602D74" w:rsidP="00602D74">
            <w:pPr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PASS Training</w:t>
            </w:r>
          </w:p>
          <w:p w:rsidR="00602D74" w:rsidRDefault="00602D74" w:rsidP="00602D74">
            <w:pPr>
              <w:rPr>
                <w:sz w:val="21"/>
                <w:szCs w:val="21"/>
              </w:rPr>
            </w:pPr>
            <w:r w:rsidRPr="00B30F04">
              <w:rPr>
                <w:sz w:val="21"/>
                <w:szCs w:val="21"/>
              </w:rPr>
              <w:t xml:space="preserve">PASS training has </w:t>
            </w:r>
            <w:r>
              <w:rPr>
                <w:sz w:val="21"/>
                <w:szCs w:val="21"/>
              </w:rPr>
              <w:t xml:space="preserve">trained </w:t>
            </w:r>
            <w:r w:rsidRPr="00B30F04">
              <w:rPr>
                <w:sz w:val="21"/>
                <w:szCs w:val="21"/>
              </w:rPr>
              <w:t>521 PASS Leaders for September.</w:t>
            </w:r>
          </w:p>
          <w:p w:rsidR="00602D74" w:rsidRDefault="00602D74" w:rsidP="00602D74">
            <w:pPr>
              <w:rPr>
                <w:b/>
                <w:sz w:val="21"/>
                <w:szCs w:val="21"/>
              </w:rPr>
            </w:pPr>
          </w:p>
          <w:p w:rsidR="00602D74" w:rsidRPr="00B55025" w:rsidRDefault="00602D74" w:rsidP="00602D74">
            <w:pPr>
              <w:rPr>
                <w:b/>
                <w:sz w:val="20"/>
                <w:szCs w:val="20"/>
              </w:rPr>
            </w:pPr>
            <w:r w:rsidRPr="00B55025">
              <w:rPr>
                <w:b/>
                <w:sz w:val="20"/>
                <w:szCs w:val="20"/>
              </w:rPr>
              <w:t>6 New tool to enable podcasting of any timetabled event</w:t>
            </w:r>
          </w:p>
          <w:p w:rsidR="00602D74" w:rsidRPr="00B55025" w:rsidRDefault="00602D74" w:rsidP="00602D74">
            <w:pPr>
              <w:rPr>
                <w:b/>
                <w:sz w:val="20"/>
                <w:szCs w:val="20"/>
              </w:rPr>
            </w:pPr>
          </w:p>
          <w:p w:rsidR="00602D74" w:rsidRPr="00B55025" w:rsidRDefault="00602D74" w:rsidP="00602D74">
            <w:pPr>
              <w:rPr>
                <w:rFonts w:cs="Arial"/>
                <w:b/>
                <w:sz w:val="20"/>
                <w:szCs w:val="20"/>
              </w:rPr>
            </w:pPr>
            <w:r w:rsidRPr="00B55025">
              <w:rPr>
                <w:rFonts w:cs="Arial"/>
                <w:b/>
                <w:sz w:val="20"/>
                <w:szCs w:val="20"/>
              </w:rPr>
              <w:t xml:space="preserve">7 </w:t>
            </w:r>
            <w:r w:rsidRPr="00B55025">
              <w:rPr>
                <w:rFonts w:cs="Arial"/>
                <w:b/>
                <w:sz w:val="20"/>
                <w:szCs w:val="20"/>
                <w:lang w:val="en"/>
              </w:rPr>
              <w:t>QA World Rankings</w:t>
            </w:r>
          </w:p>
          <w:p w:rsidR="00B55025" w:rsidRPr="00B55025" w:rsidRDefault="0023793D" w:rsidP="00B55025">
            <w:pPr>
              <w:rPr>
                <w:sz w:val="20"/>
                <w:szCs w:val="20"/>
              </w:rPr>
            </w:pPr>
            <w:hyperlink r:id="rId9" w:history="1">
              <w:r w:rsidR="00B55025" w:rsidRPr="00B55025">
                <w:rPr>
                  <w:rStyle w:val="Hyperlink"/>
                  <w:sz w:val="20"/>
                  <w:szCs w:val="20"/>
                </w:rPr>
                <w:t>http://www.topuniversities.com/</w:t>
              </w:r>
            </w:hyperlink>
          </w:p>
          <w:p w:rsidR="00602D74" w:rsidRPr="00B55025" w:rsidRDefault="00602D74" w:rsidP="00602D74">
            <w:pPr>
              <w:rPr>
                <w:rFonts w:cs="Arial"/>
                <w:b/>
                <w:sz w:val="20"/>
                <w:szCs w:val="20"/>
              </w:rPr>
            </w:pPr>
          </w:p>
          <w:p w:rsidR="00602D74" w:rsidRDefault="00602D74" w:rsidP="00602D74">
            <w:pPr>
              <w:rPr>
                <w:rFonts w:cs="Arial"/>
                <w:b/>
                <w:sz w:val="20"/>
                <w:szCs w:val="20"/>
                <w:lang w:val="en"/>
              </w:rPr>
            </w:pPr>
            <w:r w:rsidRPr="00B55025">
              <w:rPr>
                <w:rFonts w:cs="Arial"/>
                <w:b/>
                <w:sz w:val="20"/>
                <w:szCs w:val="20"/>
                <w:lang w:val="en"/>
              </w:rPr>
              <w:t xml:space="preserve">8 Important changes from DSO – now Disability Advisory and </w:t>
            </w:r>
            <w:r w:rsidRPr="00B55025">
              <w:rPr>
                <w:rFonts w:cs="Arial"/>
                <w:b/>
                <w:sz w:val="20"/>
                <w:szCs w:val="20"/>
                <w:lang w:val="en"/>
              </w:rPr>
              <w:lastRenderedPageBreak/>
              <w:t>Support Service (DASS)</w:t>
            </w:r>
          </w:p>
          <w:p w:rsidR="00BB4C31" w:rsidRDefault="00BB4C31" w:rsidP="00602D74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  <w:p w:rsidR="00BB4C31" w:rsidRPr="00BB4C31" w:rsidRDefault="00BB4C31" w:rsidP="00602D74">
            <w:pPr>
              <w:rPr>
                <w:rFonts w:cs="Arial"/>
                <w:b/>
                <w:sz w:val="20"/>
                <w:szCs w:val="20"/>
                <w:lang w:val="en"/>
              </w:rPr>
            </w:pPr>
            <w:r w:rsidRPr="00BB4C31">
              <w:rPr>
                <w:rFonts w:cs="Arial"/>
                <w:b/>
                <w:sz w:val="20"/>
                <w:szCs w:val="20"/>
                <w:lang w:val="en"/>
              </w:rPr>
              <w:t>9 Overview of Teaching Awards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FA03C1" w:rsidRDefault="00362C89" w:rsidP="00FA03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Student Matters raised by Student Representatives</w:t>
            </w:r>
          </w:p>
        </w:tc>
        <w:tc>
          <w:tcPr>
            <w:tcW w:w="5386" w:type="dxa"/>
          </w:tcPr>
          <w:p w:rsidR="00A8721A" w:rsidRDefault="00A8721A" w:rsidP="00A872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Michael Spence – Humanities UG Rep last year – was welcomed to HTLC in his new capacity as UMSU Education Officer. </w:t>
            </w:r>
          </w:p>
          <w:p w:rsidR="00DE1056" w:rsidRDefault="00DE1056" w:rsidP="00A8721A">
            <w:pPr>
              <w:rPr>
                <w:rFonts w:cs="Arial"/>
                <w:sz w:val="20"/>
                <w:szCs w:val="20"/>
              </w:rPr>
            </w:pPr>
          </w:p>
          <w:p w:rsidR="00362C89" w:rsidRPr="00FA03C1" w:rsidRDefault="00A8721A" w:rsidP="00A872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Programme Rep e</w:t>
            </w:r>
            <w:r w:rsidR="008B36AC">
              <w:rPr>
                <w:rFonts w:cs="Arial"/>
                <w:sz w:val="20"/>
                <w:szCs w:val="20"/>
              </w:rPr>
              <w:t xml:space="preserve">lections </w:t>
            </w:r>
            <w:r>
              <w:rPr>
                <w:rFonts w:cs="Arial"/>
                <w:sz w:val="20"/>
                <w:szCs w:val="20"/>
              </w:rPr>
              <w:t xml:space="preserve">would </w:t>
            </w:r>
            <w:r w:rsidR="008B36AC">
              <w:rPr>
                <w:rFonts w:cs="Arial"/>
                <w:sz w:val="20"/>
                <w:szCs w:val="20"/>
              </w:rPr>
              <w:t>start on Friday</w:t>
            </w:r>
            <w:r>
              <w:rPr>
                <w:rFonts w:cs="Arial"/>
                <w:sz w:val="20"/>
                <w:szCs w:val="20"/>
              </w:rPr>
              <w:t>, so Humanities UG and PGT</w:t>
            </w:r>
            <w:r w:rsidR="008B36A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Student Representatives should </w:t>
            </w:r>
            <w:r w:rsidR="008B36AC">
              <w:rPr>
                <w:rFonts w:cs="Arial"/>
                <w:sz w:val="20"/>
                <w:szCs w:val="20"/>
              </w:rPr>
              <w:t xml:space="preserve">be </w:t>
            </w:r>
            <w:r>
              <w:rPr>
                <w:rFonts w:cs="Arial"/>
                <w:sz w:val="20"/>
                <w:szCs w:val="20"/>
              </w:rPr>
              <w:t>able to attend HTLC in November</w:t>
            </w:r>
            <w:r w:rsidR="008B36A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FA03C1" w:rsidRDefault="00362C89" w:rsidP="00FA03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Adjustments to Portfolio Advisory Group and Process (Emma Rose)</w:t>
            </w:r>
            <w:r w:rsidRPr="00AA24BA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C6E13" w:rsidRPr="000C6E13" w:rsidRDefault="000C6E13" w:rsidP="00FA03C1">
            <w:pPr>
              <w:rPr>
                <w:rFonts w:cs="Arial"/>
                <w:b/>
                <w:sz w:val="20"/>
                <w:szCs w:val="20"/>
              </w:rPr>
            </w:pPr>
            <w:r w:rsidRPr="000C6E13">
              <w:rPr>
                <w:rFonts w:cs="Arial"/>
                <w:b/>
                <w:sz w:val="20"/>
                <w:szCs w:val="20"/>
              </w:rPr>
              <w:t xml:space="preserve">Reported: </w:t>
            </w:r>
          </w:p>
          <w:p w:rsidR="00E63D3C" w:rsidRDefault="00E63D3C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Changes </w:t>
            </w:r>
            <w:r w:rsidR="000C6E13">
              <w:rPr>
                <w:rFonts w:cs="Arial"/>
                <w:sz w:val="20"/>
                <w:szCs w:val="20"/>
              </w:rPr>
              <w:t xml:space="preserve">to PAG had been </w:t>
            </w:r>
            <w:r>
              <w:rPr>
                <w:rFonts w:cs="Arial"/>
                <w:sz w:val="20"/>
                <w:szCs w:val="20"/>
              </w:rPr>
              <w:t>proposed based on reflection on last year</w:t>
            </w:r>
            <w:r w:rsidR="000C6E13">
              <w:rPr>
                <w:rFonts w:cs="Arial"/>
                <w:sz w:val="20"/>
                <w:szCs w:val="20"/>
              </w:rPr>
              <w:t xml:space="preserve">: </w:t>
            </w:r>
          </w:p>
          <w:p w:rsidR="00E63D3C" w:rsidRPr="000C6E13" w:rsidRDefault="000C6E13" w:rsidP="000C6E13">
            <w:pPr>
              <w:pStyle w:val="ListParagraph"/>
              <w:numPr>
                <w:ilvl w:val="1"/>
                <w:numId w:val="26"/>
              </w:numPr>
              <w:ind w:left="600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to include m</w:t>
            </w:r>
            <w:r w:rsidR="00E63D3C" w:rsidRPr="000C6E13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e positive horizon-scanning; </w:t>
            </w:r>
          </w:p>
          <w:p w:rsidR="000C6E13" w:rsidRDefault="000C6E13" w:rsidP="00E63D3C">
            <w:pPr>
              <w:pStyle w:val="ListParagraph"/>
              <w:numPr>
                <w:ilvl w:val="1"/>
                <w:numId w:val="26"/>
              </w:numPr>
              <w:ind w:left="600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Membership to include r</w:t>
            </w:r>
            <w:r w:rsidR="00E63D3C" w:rsidRPr="000C6E13">
              <w:rPr>
                <w:rFonts w:cs="Arial"/>
                <w:sz w:val="20"/>
                <w:szCs w:val="20"/>
              </w:rPr>
              <w:t>epresentation from each School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</w:p>
          <w:p w:rsidR="000C6E13" w:rsidRDefault="000C6E13" w:rsidP="00E63D3C">
            <w:pPr>
              <w:pStyle w:val="ListParagraph"/>
              <w:numPr>
                <w:ilvl w:val="1"/>
                <w:numId w:val="26"/>
              </w:numPr>
              <w:ind w:left="600" w:hanging="283"/>
              <w:rPr>
                <w:rFonts w:cs="Arial"/>
                <w:sz w:val="20"/>
                <w:szCs w:val="20"/>
              </w:rPr>
            </w:pPr>
            <w:r w:rsidRPr="000C6E13">
              <w:rPr>
                <w:rFonts w:cs="Arial"/>
                <w:sz w:val="20"/>
                <w:szCs w:val="20"/>
              </w:rPr>
              <w:t>Include d</w:t>
            </w:r>
            <w:r w:rsidR="00E63D3C" w:rsidRPr="000C6E13">
              <w:rPr>
                <w:rFonts w:cs="Arial"/>
                <w:sz w:val="20"/>
                <w:szCs w:val="20"/>
              </w:rPr>
              <w:t>irect conversation with the Head of School and Director of T&amp;L to discuss response(s)</w:t>
            </w:r>
            <w:r w:rsidRPr="000C6E13">
              <w:rPr>
                <w:rFonts w:cs="Arial"/>
                <w:sz w:val="20"/>
                <w:szCs w:val="20"/>
              </w:rPr>
              <w:t xml:space="preserve">; </w:t>
            </w:r>
          </w:p>
          <w:p w:rsidR="000C6E13" w:rsidRDefault="00E63D3C" w:rsidP="000C6E13">
            <w:pPr>
              <w:pStyle w:val="ListParagraph"/>
              <w:numPr>
                <w:ilvl w:val="1"/>
                <w:numId w:val="26"/>
              </w:numPr>
              <w:ind w:left="600" w:hanging="283"/>
              <w:rPr>
                <w:rFonts w:cs="Arial"/>
                <w:sz w:val="20"/>
                <w:szCs w:val="20"/>
              </w:rPr>
            </w:pPr>
            <w:r w:rsidRPr="000C6E13">
              <w:rPr>
                <w:rFonts w:cs="Arial"/>
                <w:sz w:val="20"/>
                <w:szCs w:val="20"/>
              </w:rPr>
              <w:t xml:space="preserve">Timing </w:t>
            </w:r>
            <w:r w:rsidR="000C6E13">
              <w:rPr>
                <w:rFonts w:cs="Arial"/>
                <w:sz w:val="20"/>
                <w:szCs w:val="20"/>
              </w:rPr>
              <w:t xml:space="preserve">has </w:t>
            </w:r>
            <w:r w:rsidRPr="000C6E13">
              <w:rPr>
                <w:rFonts w:cs="Arial"/>
                <w:sz w:val="20"/>
                <w:szCs w:val="20"/>
              </w:rPr>
              <w:t>been brought forward to Semester 1, based on initial registration figures</w:t>
            </w:r>
            <w:r w:rsidR="000C6E13">
              <w:rPr>
                <w:rFonts w:cs="Arial"/>
                <w:sz w:val="20"/>
                <w:szCs w:val="20"/>
              </w:rPr>
              <w:t xml:space="preserve">; </w:t>
            </w:r>
          </w:p>
          <w:p w:rsidR="00FD1C5D" w:rsidRPr="00FA03C1" w:rsidRDefault="000C6E13" w:rsidP="000C6E13">
            <w:pPr>
              <w:pStyle w:val="ListParagraph"/>
              <w:numPr>
                <w:ilvl w:val="1"/>
                <w:numId w:val="26"/>
              </w:numPr>
              <w:ind w:left="600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Changes in </w:t>
            </w:r>
            <w:r w:rsidR="00FD1C5D">
              <w:rPr>
                <w:rFonts w:cs="Arial"/>
                <w:sz w:val="20"/>
                <w:szCs w:val="20"/>
              </w:rPr>
              <w:t>how Part-time students</w:t>
            </w:r>
            <w:r>
              <w:rPr>
                <w:rFonts w:cs="Arial"/>
                <w:sz w:val="20"/>
                <w:szCs w:val="20"/>
              </w:rPr>
              <w:t xml:space="preserve"> will be counted</w:t>
            </w:r>
            <w:r w:rsidR="00FD1C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FA03C1" w:rsidRDefault="00362C89" w:rsidP="00FA03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*Faculty of Humanities Overview of PTES Results 2015 </w:t>
            </w:r>
          </w:p>
          <w:p w:rsidR="00362C89" w:rsidRPr="00AA24BA" w:rsidRDefault="00362C89" w:rsidP="00E7316D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  <w:r w:rsidRPr="00AA24BA">
              <w:rPr>
                <w:bCs/>
                <w:sz w:val="20"/>
                <w:szCs w:val="20"/>
              </w:rPr>
              <w:t>[HTLC/1/15/9.b]</w:t>
            </w:r>
          </w:p>
        </w:tc>
        <w:tc>
          <w:tcPr>
            <w:tcW w:w="5386" w:type="dxa"/>
          </w:tcPr>
          <w:p w:rsidR="00362C89" w:rsidRDefault="00A37F2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we need a Faculty project</w:t>
            </w:r>
            <w:r w:rsidR="005F6080">
              <w:rPr>
                <w:rFonts w:cs="Arial"/>
                <w:sz w:val="20"/>
                <w:szCs w:val="20"/>
              </w:rPr>
              <w:t xml:space="preserve"> focusing on improving PTES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  <w:p w:rsidR="00A37F2F" w:rsidRDefault="00A37F2F" w:rsidP="00FA03C1">
            <w:pPr>
              <w:rPr>
                <w:rFonts w:cs="Arial"/>
                <w:sz w:val="20"/>
                <w:szCs w:val="20"/>
              </w:rPr>
            </w:pPr>
          </w:p>
          <w:p w:rsidR="005F6080" w:rsidRDefault="00A37F2F" w:rsidP="00FA03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MBS scored low on Dissertation</w:t>
            </w:r>
            <w:r w:rsidR="005F6080">
              <w:rPr>
                <w:rFonts w:cs="Arial"/>
                <w:sz w:val="20"/>
                <w:szCs w:val="20"/>
              </w:rPr>
              <w:t xml:space="preserve">, which </w:t>
            </w:r>
            <w:r>
              <w:rPr>
                <w:rFonts w:cs="Arial"/>
                <w:sz w:val="20"/>
                <w:szCs w:val="20"/>
              </w:rPr>
              <w:t>seems to be common for subject areas across Faculty</w:t>
            </w:r>
            <w:r w:rsidR="005F6080">
              <w:rPr>
                <w:rFonts w:cs="Arial"/>
                <w:sz w:val="20"/>
                <w:szCs w:val="20"/>
              </w:rPr>
              <w:t>.</w:t>
            </w:r>
          </w:p>
          <w:p w:rsidR="005F6080" w:rsidRDefault="005F6080" w:rsidP="00FA03C1">
            <w:pPr>
              <w:rPr>
                <w:rFonts w:cs="Arial"/>
                <w:sz w:val="20"/>
                <w:szCs w:val="20"/>
              </w:rPr>
            </w:pPr>
          </w:p>
          <w:p w:rsidR="005F6080" w:rsidRDefault="005F6080" w:rsidP="00FA03C1">
            <w:pPr>
              <w:rPr>
                <w:rFonts w:cs="Arial"/>
                <w:sz w:val="20"/>
                <w:szCs w:val="20"/>
              </w:rPr>
            </w:pPr>
            <w:r w:rsidRPr="005F6080">
              <w:rPr>
                <w:rFonts w:cs="Arial"/>
                <w:b/>
                <w:sz w:val="20"/>
                <w:szCs w:val="20"/>
              </w:rPr>
              <w:t xml:space="preserve">Discussed: </w:t>
            </w:r>
            <w:r w:rsidR="00A37F2F">
              <w:rPr>
                <w:rFonts w:cs="Arial"/>
                <w:sz w:val="20"/>
                <w:szCs w:val="20"/>
              </w:rPr>
              <w:t>perhaps</w:t>
            </w:r>
            <w:r>
              <w:rPr>
                <w:rFonts w:cs="Arial"/>
                <w:sz w:val="20"/>
                <w:szCs w:val="20"/>
              </w:rPr>
              <w:t xml:space="preserve"> this was</w:t>
            </w:r>
            <w:r w:rsidR="00A37F2F">
              <w:rPr>
                <w:rFonts w:cs="Arial"/>
                <w:sz w:val="20"/>
                <w:szCs w:val="20"/>
              </w:rPr>
              <w:t xml:space="preserve"> because the deadline </w:t>
            </w:r>
            <w:r>
              <w:rPr>
                <w:rFonts w:cs="Arial"/>
                <w:sz w:val="20"/>
                <w:szCs w:val="20"/>
              </w:rPr>
              <w:t xml:space="preserve">for PTES responses </w:t>
            </w:r>
            <w:r w:rsidR="00A37F2F">
              <w:rPr>
                <w:rFonts w:cs="Arial"/>
                <w:sz w:val="20"/>
                <w:szCs w:val="20"/>
              </w:rPr>
              <w:t>was April this year rather than June last year)</w:t>
            </w:r>
            <w:r>
              <w:rPr>
                <w:rFonts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cs="Arial"/>
                <w:sz w:val="20"/>
                <w:szCs w:val="20"/>
              </w:rPr>
              <w:t>UoM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decides when we set PTES, so TLSO are looking at whether our timing has had an adverse effect on our results </w:t>
            </w:r>
            <w:proofErr w:type="spellStart"/>
            <w:r>
              <w:rPr>
                <w:rFonts w:cs="Arial"/>
                <w:sz w:val="20"/>
                <w:szCs w:val="20"/>
              </w:rPr>
              <w:t>cf</w:t>
            </w:r>
            <w:proofErr w:type="spellEnd"/>
            <w:r>
              <w:rPr>
                <w:rFonts w:cs="Arial"/>
                <w:sz w:val="20"/>
                <w:szCs w:val="20"/>
              </w:rPr>
              <w:t>: Russell Group.</w:t>
            </w:r>
          </w:p>
          <w:p w:rsidR="005F6080" w:rsidRDefault="005F6080" w:rsidP="00FA03C1">
            <w:pPr>
              <w:rPr>
                <w:rFonts w:cs="Arial"/>
                <w:sz w:val="20"/>
                <w:szCs w:val="20"/>
              </w:rPr>
            </w:pPr>
          </w:p>
          <w:p w:rsidR="00A37F2F" w:rsidRPr="00FA03C1" w:rsidRDefault="005F6080" w:rsidP="005F6080">
            <w:pPr>
              <w:rPr>
                <w:rFonts w:cs="Arial"/>
                <w:sz w:val="20"/>
                <w:szCs w:val="20"/>
              </w:rPr>
            </w:pPr>
            <w:r w:rsidRPr="005F6080">
              <w:rPr>
                <w:rFonts w:cs="Arial"/>
                <w:b/>
                <w:sz w:val="20"/>
                <w:szCs w:val="20"/>
              </w:rPr>
              <w:t xml:space="preserve">Proposed: </w:t>
            </w:r>
            <w:r w:rsidR="00513D28">
              <w:rPr>
                <w:rFonts w:cs="Arial"/>
                <w:sz w:val="20"/>
                <w:szCs w:val="20"/>
              </w:rPr>
              <w:t xml:space="preserve">Bring back </w:t>
            </w:r>
            <w:r>
              <w:rPr>
                <w:rFonts w:cs="Arial"/>
                <w:sz w:val="20"/>
                <w:szCs w:val="20"/>
              </w:rPr>
              <w:t xml:space="preserve">PTES findings on the Dissertation to HTLC </w:t>
            </w:r>
            <w:r w:rsidR="00513D28">
              <w:rPr>
                <w:rFonts w:cs="Arial"/>
                <w:sz w:val="20"/>
                <w:szCs w:val="20"/>
              </w:rPr>
              <w:t>for discussion (as opposed to setting up a separate group)</w:t>
            </w:r>
            <w:r>
              <w:rPr>
                <w:rFonts w:cs="Arial"/>
                <w:sz w:val="20"/>
                <w:szCs w:val="20"/>
              </w:rPr>
              <w:t>.</w:t>
            </w:r>
            <w:r w:rsidR="0021343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62C89" w:rsidRDefault="00362C89" w:rsidP="00555A60">
            <w:pPr>
              <w:rPr>
                <w:rFonts w:cs="Arial"/>
                <w:b/>
                <w:sz w:val="20"/>
                <w:szCs w:val="20"/>
              </w:rPr>
            </w:pPr>
          </w:p>
          <w:p w:rsidR="00555A60" w:rsidRPr="00AA24BA" w:rsidRDefault="00555A60" w:rsidP="00555A6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Action: FS and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LMcA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to discuss how to take forward.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NSS 2015</w:t>
            </w: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555A60" w:rsidRDefault="00362C89" w:rsidP="000B37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91111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10.1 *NSS Results 2015: Faculty Overview </w:t>
            </w:r>
          </w:p>
          <w:p w:rsidR="00362C89" w:rsidRPr="00AA24BA" w:rsidRDefault="00362C89" w:rsidP="00B958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A24BA">
              <w:rPr>
                <w:bCs/>
                <w:sz w:val="20"/>
                <w:szCs w:val="20"/>
              </w:rPr>
              <w:t>[HTLC/1/15/10.b]</w:t>
            </w:r>
          </w:p>
        </w:tc>
        <w:tc>
          <w:tcPr>
            <w:tcW w:w="5386" w:type="dxa"/>
          </w:tcPr>
          <w:p w:rsidR="00362C89" w:rsidRPr="00AA24BA" w:rsidRDefault="0091111E" w:rsidP="003333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we need a Faculty project?  </w:t>
            </w:r>
            <w:r w:rsidR="00366655">
              <w:rPr>
                <w:rFonts w:cs="Arial"/>
                <w:sz w:val="20"/>
                <w:szCs w:val="20"/>
              </w:rPr>
              <w:t xml:space="preserve">The obvious topic would be </w:t>
            </w:r>
            <w:r>
              <w:rPr>
                <w:rFonts w:cs="Arial"/>
                <w:sz w:val="20"/>
                <w:szCs w:val="20"/>
              </w:rPr>
              <w:t>Feedback</w:t>
            </w:r>
            <w:r w:rsidR="00366655">
              <w:rPr>
                <w:rFonts w:cs="Arial"/>
                <w:sz w:val="20"/>
                <w:szCs w:val="20"/>
              </w:rPr>
              <w:t xml:space="preserve">, but </w:t>
            </w:r>
            <w:r>
              <w:rPr>
                <w:rFonts w:cs="Arial"/>
                <w:sz w:val="20"/>
                <w:szCs w:val="20"/>
              </w:rPr>
              <w:t>we</w:t>
            </w:r>
            <w:r w:rsidR="00366655">
              <w:rPr>
                <w:rFonts w:cs="Arial"/>
                <w:sz w:val="20"/>
                <w:szCs w:val="20"/>
              </w:rPr>
              <w:t xml:space="preserve"> have</w:t>
            </w:r>
            <w:r>
              <w:rPr>
                <w:rFonts w:cs="Arial"/>
                <w:sz w:val="20"/>
                <w:szCs w:val="20"/>
              </w:rPr>
              <w:t xml:space="preserve"> already done wo</w:t>
            </w:r>
            <w:r w:rsidR="00366655">
              <w:rPr>
                <w:rFonts w:cs="Arial"/>
                <w:sz w:val="20"/>
                <w:szCs w:val="20"/>
              </w:rPr>
              <w:t xml:space="preserve">rk on this (including at Faculty T&amp;L Away Day, above). 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ED177D" w:rsidRDefault="00362C89" w:rsidP="004F7A86">
            <w:pPr>
              <w:rPr>
                <w:b/>
                <w:sz w:val="20"/>
                <w:szCs w:val="20"/>
              </w:rPr>
            </w:pPr>
            <w:r w:rsidRPr="00ED177D">
              <w:rPr>
                <w:b/>
                <w:bCs/>
                <w:sz w:val="20"/>
                <w:szCs w:val="20"/>
              </w:rPr>
              <w:t xml:space="preserve">10.2  Academic Advising and Student Satisfaction </w:t>
            </w:r>
          </w:p>
        </w:tc>
        <w:tc>
          <w:tcPr>
            <w:tcW w:w="5386" w:type="dxa"/>
          </w:tcPr>
          <w:p w:rsidR="004F7A86" w:rsidRPr="004F7A86" w:rsidRDefault="004F7A86" w:rsidP="00ED177D">
            <w:pPr>
              <w:rPr>
                <w:rFonts w:cs="Arial"/>
                <w:b/>
                <w:sz w:val="20"/>
                <w:szCs w:val="20"/>
              </w:rPr>
            </w:pPr>
            <w:r w:rsidRPr="004F7A86">
              <w:rPr>
                <w:rFonts w:cs="Arial"/>
                <w:b/>
                <w:sz w:val="20"/>
                <w:szCs w:val="20"/>
              </w:rPr>
              <w:t xml:space="preserve">Discussed: </w:t>
            </w:r>
          </w:p>
          <w:p w:rsidR="004F7A86" w:rsidRDefault="00ED177D" w:rsidP="00ED177D">
            <w:pPr>
              <w:rPr>
                <w:rFonts w:cs="Arial"/>
                <w:sz w:val="20"/>
                <w:szCs w:val="20"/>
              </w:rPr>
            </w:pPr>
            <w:r w:rsidRPr="00ED177D">
              <w:rPr>
                <w:rFonts w:cs="Arial"/>
                <w:sz w:val="20"/>
                <w:szCs w:val="20"/>
              </w:rPr>
              <w:t xml:space="preserve">Revised </w:t>
            </w:r>
            <w:r w:rsidR="004F7A86">
              <w:rPr>
                <w:rFonts w:cs="Arial"/>
                <w:sz w:val="20"/>
                <w:szCs w:val="20"/>
              </w:rPr>
              <w:t>University P</w:t>
            </w:r>
            <w:r w:rsidRPr="00ED177D">
              <w:rPr>
                <w:rFonts w:cs="Arial"/>
                <w:sz w:val="20"/>
                <w:szCs w:val="20"/>
              </w:rPr>
              <w:t xml:space="preserve">olicy </w:t>
            </w:r>
            <w:r w:rsidR="004F7A86">
              <w:rPr>
                <w:rFonts w:cs="Arial"/>
                <w:sz w:val="20"/>
                <w:szCs w:val="20"/>
              </w:rPr>
              <w:t xml:space="preserve">on Academic Advising (AA) </w:t>
            </w:r>
            <w:r w:rsidRPr="00ED177D">
              <w:rPr>
                <w:rFonts w:cs="Arial"/>
                <w:sz w:val="20"/>
                <w:szCs w:val="20"/>
              </w:rPr>
              <w:t xml:space="preserve">introduced this year: </w:t>
            </w:r>
            <w:r w:rsidR="00A14768">
              <w:rPr>
                <w:rFonts w:cs="Arial"/>
                <w:sz w:val="20"/>
                <w:szCs w:val="20"/>
              </w:rPr>
              <w:t>there were n</w:t>
            </w:r>
            <w:r w:rsidRPr="00ED177D">
              <w:rPr>
                <w:rFonts w:cs="Arial"/>
                <w:sz w:val="20"/>
                <w:szCs w:val="20"/>
              </w:rPr>
              <w:t>o major change</w:t>
            </w:r>
            <w:r w:rsidR="004F7A86">
              <w:rPr>
                <w:rFonts w:cs="Arial"/>
                <w:sz w:val="20"/>
                <w:szCs w:val="20"/>
              </w:rPr>
              <w:t>s</w:t>
            </w:r>
            <w:r w:rsidR="00A14768">
              <w:rPr>
                <w:rFonts w:cs="Arial"/>
                <w:sz w:val="20"/>
                <w:szCs w:val="20"/>
              </w:rPr>
              <w:t>,</w:t>
            </w:r>
            <w:r w:rsidRPr="00ED177D">
              <w:rPr>
                <w:rFonts w:cs="Arial"/>
                <w:sz w:val="20"/>
                <w:szCs w:val="20"/>
              </w:rPr>
              <w:t xml:space="preserve"> but </w:t>
            </w:r>
            <w:r w:rsidR="00A14768">
              <w:rPr>
                <w:rFonts w:cs="Arial"/>
                <w:sz w:val="20"/>
                <w:szCs w:val="20"/>
              </w:rPr>
              <w:t xml:space="preserve">it </w:t>
            </w:r>
            <w:r w:rsidRPr="00ED177D">
              <w:rPr>
                <w:rFonts w:cs="Arial"/>
                <w:sz w:val="20"/>
                <w:szCs w:val="20"/>
              </w:rPr>
              <w:t xml:space="preserve">has focussed attention on what we do with AA in some areas.  </w:t>
            </w:r>
            <w:r w:rsidR="00A14768">
              <w:rPr>
                <w:rFonts w:cs="Arial"/>
                <w:sz w:val="20"/>
                <w:szCs w:val="20"/>
              </w:rPr>
              <w:t xml:space="preserve"> </w:t>
            </w:r>
          </w:p>
          <w:p w:rsidR="00A14768" w:rsidRDefault="00A14768" w:rsidP="00ED177D">
            <w:pPr>
              <w:rPr>
                <w:rFonts w:cs="Arial"/>
                <w:sz w:val="20"/>
                <w:szCs w:val="20"/>
              </w:rPr>
            </w:pPr>
          </w:p>
          <w:p w:rsidR="00A14768" w:rsidRDefault="00A14768" w:rsidP="00A1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Furthermore there were some significant changes in terms of the CONTENT of Academic Advising which need to be implemented: Faculty could play a role in promoting and communicating this to ensure it filters down and affects academic practice on the ground.</w:t>
            </w:r>
          </w:p>
          <w:p w:rsidR="00A14768" w:rsidRDefault="00A14768" w:rsidP="00ED177D">
            <w:pPr>
              <w:rPr>
                <w:rFonts w:cs="Arial"/>
                <w:sz w:val="20"/>
                <w:szCs w:val="20"/>
              </w:rPr>
            </w:pPr>
          </w:p>
          <w:p w:rsidR="00FA1148" w:rsidRPr="00ED177D" w:rsidRDefault="004F7A86" w:rsidP="00A1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Research done by the VP (TL&amp;S) </w:t>
            </w:r>
            <w:r w:rsidR="00ED177D" w:rsidRPr="00ED177D">
              <w:rPr>
                <w:rFonts w:cs="Arial"/>
                <w:sz w:val="20"/>
                <w:szCs w:val="20"/>
              </w:rPr>
              <w:t xml:space="preserve">showed </w:t>
            </w:r>
            <w:r>
              <w:rPr>
                <w:rFonts w:cs="Arial"/>
                <w:sz w:val="20"/>
                <w:szCs w:val="20"/>
              </w:rPr>
              <w:t xml:space="preserve">that </w:t>
            </w:r>
            <w:r w:rsidR="00ED177D" w:rsidRPr="00ED177D">
              <w:rPr>
                <w:rFonts w:cs="Arial"/>
                <w:sz w:val="20"/>
                <w:szCs w:val="20"/>
              </w:rPr>
              <w:t xml:space="preserve">AA is the area that has most impact on NSS results.  </w:t>
            </w:r>
            <w:r w:rsidR="00A14768">
              <w:rPr>
                <w:rFonts w:cs="Arial"/>
                <w:sz w:val="20"/>
                <w:szCs w:val="20"/>
              </w:rPr>
              <w:t xml:space="preserve">TLAN </w:t>
            </w:r>
            <w:r w:rsidR="00ED177D" w:rsidRPr="00ED177D">
              <w:rPr>
                <w:rFonts w:cs="Arial"/>
                <w:sz w:val="20"/>
                <w:szCs w:val="20"/>
              </w:rPr>
              <w:t xml:space="preserve">will be looking at implementation </w:t>
            </w:r>
            <w:r w:rsidR="00A14768">
              <w:rPr>
                <w:rFonts w:cs="Arial"/>
                <w:sz w:val="20"/>
                <w:szCs w:val="20"/>
              </w:rPr>
              <w:t xml:space="preserve">of the policy through the coming academic </w:t>
            </w:r>
            <w:r w:rsidR="00A14768">
              <w:rPr>
                <w:rFonts w:cs="Arial"/>
                <w:sz w:val="20"/>
                <w:szCs w:val="20"/>
              </w:rPr>
              <w:lastRenderedPageBreak/>
              <w:t>year</w:t>
            </w:r>
            <w:r w:rsidR="00ED177D" w:rsidRPr="00ED17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62C89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Default="004F7A8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Default="004F7A8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Default="004F7A8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Default="004F7A8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Default="004F7A8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7A86" w:rsidRPr="00ED177D" w:rsidRDefault="004F7A86" w:rsidP="004F7A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LMcA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to discuss ways of promoting changes in AA content through TLAN, with reference to revised University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PoIicy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on Academic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Advising.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To discuss a paper on Recording and Monitoring Student Attendance (Lisa McAleese)</w:t>
            </w:r>
            <w:r w:rsidRPr="00AA24BA">
              <w:rPr>
                <w:bCs/>
                <w:sz w:val="20"/>
                <w:szCs w:val="20"/>
              </w:rPr>
              <w:t xml:space="preserve"> [HTLC/1/15/11]</w:t>
            </w:r>
          </w:p>
        </w:tc>
        <w:tc>
          <w:tcPr>
            <w:tcW w:w="5386" w:type="dxa"/>
          </w:tcPr>
          <w:p w:rsidR="00362C89" w:rsidRPr="00BF7B3A" w:rsidRDefault="00BF7B3A" w:rsidP="00FA1148">
            <w:pPr>
              <w:rPr>
                <w:rFonts w:cs="Arial"/>
                <w:sz w:val="20"/>
                <w:szCs w:val="20"/>
              </w:rPr>
            </w:pPr>
            <w:r w:rsidRPr="00BF7B3A">
              <w:rPr>
                <w:rFonts w:cs="Arial"/>
                <w:sz w:val="20"/>
                <w:szCs w:val="20"/>
              </w:rPr>
              <w:t xml:space="preserve">Lisa has been working with PSS to improve </w:t>
            </w:r>
            <w:r w:rsidR="00A14768">
              <w:rPr>
                <w:rFonts w:cs="Arial"/>
                <w:sz w:val="20"/>
                <w:szCs w:val="20"/>
              </w:rPr>
              <w:t xml:space="preserve">systems for </w:t>
            </w:r>
            <w:r w:rsidRPr="00BF7B3A">
              <w:rPr>
                <w:rFonts w:cs="Arial"/>
                <w:sz w:val="20"/>
                <w:szCs w:val="20"/>
              </w:rPr>
              <w:t xml:space="preserve">monitoring and attendance.  Section 3 describes the </w:t>
            </w:r>
            <w:r w:rsidR="00A14768">
              <w:rPr>
                <w:rFonts w:cs="Arial"/>
                <w:sz w:val="20"/>
                <w:szCs w:val="20"/>
              </w:rPr>
              <w:t>“</w:t>
            </w:r>
            <w:r w:rsidRPr="00BF7B3A">
              <w:rPr>
                <w:rFonts w:cs="Arial"/>
                <w:sz w:val="20"/>
                <w:szCs w:val="20"/>
              </w:rPr>
              <w:t>idea</w:t>
            </w:r>
            <w:r w:rsidR="00A14768">
              <w:rPr>
                <w:rFonts w:cs="Arial"/>
                <w:sz w:val="20"/>
                <w:szCs w:val="20"/>
              </w:rPr>
              <w:t>l”</w:t>
            </w:r>
            <w:r w:rsidRPr="00BF7B3A">
              <w:rPr>
                <w:rFonts w:cs="Arial"/>
                <w:sz w:val="20"/>
                <w:szCs w:val="20"/>
              </w:rPr>
              <w:t xml:space="preserve"> process and Appendix </w:t>
            </w:r>
            <w:proofErr w:type="gramStart"/>
            <w:r w:rsidRPr="00BF7B3A">
              <w:rPr>
                <w:rFonts w:cs="Arial"/>
                <w:sz w:val="20"/>
                <w:szCs w:val="20"/>
              </w:rPr>
              <w:t>A gives</w:t>
            </w:r>
            <w:proofErr w:type="gramEnd"/>
            <w:r w:rsidRPr="00BF7B3A">
              <w:rPr>
                <w:rFonts w:cs="Arial"/>
                <w:sz w:val="20"/>
                <w:szCs w:val="20"/>
              </w:rPr>
              <w:t xml:space="preserve"> information on why we </w:t>
            </w:r>
            <w:r w:rsidR="00A14768">
              <w:rPr>
                <w:rFonts w:cs="Arial"/>
                <w:sz w:val="20"/>
                <w:szCs w:val="20"/>
              </w:rPr>
              <w:t xml:space="preserve">monitor attendance </w:t>
            </w:r>
            <w:r w:rsidRPr="00BF7B3A">
              <w:rPr>
                <w:rFonts w:cs="Arial"/>
                <w:sz w:val="20"/>
                <w:szCs w:val="20"/>
              </w:rPr>
              <w:t>and the benefits of</w:t>
            </w:r>
            <w:r w:rsidR="00A14768">
              <w:rPr>
                <w:rFonts w:cs="Arial"/>
                <w:sz w:val="20"/>
                <w:szCs w:val="20"/>
              </w:rPr>
              <w:t xml:space="preserve"> doing so</w:t>
            </w:r>
            <w:r w:rsidRPr="00BF7B3A">
              <w:rPr>
                <w:rFonts w:cs="Arial"/>
                <w:sz w:val="20"/>
                <w:szCs w:val="20"/>
              </w:rPr>
              <w:t xml:space="preserve">. </w:t>
            </w:r>
          </w:p>
          <w:p w:rsidR="00BF7B3A" w:rsidRPr="00BF7B3A" w:rsidRDefault="00BF7B3A" w:rsidP="00FA1148">
            <w:pPr>
              <w:rPr>
                <w:rFonts w:cs="Arial"/>
                <w:sz w:val="20"/>
                <w:szCs w:val="20"/>
              </w:rPr>
            </w:pPr>
          </w:p>
          <w:p w:rsidR="00A14768" w:rsidRDefault="00BF7B3A" w:rsidP="00FA1148">
            <w:pPr>
              <w:rPr>
                <w:rFonts w:cs="Arial"/>
                <w:sz w:val="20"/>
                <w:szCs w:val="20"/>
              </w:rPr>
            </w:pPr>
            <w:r w:rsidRPr="00BF7B3A">
              <w:rPr>
                <w:rFonts w:cs="Arial"/>
                <w:sz w:val="20"/>
                <w:szCs w:val="20"/>
              </w:rPr>
              <w:t xml:space="preserve">A key obstacle to </w:t>
            </w:r>
            <w:r w:rsidR="00A14768">
              <w:rPr>
                <w:rFonts w:cs="Arial"/>
                <w:sz w:val="20"/>
                <w:szCs w:val="20"/>
              </w:rPr>
              <w:t xml:space="preserve">maintaining accurate </w:t>
            </w:r>
            <w:r w:rsidRPr="00BF7B3A">
              <w:rPr>
                <w:rFonts w:cs="Arial"/>
                <w:sz w:val="20"/>
                <w:szCs w:val="20"/>
              </w:rPr>
              <w:t xml:space="preserve">data and </w:t>
            </w:r>
            <w:r w:rsidR="00A14768">
              <w:rPr>
                <w:rFonts w:cs="Arial"/>
                <w:sz w:val="20"/>
                <w:szCs w:val="20"/>
              </w:rPr>
              <w:t xml:space="preserve">so </w:t>
            </w:r>
            <w:r w:rsidRPr="00BF7B3A">
              <w:rPr>
                <w:rFonts w:cs="Arial"/>
                <w:sz w:val="20"/>
                <w:szCs w:val="20"/>
              </w:rPr>
              <w:t xml:space="preserve">identifying students who are struggling is late return of rosters by academics: </w:t>
            </w:r>
            <w:r w:rsidR="00A14768">
              <w:rPr>
                <w:rFonts w:cs="Arial"/>
                <w:sz w:val="20"/>
                <w:szCs w:val="20"/>
              </w:rPr>
              <w:t xml:space="preserve">therefore the paper </w:t>
            </w:r>
            <w:r w:rsidRPr="00BF7B3A">
              <w:rPr>
                <w:rFonts w:cs="Arial"/>
                <w:sz w:val="20"/>
                <w:szCs w:val="20"/>
              </w:rPr>
              <w:t xml:space="preserve">proposed </w:t>
            </w:r>
            <w:r w:rsidR="00A14768">
              <w:rPr>
                <w:rFonts w:cs="Arial"/>
                <w:sz w:val="20"/>
                <w:szCs w:val="20"/>
              </w:rPr>
              <w:t xml:space="preserve">a </w:t>
            </w:r>
            <w:r w:rsidRPr="00BF7B3A">
              <w:rPr>
                <w:rFonts w:cs="Arial"/>
                <w:sz w:val="20"/>
                <w:szCs w:val="20"/>
              </w:rPr>
              <w:t>72</w:t>
            </w:r>
            <w:r w:rsidR="00A14768">
              <w:rPr>
                <w:rFonts w:cs="Arial"/>
                <w:sz w:val="20"/>
                <w:szCs w:val="20"/>
              </w:rPr>
              <w:t xml:space="preserve"> </w:t>
            </w:r>
            <w:r w:rsidRPr="00BF7B3A">
              <w:rPr>
                <w:rFonts w:cs="Arial"/>
                <w:sz w:val="20"/>
                <w:szCs w:val="20"/>
              </w:rPr>
              <w:t xml:space="preserve">hour deadline for </w:t>
            </w:r>
            <w:r w:rsidR="00A14768">
              <w:rPr>
                <w:rFonts w:cs="Arial"/>
                <w:sz w:val="20"/>
                <w:szCs w:val="20"/>
              </w:rPr>
              <w:t xml:space="preserve">return of attendance monitoring data </w:t>
            </w:r>
            <w:r w:rsidRPr="00BF7B3A">
              <w:rPr>
                <w:rFonts w:cs="Arial"/>
                <w:sz w:val="20"/>
                <w:szCs w:val="20"/>
              </w:rPr>
              <w:t>by academics</w:t>
            </w:r>
            <w:r w:rsidRPr="00D51F55">
              <w:rPr>
                <w:rFonts w:cs="Arial"/>
                <w:sz w:val="20"/>
                <w:szCs w:val="20"/>
              </w:rPr>
              <w:t xml:space="preserve">. </w:t>
            </w:r>
            <w:r w:rsidR="00D51F55" w:rsidRPr="00D51F55">
              <w:rPr>
                <w:rFonts w:cs="Arial"/>
                <w:sz w:val="20"/>
                <w:szCs w:val="20"/>
              </w:rPr>
              <w:t xml:space="preserve">  </w:t>
            </w:r>
          </w:p>
          <w:p w:rsidR="00A14768" w:rsidRDefault="00A14768" w:rsidP="00FA1148">
            <w:pPr>
              <w:rPr>
                <w:rFonts w:cs="Arial"/>
                <w:sz w:val="20"/>
                <w:szCs w:val="20"/>
              </w:rPr>
            </w:pPr>
          </w:p>
          <w:p w:rsidR="00A14768" w:rsidRPr="00A14768" w:rsidRDefault="00A14768" w:rsidP="00FA1148">
            <w:pPr>
              <w:rPr>
                <w:rFonts w:cs="Arial"/>
                <w:b/>
                <w:sz w:val="20"/>
                <w:szCs w:val="20"/>
              </w:rPr>
            </w:pPr>
            <w:r w:rsidRPr="00A14768">
              <w:rPr>
                <w:rFonts w:cs="Arial"/>
                <w:b/>
                <w:sz w:val="20"/>
                <w:szCs w:val="20"/>
              </w:rPr>
              <w:t xml:space="preserve">Discussed: </w:t>
            </w:r>
          </w:p>
          <w:p w:rsidR="00A14768" w:rsidRDefault="00D51F55" w:rsidP="00FA1148">
            <w:pPr>
              <w:rPr>
                <w:rFonts w:cs="Arial"/>
                <w:sz w:val="20"/>
                <w:szCs w:val="20"/>
              </w:rPr>
            </w:pPr>
            <w:r w:rsidRPr="00D51F55">
              <w:rPr>
                <w:rFonts w:cs="Arial"/>
                <w:sz w:val="20"/>
                <w:szCs w:val="20"/>
              </w:rPr>
              <w:t>Students email in excuses a week later</w:t>
            </w:r>
            <w:r w:rsidR="00A14768">
              <w:rPr>
                <w:rFonts w:cs="Arial"/>
                <w:sz w:val="20"/>
                <w:szCs w:val="20"/>
              </w:rPr>
              <w:t>, which would mean the academic then has to go back and edit the original data</w:t>
            </w:r>
            <w:r w:rsidRPr="00D51F55">
              <w:rPr>
                <w:rFonts w:cs="Arial"/>
                <w:sz w:val="20"/>
                <w:szCs w:val="20"/>
              </w:rPr>
              <w:t xml:space="preserve">.  </w:t>
            </w:r>
          </w:p>
          <w:p w:rsidR="00A14768" w:rsidRDefault="00A14768" w:rsidP="00FA1148">
            <w:pPr>
              <w:rPr>
                <w:rFonts w:cs="Arial"/>
                <w:sz w:val="20"/>
                <w:szCs w:val="20"/>
              </w:rPr>
            </w:pPr>
          </w:p>
          <w:p w:rsidR="00BF7B3A" w:rsidRDefault="00D51F55" w:rsidP="00FA1148">
            <w:pPr>
              <w:rPr>
                <w:rFonts w:cs="Arial"/>
                <w:sz w:val="20"/>
                <w:szCs w:val="20"/>
              </w:rPr>
            </w:pPr>
            <w:r w:rsidRPr="00D51F55">
              <w:rPr>
                <w:rFonts w:cs="Arial"/>
                <w:sz w:val="20"/>
                <w:szCs w:val="20"/>
              </w:rPr>
              <w:t>Why not focus on key weeks</w:t>
            </w:r>
            <w:r w:rsidR="00A14768">
              <w:rPr>
                <w:rFonts w:cs="Arial"/>
                <w:sz w:val="20"/>
                <w:szCs w:val="20"/>
              </w:rPr>
              <w:t>,</w:t>
            </w:r>
            <w:r w:rsidRPr="00D51F55">
              <w:rPr>
                <w:rFonts w:cs="Arial"/>
                <w:sz w:val="20"/>
                <w:szCs w:val="20"/>
              </w:rPr>
              <w:t xml:space="preserve"> and ensure staff input by that date, e.g.  </w:t>
            </w:r>
            <w:r w:rsidR="00A14768">
              <w:rPr>
                <w:rFonts w:cs="Arial"/>
                <w:sz w:val="20"/>
                <w:szCs w:val="20"/>
              </w:rPr>
              <w:t>“</w:t>
            </w:r>
            <w:r w:rsidRPr="00D51F55">
              <w:rPr>
                <w:rFonts w:cs="Arial"/>
                <w:sz w:val="20"/>
                <w:szCs w:val="20"/>
              </w:rPr>
              <w:t>Week 3 is crucial – please complete your returns</w:t>
            </w:r>
            <w:r w:rsidR="00A14768">
              <w:rPr>
                <w:rFonts w:cs="Arial"/>
                <w:sz w:val="20"/>
                <w:szCs w:val="20"/>
              </w:rPr>
              <w:t xml:space="preserve"> by then”?</w:t>
            </w:r>
            <w:r w:rsidRPr="00D51F55">
              <w:rPr>
                <w:rFonts w:cs="Arial"/>
                <w:sz w:val="20"/>
                <w:szCs w:val="20"/>
              </w:rPr>
              <w:t xml:space="preserve">   </w:t>
            </w:r>
            <w:proofErr w:type="gramStart"/>
            <w:r w:rsidR="00A14768">
              <w:rPr>
                <w:rFonts w:cs="Arial"/>
                <w:sz w:val="20"/>
                <w:szCs w:val="20"/>
              </w:rPr>
              <w:t>e.g</w:t>
            </w:r>
            <w:proofErr w:type="gramEnd"/>
            <w:r w:rsidR="00A14768">
              <w:rPr>
                <w:rFonts w:cs="Arial"/>
                <w:sz w:val="20"/>
                <w:szCs w:val="20"/>
              </w:rPr>
              <w:t xml:space="preserve">. the Law UG Director </w:t>
            </w:r>
            <w:r w:rsidR="002C34F8">
              <w:rPr>
                <w:rFonts w:cs="Arial"/>
                <w:sz w:val="20"/>
                <w:szCs w:val="20"/>
              </w:rPr>
              <w:t xml:space="preserve">completes </w:t>
            </w:r>
            <w:r w:rsidR="00A14768">
              <w:rPr>
                <w:rFonts w:cs="Arial"/>
                <w:sz w:val="20"/>
                <w:szCs w:val="20"/>
              </w:rPr>
              <w:t xml:space="preserve">attendance </w:t>
            </w:r>
            <w:r w:rsidR="002C34F8">
              <w:rPr>
                <w:rFonts w:cs="Arial"/>
                <w:sz w:val="20"/>
                <w:szCs w:val="20"/>
              </w:rPr>
              <w:t xml:space="preserve">returns on a 2-weekly cycle, </w:t>
            </w:r>
            <w:r w:rsidR="00A14768">
              <w:rPr>
                <w:rFonts w:cs="Arial"/>
                <w:sz w:val="20"/>
                <w:szCs w:val="20"/>
              </w:rPr>
              <w:t xml:space="preserve">once </w:t>
            </w:r>
            <w:r w:rsidR="002C34F8">
              <w:rPr>
                <w:rFonts w:cs="Arial"/>
                <w:sz w:val="20"/>
                <w:szCs w:val="20"/>
              </w:rPr>
              <w:t>she knows that they are accurate</w:t>
            </w:r>
            <w:r w:rsidR="00A14768">
              <w:rPr>
                <w:rFonts w:cs="Arial"/>
                <w:sz w:val="20"/>
                <w:szCs w:val="20"/>
              </w:rPr>
              <w:t>,</w:t>
            </w:r>
            <w:r w:rsidR="002C34F8">
              <w:rPr>
                <w:rFonts w:cs="Arial"/>
                <w:sz w:val="20"/>
                <w:szCs w:val="20"/>
              </w:rPr>
              <w:t xml:space="preserve"> as </w:t>
            </w:r>
            <w:r w:rsidR="00A14768">
              <w:rPr>
                <w:rFonts w:cs="Arial"/>
                <w:sz w:val="20"/>
                <w:szCs w:val="20"/>
              </w:rPr>
              <w:t xml:space="preserve">by then </w:t>
            </w:r>
            <w:r w:rsidR="002C34F8">
              <w:rPr>
                <w:rFonts w:cs="Arial"/>
                <w:sz w:val="20"/>
                <w:szCs w:val="20"/>
              </w:rPr>
              <w:t>students will have forwarded any mit</w:t>
            </w:r>
            <w:r w:rsidR="00A14768">
              <w:rPr>
                <w:rFonts w:cs="Arial"/>
                <w:sz w:val="20"/>
                <w:szCs w:val="20"/>
              </w:rPr>
              <w:t>igating</w:t>
            </w:r>
            <w:r w:rsidR="002C34F8">
              <w:rPr>
                <w:rFonts w:cs="Arial"/>
                <w:sz w:val="20"/>
                <w:szCs w:val="20"/>
              </w:rPr>
              <w:t xml:space="preserve"> circ</w:t>
            </w:r>
            <w:r w:rsidR="00A14768">
              <w:rPr>
                <w:rFonts w:cs="Arial"/>
                <w:sz w:val="20"/>
                <w:szCs w:val="20"/>
              </w:rPr>
              <w:t>umstances or apologies</w:t>
            </w:r>
            <w:r w:rsidR="002C34F8">
              <w:rPr>
                <w:rFonts w:cs="Arial"/>
                <w:sz w:val="20"/>
                <w:szCs w:val="20"/>
              </w:rPr>
              <w:t>.</w:t>
            </w:r>
          </w:p>
          <w:p w:rsidR="0024606A" w:rsidRDefault="0024606A" w:rsidP="00FA1148">
            <w:pPr>
              <w:rPr>
                <w:rFonts w:cs="Arial"/>
                <w:sz w:val="20"/>
                <w:szCs w:val="20"/>
              </w:rPr>
            </w:pPr>
          </w:p>
          <w:p w:rsidR="0024606A" w:rsidRPr="00D51F55" w:rsidRDefault="0024606A" w:rsidP="00A14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default roster SHOULD be that all students are assumed to be present and you just mark the </w:t>
            </w:r>
            <w:r w:rsidR="00A14768">
              <w:rPr>
                <w:rFonts w:cs="Arial"/>
                <w:sz w:val="20"/>
                <w:szCs w:val="20"/>
              </w:rPr>
              <w:t>ones who didn’t attend (and why</w:t>
            </w:r>
            <w:r>
              <w:rPr>
                <w:rFonts w:cs="Arial"/>
                <w:sz w:val="20"/>
                <w:szCs w:val="20"/>
              </w:rPr>
              <w:t>)</w:t>
            </w:r>
            <w:r w:rsidR="00A14768">
              <w:rPr>
                <w:rFonts w:cs="Arial"/>
                <w:sz w:val="20"/>
                <w:szCs w:val="20"/>
              </w:rPr>
              <w:t xml:space="preserve"> rather than having a long list of options.  Academics reported that this was not actually the case – they had to complete all attendance from scratch.</w:t>
            </w:r>
          </w:p>
        </w:tc>
        <w:tc>
          <w:tcPr>
            <w:tcW w:w="1843" w:type="dxa"/>
          </w:tcPr>
          <w:p w:rsidR="00362C89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606A" w:rsidRDefault="0024606A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14768" w:rsidRDefault="00A14768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14768" w:rsidRDefault="00A14768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14768" w:rsidRDefault="0024606A" w:rsidP="00A1476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Lisa </w:t>
            </w:r>
            <w:r w:rsidR="00A14768">
              <w:rPr>
                <w:rFonts w:cs="Arial"/>
                <w:b/>
                <w:sz w:val="20"/>
                <w:szCs w:val="20"/>
              </w:rPr>
              <w:t xml:space="preserve">McAleese </w:t>
            </w:r>
            <w:r>
              <w:rPr>
                <w:rFonts w:cs="Arial"/>
                <w:b/>
                <w:sz w:val="20"/>
                <w:szCs w:val="20"/>
              </w:rPr>
              <w:t>to check</w:t>
            </w:r>
            <w:r w:rsidR="00A14768">
              <w:rPr>
                <w:rFonts w:cs="Arial"/>
                <w:b/>
                <w:sz w:val="20"/>
                <w:szCs w:val="20"/>
              </w:rPr>
              <w:t xml:space="preserve"> that </w:t>
            </w:r>
            <w:proofErr w:type="spellStart"/>
            <w:r w:rsidR="00A14768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="00A14768">
              <w:rPr>
                <w:rFonts w:cs="Arial"/>
                <w:b/>
                <w:sz w:val="20"/>
                <w:szCs w:val="20"/>
              </w:rPr>
              <w:t>) default attendance rosters assume all students are present</w:t>
            </w:r>
            <w:r w:rsidR="00BC51A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14768">
              <w:rPr>
                <w:rFonts w:cs="Arial"/>
                <w:b/>
                <w:sz w:val="20"/>
                <w:szCs w:val="20"/>
              </w:rPr>
              <w:t>and ii) e</w:t>
            </w:r>
            <w:r w:rsidR="00BC51A1">
              <w:rPr>
                <w:rFonts w:cs="Arial"/>
                <w:b/>
                <w:sz w:val="20"/>
                <w:szCs w:val="20"/>
              </w:rPr>
              <w:t>nsure options are JUST “Authorised/</w:t>
            </w:r>
          </w:p>
          <w:p w:rsidR="0024606A" w:rsidRPr="00AA24BA" w:rsidRDefault="00BC51A1" w:rsidP="00A1476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Unauthorised” 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Consultation on revised University Programme Specification template (Emma Sanders)</w:t>
            </w:r>
            <w:r w:rsidRPr="00AA24BA">
              <w:rPr>
                <w:bCs/>
                <w:sz w:val="20"/>
                <w:szCs w:val="20"/>
              </w:rPr>
              <w:t xml:space="preserve"> [HTLC/1/15/12a and HTLC/1/15/12b]</w:t>
            </w:r>
          </w:p>
        </w:tc>
        <w:tc>
          <w:tcPr>
            <w:tcW w:w="5386" w:type="dxa"/>
          </w:tcPr>
          <w:p w:rsidR="00A14768" w:rsidRPr="00A14768" w:rsidRDefault="00A14768" w:rsidP="001F3C6F">
            <w:pPr>
              <w:rPr>
                <w:rFonts w:cs="Arial"/>
                <w:b/>
                <w:sz w:val="20"/>
                <w:szCs w:val="20"/>
              </w:rPr>
            </w:pPr>
            <w:r w:rsidRPr="00A14768">
              <w:rPr>
                <w:rFonts w:cs="Arial"/>
                <w:b/>
                <w:sz w:val="20"/>
                <w:szCs w:val="20"/>
              </w:rPr>
              <w:t xml:space="preserve">Discussed: </w:t>
            </w:r>
          </w:p>
          <w:p w:rsidR="00362C89" w:rsidRPr="00A14768" w:rsidRDefault="001F3C6F" w:rsidP="00A1476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14768">
              <w:rPr>
                <w:rFonts w:cs="Arial"/>
                <w:sz w:val="20"/>
                <w:szCs w:val="20"/>
              </w:rPr>
              <w:t>Curriculum Maps not useful in Humanities</w:t>
            </w:r>
            <w:r w:rsidR="00A14768">
              <w:rPr>
                <w:rFonts w:cs="Arial"/>
                <w:sz w:val="20"/>
                <w:szCs w:val="20"/>
              </w:rPr>
              <w:t>, as programmes tend to consist of many optional course units</w:t>
            </w:r>
            <w:r w:rsidRPr="00A14768">
              <w:rPr>
                <w:rFonts w:cs="Arial"/>
                <w:sz w:val="20"/>
                <w:szCs w:val="20"/>
              </w:rPr>
              <w:t>.</w:t>
            </w:r>
          </w:p>
          <w:p w:rsidR="001F3C6F" w:rsidRPr="00A14768" w:rsidRDefault="00A14768" w:rsidP="00A1476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However, the u</w:t>
            </w:r>
            <w:r w:rsidR="001F3C6F" w:rsidRPr="00A14768">
              <w:rPr>
                <w:rFonts w:cs="Arial"/>
                <w:sz w:val="20"/>
                <w:szCs w:val="20"/>
              </w:rPr>
              <w:t xml:space="preserve">sefulness </w:t>
            </w:r>
            <w:r>
              <w:rPr>
                <w:rFonts w:cs="Arial"/>
                <w:sz w:val="20"/>
                <w:szCs w:val="20"/>
              </w:rPr>
              <w:t xml:space="preserve">of Programme Specifications in general </w:t>
            </w:r>
            <w:r w:rsidR="001F3C6F" w:rsidRPr="00A14768">
              <w:rPr>
                <w:rFonts w:cs="Arial"/>
                <w:sz w:val="20"/>
                <w:szCs w:val="20"/>
              </w:rPr>
              <w:t>depends on how you write them.</w:t>
            </w:r>
          </w:p>
          <w:p w:rsidR="00A14768" w:rsidRDefault="00A14768" w:rsidP="00A1476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14768">
              <w:rPr>
                <w:rFonts w:cs="Arial"/>
                <w:sz w:val="20"/>
                <w:szCs w:val="20"/>
              </w:rPr>
              <w:t xml:space="preserve">What is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A14768">
              <w:rPr>
                <w:rFonts w:cs="Arial"/>
                <w:sz w:val="20"/>
                <w:szCs w:val="20"/>
              </w:rPr>
              <w:t xml:space="preserve"> purpose</w:t>
            </w:r>
            <w:r>
              <w:rPr>
                <w:rFonts w:cs="Arial"/>
                <w:sz w:val="20"/>
                <w:szCs w:val="20"/>
              </w:rPr>
              <w:t xml:space="preserve"> of the Programme Specification –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>) there m</w:t>
            </w:r>
            <w:r w:rsidRPr="00A14768">
              <w:rPr>
                <w:rFonts w:cs="Arial"/>
                <w:sz w:val="20"/>
                <w:szCs w:val="20"/>
              </w:rPr>
              <w:t xml:space="preserve">ust be a </w:t>
            </w:r>
            <w:r>
              <w:rPr>
                <w:rFonts w:cs="Arial"/>
                <w:sz w:val="20"/>
                <w:szCs w:val="20"/>
              </w:rPr>
              <w:t>“</w:t>
            </w:r>
            <w:r w:rsidRPr="00A14768">
              <w:rPr>
                <w:rFonts w:cs="Arial"/>
                <w:sz w:val="20"/>
                <w:szCs w:val="20"/>
              </w:rPr>
              <w:t>single source of truth</w:t>
            </w:r>
            <w:r>
              <w:rPr>
                <w:rFonts w:cs="Arial"/>
                <w:sz w:val="20"/>
                <w:szCs w:val="20"/>
              </w:rPr>
              <w:t xml:space="preserve">” about a programme structure, content and ILOs: where is this? The handbook/blackboard space/Programme Specification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sz w:val="20"/>
                <w:szCs w:val="20"/>
              </w:rPr>
              <w:t>?</w:t>
            </w:r>
          </w:p>
          <w:p w:rsidR="00A14768" w:rsidRDefault="00A14768" w:rsidP="00A14768">
            <w:pPr>
              <w:pStyle w:val="ListParagrap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ii) the definitive description of a programme’s structure, content and ILOs which has been approved for a </w:t>
            </w:r>
            <w:proofErr w:type="spellStart"/>
            <w:r>
              <w:rPr>
                <w:rFonts w:cs="Arial"/>
                <w:sz w:val="20"/>
                <w:szCs w:val="20"/>
              </w:rPr>
              <w:t>UoM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award</w:t>
            </w:r>
          </w:p>
          <w:p w:rsidR="00A14768" w:rsidRDefault="00A14768" w:rsidP="00A1476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Programme teams must </w:t>
            </w:r>
            <w:r w:rsidRPr="00A14768">
              <w:rPr>
                <w:rFonts w:cs="Arial"/>
                <w:sz w:val="20"/>
                <w:szCs w:val="20"/>
              </w:rPr>
              <w:t xml:space="preserve">update </w:t>
            </w:r>
            <w:r>
              <w:rPr>
                <w:rFonts w:cs="Arial"/>
                <w:sz w:val="20"/>
                <w:szCs w:val="20"/>
              </w:rPr>
              <w:t xml:space="preserve">Programme Specification each year. </w:t>
            </w:r>
          </w:p>
          <w:p w:rsidR="00A14768" w:rsidRPr="00A14768" w:rsidRDefault="00A14768" w:rsidP="00A1476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14768">
              <w:rPr>
                <w:rFonts w:cs="Arial"/>
                <w:sz w:val="20"/>
                <w:szCs w:val="20"/>
              </w:rPr>
              <w:t>Staff don’t publish them to students (they are seen as a tick-box exercise).</w:t>
            </w:r>
          </w:p>
          <w:p w:rsidR="00AE3658" w:rsidRPr="00A14768" w:rsidRDefault="00AE3658" w:rsidP="00E237F5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14768">
              <w:rPr>
                <w:rFonts w:cs="Arial"/>
                <w:sz w:val="20"/>
                <w:szCs w:val="20"/>
              </w:rPr>
              <w:t xml:space="preserve">Faculty would prefer the </w:t>
            </w:r>
            <w:r w:rsidR="00E237F5">
              <w:rPr>
                <w:rFonts w:cs="Arial"/>
                <w:sz w:val="20"/>
                <w:szCs w:val="20"/>
              </w:rPr>
              <w:t>“</w:t>
            </w:r>
            <w:r w:rsidRPr="00A14768">
              <w:rPr>
                <w:rFonts w:cs="Arial"/>
                <w:sz w:val="20"/>
                <w:szCs w:val="20"/>
              </w:rPr>
              <w:t>verbal guidance handbook</w:t>
            </w:r>
            <w:r w:rsidR="00E237F5">
              <w:rPr>
                <w:rFonts w:cs="Arial"/>
                <w:sz w:val="20"/>
                <w:szCs w:val="20"/>
              </w:rPr>
              <w:t>” version (2007) to the proposed “box template”</w:t>
            </w:r>
            <w:r w:rsidRPr="00A1476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62C89" w:rsidRPr="00A14768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14768" w:rsidRPr="00A14768" w:rsidRDefault="00A14768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14768" w:rsidRPr="00A14768" w:rsidRDefault="00A14768" w:rsidP="00A14768">
            <w:pPr>
              <w:rPr>
                <w:rFonts w:cs="Arial"/>
                <w:b/>
                <w:sz w:val="20"/>
                <w:szCs w:val="20"/>
              </w:rPr>
            </w:pPr>
            <w:r w:rsidRPr="00A14768">
              <w:rPr>
                <w:rFonts w:cs="Arial"/>
                <w:b/>
                <w:sz w:val="20"/>
                <w:szCs w:val="20"/>
              </w:rPr>
              <w:t xml:space="preserve">Emma Sanders to get Anna </w:t>
            </w:r>
            <w:proofErr w:type="spellStart"/>
            <w:r w:rsidRPr="00A14768">
              <w:rPr>
                <w:rFonts w:cs="Arial"/>
                <w:b/>
                <w:sz w:val="20"/>
                <w:szCs w:val="20"/>
              </w:rPr>
              <w:t>Goatman’s</w:t>
            </w:r>
            <w:proofErr w:type="spellEnd"/>
            <w:r w:rsidRPr="00A14768">
              <w:rPr>
                <w:rFonts w:cs="Arial"/>
                <w:b/>
                <w:sz w:val="20"/>
                <w:szCs w:val="20"/>
              </w:rPr>
              <w:t xml:space="preserve"> example </w:t>
            </w:r>
            <w:r>
              <w:rPr>
                <w:rFonts w:cs="Arial"/>
                <w:b/>
                <w:sz w:val="20"/>
                <w:szCs w:val="20"/>
              </w:rPr>
              <w:t xml:space="preserve">from MBS </w:t>
            </w:r>
            <w:r w:rsidRPr="00A14768">
              <w:rPr>
                <w:rFonts w:cs="Arial"/>
                <w:b/>
                <w:sz w:val="20"/>
                <w:szCs w:val="20"/>
              </w:rPr>
              <w:t xml:space="preserve">and a good </w:t>
            </w:r>
            <w:r>
              <w:rPr>
                <w:rFonts w:cs="Arial"/>
                <w:b/>
                <w:sz w:val="20"/>
                <w:szCs w:val="20"/>
              </w:rPr>
              <w:t xml:space="preserve">“free </w:t>
            </w:r>
            <w:r w:rsidRPr="00A14768">
              <w:rPr>
                <w:rFonts w:cs="Arial"/>
                <w:b/>
                <w:sz w:val="20"/>
                <w:szCs w:val="20"/>
              </w:rPr>
              <w:t>text</w:t>
            </w:r>
            <w:r>
              <w:rPr>
                <w:rFonts w:cs="Arial"/>
                <w:b/>
                <w:sz w:val="20"/>
                <w:szCs w:val="20"/>
              </w:rPr>
              <w:t>”</w:t>
            </w:r>
            <w:r w:rsidRPr="00A14768">
              <w:rPr>
                <w:rFonts w:cs="Arial"/>
                <w:b/>
                <w:sz w:val="20"/>
                <w:szCs w:val="20"/>
              </w:rPr>
              <w:t xml:space="preserve"> example from the past and circulate it to the central group and HTLC.</w:t>
            </w:r>
          </w:p>
          <w:p w:rsidR="00A14768" w:rsidRPr="00A14768" w:rsidRDefault="00A14768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To discuss Reading week(s) and use of (Fiona Smyth/Lisa McAleese)</w:t>
            </w:r>
          </w:p>
        </w:tc>
        <w:tc>
          <w:tcPr>
            <w:tcW w:w="5386" w:type="dxa"/>
          </w:tcPr>
          <w:p w:rsidR="00126A90" w:rsidRDefault="00126A90" w:rsidP="003E1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Reading Lists </w:t>
            </w:r>
            <w:r w:rsidR="00266371">
              <w:rPr>
                <w:rFonts w:cs="Arial"/>
                <w:sz w:val="20"/>
                <w:szCs w:val="20"/>
              </w:rPr>
              <w:t xml:space="preserve">are not “required” by the University.  </w:t>
            </w:r>
            <w:r>
              <w:rPr>
                <w:rFonts w:cs="Arial"/>
                <w:sz w:val="20"/>
                <w:szCs w:val="20"/>
              </w:rPr>
              <w:t xml:space="preserve">Humanities may be the only Faculty that observes them.  </w:t>
            </w:r>
          </w:p>
          <w:p w:rsidR="00126A90" w:rsidRDefault="00126A90" w:rsidP="003E1188">
            <w:pPr>
              <w:rPr>
                <w:rFonts w:cs="Arial"/>
                <w:sz w:val="20"/>
                <w:szCs w:val="20"/>
              </w:rPr>
            </w:pPr>
          </w:p>
          <w:p w:rsidR="00126A90" w:rsidRDefault="00126A90" w:rsidP="003E11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Should we continue with them, and if so, </w:t>
            </w:r>
            <w:r w:rsidR="00266371">
              <w:rPr>
                <w:rFonts w:cs="Arial"/>
                <w:sz w:val="20"/>
                <w:szCs w:val="20"/>
              </w:rPr>
              <w:t xml:space="preserve">should they be formalised? </w:t>
            </w:r>
          </w:p>
          <w:p w:rsidR="00307604" w:rsidRDefault="00307604" w:rsidP="003E1188">
            <w:pPr>
              <w:rPr>
                <w:rFonts w:cs="Arial"/>
                <w:sz w:val="20"/>
                <w:szCs w:val="20"/>
              </w:rPr>
            </w:pPr>
          </w:p>
          <w:p w:rsidR="00307604" w:rsidRDefault="00307604" w:rsidP="003076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Discussed: </w:t>
            </w:r>
          </w:p>
          <w:p w:rsidR="00307604" w:rsidRDefault="00307604" w:rsidP="003076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Why was there no break at all between the end of the January exam period and start of Semester 2? Staff AND students would welcome this.  </w:t>
            </w:r>
          </w:p>
          <w:p w:rsidR="00307604" w:rsidRDefault="00307604" w:rsidP="00307604">
            <w:pPr>
              <w:rPr>
                <w:rFonts w:cs="Arial"/>
                <w:sz w:val="20"/>
                <w:szCs w:val="20"/>
              </w:rPr>
            </w:pPr>
          </w:p>
          <w:p w:rsidR="00307604" w:rsidRDefault="00307604" w:rsidP="003076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was the exam period in January only 2 weeks long?</w:t>
            </w:r>
          </w:p>
          <w:p w:rsidR="00126A90" w:rsidRDefault="00126A90" w:rsidP="003E1188">
            <w:pPr>
              <w:rPr>
                <w:rFonts w:cs="Arial"/>
                <w:sz w:val="20"/>
                <w:szCs w:val="20"/>
              </w:rPr>
            </w:pPr>
          </w:p>
          <w:p w:rsidR="00362C89" w:rsidRPr="003E1188" w:rsidRDefault="00307604" w:rsidP="00307604">
            <w:pPr>
              <w:rPr>
                <w:rFonts w:cs="Arial"/>
                <w:sz w:val="20"/>
                <w:szCs w:val="20"/>
              </w:rPr>
            </w:pPr>
            <w:r w:rsidRPr="00307604">
              <w:rPr>
                <w:rFonts w:cs="Arial"/>
                <w:b/>
                <w:sz w:val="20"/>
                <w:szCs w:val="20"/>
              </w:rPr>
              <w:t>Agreed: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37CA3">
              <w:rPr>
                <w:rFonts w:cs="Arial"/>
                <w:sz w:val="20"/>
                <w:szCs w:val="20"/>
              </w:rPr>
              <w:t xml:space="preserve">Carry forward to HTLC November 2015. </w:t>
            </w:r>
          </w:p>
        </w:tc>
        <w:tc>
          <w:tcPr>
            <w:tcW w:w="1843" w:type="dxa"/>
          </w:tcPr>
          <w:p w:rsidR="00307604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07604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07604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07604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2C89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Action: </w:t>
            </w:r>
            <w:r w:rsidR="00A73221">
              <w:rPr>
                <w:rFonts w:cs="Arial"/>
                <w:b/>
                <w:sz w:val="20"/>
                <w:szCs w:val="20"/>
              </w:rPr>
              <w:t xml:space="preserve">FS to ask TLG why </w:t>
            </w:r>
            <w:r>
              <w:rPr>
                <w:rFonts w:cs="Arial"/>
                <w:b/>
                <w:sz w:val="20"/>
                <w:szCs w:val="20"/>
              </w:rPr>
              <w:t xml:space="preserve">the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January exam period is </w:t>
            </w:r>
            <w:r w:rsidR="00A73221">
              <w:rPr>
                <w:rFonts w:cs="Arial"/>
                <w:b/>
                <w:sz w:val="20"/>
                <w:szCs w:val="20"/>
              </w:rPr>
              <w:t>only 2 week</w:t>
            </w:r>
            <w:r>
              <w:rPr>
                <w:rFonts w:cs="Arial"/>
                <w:b/>
                <w:sz w:val="20"/>
                <w:szCs w:val="20"/>
              </w:rPr>
              <w:t xml:space="preserve">s long </w:t>
            </w:r>
          </w:p>
          <w:p w:rsidR="00307604" w:rsidRPr="00AA24BA" w:rsidRDefault="00307604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649C5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To discuss the implementation of mark review for UG </w:t>
            </w:r>
            <w:r w:rsidR="008649C5">
              <w:rPr>
                <w:b/>
                <w:bCs/>
                <w:sz w:val="20"/>
                <w:szCs w:val="20"/>
              </w:rPr>
              <w:t>classifications (Lisa McAleese)</w:t>
            </w:r>
          </w:p>
        </w:tc>
        <w:tc>
          <w:tcPr>
            <w:tcW w:w="5386" w:type="dxa"/>
          </w:tcPr>
          <w:p w:rsidR="00362C89" w:rsidRDefault="008649C5" w:rsidP="00266371">
            <w:pPr>
              <w:rPr>
                <w:sz w:val="20"/>
                <w:szCs w:val="20"/>
              </w:rPr>
            </w:pPr>
            <w:r w:rsidRPr="00AA24BA">
              <w:rPr>
                <w:sz w:val="20"/>
                <w:szCs w:val="20"/>
              </w:rPr>
              <w:t>This is the first year that students will have graduated under the 2012 UG Regulations and mark review will have been applied.</w:t>
            </w:r>
            <w:r w:rsidR="00837D65">
              <w:rPr>
                <w:sz w:val="20"/>
                <w:szCs w:val="20"/>
              </w:rPr>
              <w:t xml:space="preserve">  </w:t>
            </w:r>
            <w:r w:rsidR="008A641D">
              <w:rPr>
                <w:sz w:val="20"/>
                <w:szCs w:val="20"/>
              </w:rPr>
              <w:t>No comments were fed back from Schools.</w:t>
            </w:r>
            <w:r w:rsidR="00837D65">
              <w:rPr>
                <w:sz w:val="20"/>
                <w:szCs w:val="20"/>
              </w:rPr>
              <w:t xml:space="preserve"> </w:t>
            </w:r>
          </w:p>
          <w:p w:rsidR="008A641D" w:rsidRDefault="008A641D" w:rsidP="00266371">
            <w:pPr>
              <w:rPr>
                <w:sz w:val="20"/>
                <w:szCs w:val="20"/>
              </w:rPr>
            </w:pPr>
          </w:p>
          <w:p w:rsidR="00837D65" w:rsidRPr="00266371" w:rsidRDefault="008A641D" w:rsidP="008A641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were reminded not to </w:t>
            </w:r>
            <w:r w:rsidR="00837D65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 xml:space="preserve">or create </w:t>
            </w:r>
            <w:r w:rsidR="00837D65">
              <w:rPr>
                <w:sz w:val="20"/>
                <w:szCs w:val="20"/>
              </w:rPr>
              <w:t xml:space="preserve">a School-derived subset of </w:t>
            </w:r>
            <w:r>
              <w:rPr>
                <w:sz w:val="20"/>
                <w:szCs w:val="20"/>
              </w:rPr>
              <w:t>“</w:t>
            </w:r>
            <w:r w:rsidR="00837D65">
              <w:rPr>
                <w:sz w:val="20"/>
                <w:szCs w:val="20"/>
              </w:rPr>
              <w:t>criteria</w:t>
            </w:r>
            <w:r>
              <w:rPr>
                <w:sz w:val="20"/>
                <w:szCs w:val="20"/>
              </w:rPr>
              <w:t>”</w:t>
            </w:r>
            <w:r w:rsidR="00837D65">
              <w:rPr>
                <w:sz w:val="20"/>
                <w:szCs w:val="20"/>
              </w:rPr>
              <w:t xml:space="preserve"> that</w:t>
            </w:r>
            <w:r w:rsidR="00D15F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determine which </w:t>
            </w:r>
            <w:r w:rsidR="00D15F7E">
              <w:rPr>
                <w:sz w:val="20"/>
                <w:szCs w:val="20"/>
              </w:rPr>
              <w:t>students meet the University-determined criteria for mark review.</w:t>
            </w:r>
            <w:r w:rsidR="00E9270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In other words, e</w:t>
            </w:r>
            <w:r w:rsidR="00E92700">
              <w:rPr>
                <w:sz w:val="20"/>
                <w:szCs w:val="20"/>
              </w:rPr>
              <w:t xml:space="preserve">veryone who is </w:t>
            </w:r>
            <w:r>
              <w:rPr>
                <w:sz w:val="20"/>
                <w:szCs w:val="20"/>
              </w:rPr>
              <w:t>“</w:t>
            </w:r>
            <w:proofErr w:type="gramStart"/>
            <w:r w:rsidR="00E92700">
              <w:rPr>
                <w:sz w:val="20"/>
                <w:szCs w:val="20"/>
              </w:rPr>
              <w:t>borderline</w:t>
            </w:r>
            <w:proofErr w:type="gramEnd"/>
            <w:r>
              <w:rPr>
                <w:sz w:val="20"/>
                <w:szCs w:val="20"/>
              </w:rPr>
              <w:t>”</w:t>
            </w:r>
            <w:r w:rsidR="00E92700">
              <w:rPr>
                <w:sz w:val="20"/>
                <w:szCs w:val="20"/>
              </w:rPr>
              <w:t xml:space="preserve"> is in </w:t>
            </w:r>
            <w:r>
              <w:rPr>
                <w:sz w:val="20"/>
                <w:szCs w:val="20"/>
              </w:rPr>
              <w:t>“</w:t>
            </w:r>
            <w:r w:rsidR="00E92700">
              <w:rPr>
                <w:sz w:val="20"/>
                <w:szCs w:val="20"/>
              </w:rPr>
              <w:t>mark review</w:t>
            </w:r>
            <w:r>
              <w:rPr>
                <w:sz w:val="20"/>
                <w:szCs w:val="20"/>
              </w:rPr>
              <w:t>”</w:t>
            </w:r>
            <w:r w:rsidR="00E92700">
              <w:rPr>
                <w:sz w:val="20"/>
                <w:szCs w:val="20"/>
              </w:rPr>
              <w:t xml:space="preserve">, in other words.  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46557F" w:rsidP="00AA24B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362C89" w:rsidRPr="00AA24BA">
              <w:rPr>
                <w:b/>
                <w:bCs/>
                <w:sz w:val="20"/>
                <w:szCs w:val="20"/>
              </w:rPr>
              <w:t xml:space="preserve">aper outlining Recommendations for Resit and examination board processes, from the HPRC meeting of 16 June 2015 </w:t>
            </w:r>
            <w:r w:rsidR="00362C89" w:rsidRPr="00AA24BA">
              <w:rPr>
                <w:bCs/>
                <w:sz w:val="20"/>
                <w:szCs w:val="20"/>
              </w:rPr>
              <w:t>[HTLC/2/15/15]</w:t>
            </w:r>
          </w:p>
        </w:tc>
        <w:tc>
          <w:tcPr>
            <w:tcW w:w="5386" w:type="dxa"/>
          </w:tcPr>
          <w:p w:rsidR="00DD62B3" w:rsidRDefault="00DD62B3" w:rsidP="00C1165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Reported: </w:t>
            </w:r>
          </w:p>
          <w:p w:rsidR="00DD62B3" w:rsidRDefault="00DD62B3" w:rsidP="00C11656">
            <w:pPr>
              <w:rPr>
                <w:rFonts w:cs="Arial"/>
                <w:b/>
                <w:sz w:val="20"/>
                <w:szCs w:val="20"/>
              </w:rPr>
            </w:pPr>
          </w:p>
          <w:p w:rsidR="00DD62B3" w:rsidRDefault="00DD62B3" w:rsidP="00DD62B3">
            <w:pPr>
              <w:rPr>
                <w:rFonts w:cs="Arial"/>
                <w:sz w:val="20"/>
                <w:szCs w:val="20"/>
              </w:rPr>
            </w:pPr>
            <w:r w:rsidRPr="00DD62B3">
              <w:rPr>
                <w:rFonts w:cs="Arial"/>
                <w:sz w:val="20"/>
                <w:szCs w:val="20"/>
              </w:rPr>
              <w:t>The paper</w:t>
            </w:r>
            <w:r>
              <w:rPr>
                <w:rFonts w:cs="Arial"/>
                <w:sz w:val="20"/>
                <w:szCs w:val="20"/>
              </w:rPr>
              <w:t xml:space="preserve"> about streamlining exam processes had </w:t>
            </w:r>
            <w:r w:rsidRPr="00DD62B3">
              <w:rPr>
                <w:rFonts w:cs="Arial"/>
                <w:sz w:val="20"/>
                <w:szCs w:val="20"/>
              </w:rPr>
              <w:t>been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C11656" w:rsidRPr="00DD62B3">
              <w:rPr>
                <w:rFonts w:cs="Arial"/>
                <w:b/>
                <w:sz w:val="20"/>
                <w:szCs w:val="20"/>
              </w:rPr>
              <w:t>Approved</w:t>
            </w:r>
            <w:r>
              <w:rPr>
                <w:rFonts w:cs="Arial"/>
                <w:sz w:val="20"/>
                <w:szCs w:val="20"/>
              </w:rPr>
              <w:t xml:space="preserve"> at HPRC. </w:t>
            </w:r>
          </w:p>
          <w:p w:rsidR="00DD62B3" w:rsidRDefault="00DD62B3" w:rsidP="00DD62B3">
            <w:pPr>
              <w:rPr>
                <w:rFonts w:cs="Arial"/>
                <w:sz w:val="20"/>
                <w:szCs w:val="20"/>
              </w:rPr>
            </w:pPr>
          </w:p>
          <w:p w:rsidR="00362C89" w:rsidRPr="00C11656" w:rsidRDefault="00DD62B3" w:rsidP="00DD62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Amongst other things it confirmed that Resit </w:t>
            </w:r>
            <w:r w:rsidR="00C11656">
              <w:rPr>
                <w:rFonts w:cs="Arial"/>
                <w:sz w:val="20"/>
                <w:szCs w:val="20"/>
              </w:rPr>
              <w:t xml:space="preserve">papers should be set at same time as </w:t>
            </w:r>
            <w:r>
              <w:rPr>
                <w:rFonts w:cs="Arial"/>
                <w:sz w:val="20"/>
                <w:szCs w:val="20"/>
              </w:rPr>
              <w:t>F</w:t>
            </w:r>
            <w:r w:rsidR="00C11656">
              <w:rPr>
                <w:rFonts w:cs="Arial"/>
                <w:sz w:val="20"/>
                <w:szCs w:val="20"/>
              </w:rPr>
              <w:t>irst sit</w:t>
            </w:r>
            <w:r>
              <w:rPr>
                <w:rFonts w:cs="Arial"/>
                <w:sz w:val="20"/>
                <w:szCs w:val="20"/>
              </w:rPr>
              <w:t xml:space="preserve"> paper</w:t>
            </w:r>
            <w:r w:rsidR="00C11656">
              <w:rPr>
                <w:rFonts w:cs="Arial"/>
                <w:sz w:val="20"/>
                <w:szCs w:val="20"/>
              </w:rPr>
              <w:t xml:space="preserve">s.  </w:t>
            </w:r>
          </w:p>
        </w:tc>
        <w:tc>
          <w:tcPr>
            <w:tcW w:w="1843" w:type="dxa"/>
          </w:tcPr>
          <w:p w:rsidR="00362C89" w:rsidRPr="00AA24BA" w:rsidRDefault="00C11656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 to s</w:t>
            </w:r>
            <w:r w:rsidR="00895899">
              <w:rPr>
                <w:rFonts w:cs="Arial"/>
                <w:b/>
                <w:sz w:val="20"/>
                <w:szCs w:val="20"/>
              </w:rPr>
              <w:t xml:space="preserve">end to </w:t>
            </w:r>
            <w:proofErr w:type="spellStart"/>
            <w:r w:rsidR="00895899">
              <w:rPr>
                <w:rFonts w:cs="Arial"/>
                <w:b/>
                <w:sz w:val="20"/>
                <w:szCs w:val="20"/>
              </w:rPr>
              <w:t>HoSAs</w:t>
            </w:r>
            <w:proofErr w:type="spellEnd"/>
            <w:r w:rsidR="00895899">
              <w:rPr>
                <w:rFonts w:cs="Arial"/>
                <w:b/>
                <w:sz w:val="20"/>
                <w:szCs w:val="20"/>
              </w:rPr>
              <w:t xml:space="preserve"> for implementation</w:t>
            </w: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Update to Peer Review Process and Guidance (Nicola Lord) </w:t>
            </w:r>
          </w:p>
          <w:p w:rsidR="009F5351" w:rsidRPr="00AA24BA" w:rsidRDefault="00362C89" w:rsidP="009F5351">
            <w:pPr>
              <w:pStyle w:val="ListParagraph"/>
              <w:ind w:left="426"/>
              <w:rPr>
                <w:bCs/>
                <w:sz w:val="20"/>
                <w:szCs w:val="20"/>
              </w:rPr>
            </w:pPr>
            <w:r w:rsidRPr="00AA24BA">
              <w:rPr>
                <w:bCs/>
                <w:sz w:val="20"/>
                <w:szCs w:val="20"/>
              </w:rPr>
              <w:t xml:space="preserve">[HTLC/2/15/16a, [HTLC/2/15/16b, </w:t>
            </w:r>
          </w:p>
          <w:p w:rsidR="00362C89" w:rsidRPr="00AA24BA" w:rsidRDefault="009F5351" w:rsidP="009F5351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HTLC/2/15/16c</w:t>
            </w:r>
            <w:r w:rsidR="00362C89" w:rsidRPr="00AA24BA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5386" w:type="dxa"/>
          </w:tcPr>
          <w:p w:rsidR="00362C89" w:rsidRPr="00585B7C" w:rsidRDefault="00D560EA" w:rsidP="00213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Received.</w:t>
            </w: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2C89" w:rsidTr="00687C5A">
        <w:tc>
          <w:tcPr>
            <w:tcW w:w="2235" w:type="dxa"/>
          </w:tcPr>
          <w:p w:rsidR="00362C89" w:rsidRPr="00AA24BA" w:rsidRDefault="00362C8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C89" w:rsidRPr="00AA24BA" w:rsidRDefault="00362C8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Update on Recruitment and Admissions (Emma Rose)</w:t>
            </w:r>
          </w:p>
        </w:tc>
        <w:tc>
          <w:tcPr>
            <w:tcW w:w="5386" w:type="dxa"/>
          </w:tcPr>
          <w:p w:rsidR="00FB20F9" w:rsidRPr="0096145B" w:rsidRDefault="00FB20F9" w:rsidP="00C07C01">
            <w:pPr>
              <w:rPr>
                <w:rFonts w:cs="Arial"/>
                <w:sz w:val="20"/>
                <w:szCs w:val="20"/>
              </w:rPr>
            </w:pPr>
            <w:r w:rsidRPr="0096145B">
              <w:rPr>
                <w:rFonts w:cs="Arial"/>
                <w:sz w:val="20"/>
                <w:szCs w:val="20"/>
              </w:rPr>
              <w:t>Carried forward.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46557F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Distance Learning (DL) Update (Matthew Jefferies)</w:t>
            </w:r>
          </w:p>
        </w:tc>
        <w:tc>
          <w:tcPr>
            <w:tcW w:w="5386" w:type="dxa"/>
          </w:tcPr>
          <w:p w:rsidR="00FB20F9" w:rsidRPr="0096145B" w:rsidRDefault="00FB20F9" w:rsidP="0096145B">
            <w:pPr>
              <w:rPr>
                <w:rFonts w:cs="Arial"/>
                <w:sz w:val="20"/>
                <w:szCs w:val="20"/>
              </w:rPr>
            </w:pPr>
            <w:r w:rsidRPr="0096145B">
              <w:rPr>
                <w:rFonts w:cs="Arial"/>
                <w:sz w:val="20"/>
                <w:szCs w:val="20"/>
              </w:rPr>
              <w:t>Carried forward.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A. O. B.</w:t>
            </w: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585B7C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 xml:space="preserve">*Interruption Requests </w:t>
            </w:r>
            <w:r w:rsidRPr="00AA24B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86" w:type="dxa"/>
          </w:tcPr>
          <w:p w:rsidR="00FB20F9" w:rsidRPr="00C82754" w:rsidRDefault="00FB20F9" w:rsidP="00C82754">
            <w:pPr>
              <w:rPr>
                <w:rFonts w:cs="Arial"/>
                <w:sz w:val="20"/>
                <w:szCs w:val="20"/>
              </w:rPr>
            </w:pPr>
            <w:r w:rsidRPr="00C8275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AA24BA">
              <w:rPr>
                <w:b/>
                <w:bCs/>
                <w:sz w:val="20"/>
                <w:szCs w:val="20"/>
              </w:rPr>
              <w:t>*Faculty Guidance on Programme Proposal Processes 15/16</w:t>
            </w:r>
          </w:p>
        </w:tc>
        <w:tc>
          <w:tcPr>
            <w:tcW w:w="5386" w:type="dxa"/>
          </w:tcPr>
          <w:p w:rsidR="00FB20F9" w:rsidRPr="00AA24BA" w:rsidRDefault="00FB20F9" w:rsidP="0096145B">
            <w:pPr>
              <w:rPr>
                <w:rFonts w:cs="Arial"/>
                <w:b/>
                <w:sz w:val="20"/>
                <w:szCs w:val="20"/>
              </w:rPr>
            </w:pPr>
            <w:r w:rsidRPr="0096145B">
              <w:rPr>
                <w:rFonts w:cs="Arial"/>
                <w:sz w:val="20"/>
                <w:szCs w:val="20"/>
              </w:rPr>
              <w:t>Received.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C82754" w:rsidRDefault="00FB20F9" w:rsidP="00C82754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sz w:val="20"/>
                <w:szCs w:val="20"/>
              </w:rPr>
            </w:pPr>
            <w:r w:rsidRPr="00AA24BA">
              <w:rPr>
                <w:b/>
                <w:sz w:val="20"/>
                <w:szCs w:val="20"/>
              </w:rPr>
              <w:lastRenderedPageBreak/>
              <w:t xml:space="preserve">Summary of HTLC Business in 14/15, for reference </w:t>
            </w:r>
            <w:r w:rsidRPr="00AA24BA">
              <w:rPr>
                <w:bCs/>
                <w:sz w:val="20"/>
                <w:szCs w:val="20"/>
              </w:rPr>
              <w:t>[HTLC/1/15/22]</w:t>
            </w:r>
          </w:p>
        </w:tc>
        <w:tc>
          <w:tcPr>
            <w:tcW w:w="5386" w:type="dxa"/>
          </w:tcPr>
          <w:p w:rsidR="00FB20F9" w:rsidRPr="0096145B" w:rsidRDefault="00FB20F9" w:rsidP="0096145B">
            <w:pPr>
              <w:rPr>
                <w:rFonts w:cs="Arial"/>
                <w:sz w:val="20"/>
                <w:szCs w:val="20"/>
              </w:rPr>
            </w:pPr>
            <w:r w:rsidRPr="0096145B">
              <w:rPr>
                <w:rFonts w:cs="Arial"/>
                <w:sz w:val="20"/>
                <w:szCs w:val="20"/>
              </w:rPr>
              <w:t>Received.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pStyle w:val="ListParagraph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AA24B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b/>
                <w:sz w:val="20"/>
                <w:szCs w:val="20"/>
              </w:rPr>
            </w:pPr>
            <w:r w:rsidRPr="00AA24BA">
              <w:rPr>
                <w:b/>
                <w:sz w:val="20"/>
                <w:szCs w:val="20"/>
              </w:rPr>
              <w:t>*Sub-Committee Business</w:t>
            </w:r>
          </w:p>
          <w:p w:rsidR="00FB20F9" w:rsidRPr="00AA24BA" w:rsidRDefault="00FB20F9" w:rsidP="00837D65">
            <w:pPr>
              <w:pStyle w:val="ListParagraph"/>
              <w:ind w:left="426"/>
              <w:rPr>
                <w:b/>
                <w:sz w:val="20"/>
                <w:szCs w:val="20"/>
              </w:rPr>
            </w:pPr>
          </w:p>
          <w:p w:rsidR="00FB20F9" w:rsidRPr="00AA24BA" w:rsidRDefault="00FB20F9" w:rsidP="00837D6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96145B" w:rsidRDefault="00FB20F9" w:rsidP="0096145B">
            <w:pPr>
              <w:rPr>
                <w:b/>
                <w:sz w:val="20"/>
                <w:szCs w:val="20"/>
              </w:rPr>
            </w:pPr>
            <w:r w:rsidRPr="0096145B">
              <w:rPr>
                <w:b/>
                <w:sz w:val="20"/>
                <w:szCs w:val="20"/>
              </w:rPr>
              <w:t>*Sub-Committee Business</w:t>
            </w:r>
          </w:p>
          <w:p w:rsidR="00FB20F9" w:rsidRPr="00AA24BA" w:rsidRDefault="00FB20F9" w:rsidP="0096145B">
            <w:pPr>
              <w:pStyle w:val="ListParagraph"/>
              <w:ind w:left="426"/>
              <w:rPr>
                <w:b/>
                <w:sz w:val="20"/>
                <w:szCs w:val="20"/>
              </w:rPr>
            </w:pPr>
          </w:p>
          <w:p w:rsidR="00FB20F9" w:rsidRPr="00AA24BA" w:rsidRDefault="00FB20F9" w:rsidP="0096145B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AA24BA">
              <w:rPr>
                <w:i/>
                <w:sz w:val="20"/>
                <w:szCs w:val="20"/>
              </w:rPr>
              <w:t>Substantive items to be brought to HTLC as Agenda Items, by the Chair of the relevant Sub-Committee.</w:t>
            </w:r>
          </w:p>
          <w:p w:rsidR="00FB20F9" w:rsidRPr="00AA24BA" w:rsidRDefault="00FB20F9" w:rsidP="0096145B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AA24BA">
              <w:rPr>
                <w:i/>
                <w:sz w:val="20"/>
                <w:szCs w:val="20"/>
              </w:rPr>
              <w:t>Full Minutes will be posted to the Humanities intranet site.</w:t>
            </w:r>
          </w:p>
          <w:p w:rsidR="00FB20F9" w:rsidRPr="00AA24BA" w:rsidRDefault="00FB20F9" w:rsidP="0096145B">
            <w:pPr>
              <w:pStyle w:val="ListParagraph"/>
              <w:ind w:left="1440"/>
              <w:rPr>
                <w:i/>
                <w:sz w:val="20"/>
                <w:szCs w:val="20"/>
              </w:rPr>
            </w:pPr>
          </w:p>
          <w:p w:rsidR="00FB20F9" w:rsidRPr="00AA24BA" w:rsidRDefault="00FB20F9" w:rsidP="0096145B">
            <w:pPr>
              <w:rPr>
                <w:sz w:val="20"/>
                <w:szCs w:val="20"/>
              </w:rPr>
            </w:pPr>
            <w:r w:rsidRPr="00AA24BA">
              <w:rPr>
                <w:sz w:val="20"/>
                <w:szCs w:val="20"/>
              </w:rPr>
              <w:t>23.1</w:t>
            </w:r>
            <w:r w:rsidRPr="00AA24BA">
              <w:rPr>
                <w:sz w:val="20"/>
                <w:szCs w:val="20"/>
              </w:rPr>
              <w:tab/>
              <w:t>*</w:t>
            </w:r>
            <w:r w:rsidRPr="00AA24BA">
              <w:rPr>
                <w:sz w:val="20"/>
                <w:szCs w:val="20"/>
                <w:u w:val="single"/>
              </w:rPr>
              <w:t>Programme Approvals Sub-Committee</w:t>
            </w:r>
          </w:p>
          <w:p w:rsidR="00FB20F9" w:rsidRPr="00AA24BA" w:rsidRDefault="00FB20F9" w:rsidP="0096145B">
            <w:pPr>
              <w:rPr>
                <w:sz w:val="20"/>
                <w:szCs w:val="20"/>
              </w:rPr>
            </w:pPr>
            <w:r w:rsidRPr="00AA24BA">
              <w:rPr>
                <w:sz w:val="20"/>
                <w:szCs w:val="20"/>
              </w:rPr>
              <w:tab/>
              <w:t>N/A – first meeting takes place 21</w:t>
            </w:r>
            <w:r w:rsidRPr="00AA24BA">
              <w:rPr>
                <w:sz w:val="20"/>
                <w:szCs w:val="20"/>
                <w:vertAlign w:val="superscript"/>
              </w:rPr>
              <w:t>st</w:t>
            </w:r>
            <w:r w:rsidRPr="00AA24BA">
              <w:rPr>
                <w:sz w:val="20"/>
                <w:szCs w:val="20"/>
              </w:rPr>
              <w:t xml:space="preserve"> October 2015</w:t>
            </w:r>
          </w:p>
          <w:p w:rsidR="00FB20F9" w:rsidRPr="00AA24BA" w:rsidRDefault="00FB20F9" w:rsidP="0096145B">
            <w:pPr>
              <w:rPr>
                <w:sz w:val="20"/>
                <w:szCs w:val="20"/>
              </w:rPr>
            </w:pPr>
          </w:p>
          <w:p w:rsidR="00FB20F9" w:rsidRPr="00AA24BA" w:rsidRDefault="00FB20F9" w:rsidP="0096145B">
            <w:pPr>
              <w:rPr>
                <w:sz w:val="20"/>
                <w:szCs w:val="20"/>
                <w:u w:val="single"/>
              </w:rPr>
            </w:pPr>
            <w:r w:rsidRPr="00AA24BA">
              <w:rPr>
                <w:sz w:val="20"/>
                <w:szCs w:val="20"/>
              </w:rPr>
              <w:t xml:space="preserve">23.2 </w:t>
            </w:r>
            <w:r w:rsidRPr="00AA24BA">
              <w:rPr>
                <w:sz w:val="20"/>
                <w:szCs w:val="20"/>
              </w:rPr>
              <w:tab/>
              <w:t>*</w:t>
            </w:r>
            <w:r w:rsidRPr="00AA24BA">
              <w:rPr>
                <w:sz w:val="20"/>
                <w:szCs w:val="20"/>
                <w:u w:val="single"/>
              </w:rPr>
              <w:t>Intake Management Group (IMG)</w:t>
            </w:r>
          </w:p>
          <w:p w:rsidR="00FB20F9" w:rsidRPr="00AA24BA" w:rsidRDefault="00FB20F9" w:rsidP="0096145B">
            <w:pPr>
              <w:ind w:firstLine="720"/>
              <w:rPr>
                <w:sz w:val="20"/>
                <w:szCs w:val="20"/>
              </w:rPr>
            </w:pPr>
            <w:r w:rsidRPr="00AA24BA">
              <w:rPr>
                <w:sz w:val="20"/>
                <w:szCs w:val="20"/>
              </w:rPr>
              <w:t>2</w:t>
            </w:r>
            <w:r w:rsidRPr="00AA24BA">
              <w:rPr>
                <w:sz w:val="20"/>
                <w:szCs w:val="20"/>
                <w:vertAlign w:val="superscript"/>
              </w:rPr>
              <w:t>nd</w:t>
            </w:r>
            <w:r w:rsidRPr="00AA24BA">
              <w:rPr>
                <w:sz w:val="20"/>
                <w:szCs w:val="20"/>
              </w:rPr>
              <w:t xml:space="preserve"> September 2015</w:t>
            </w:r>
          </w:p>
          <w:p w:rsidR="00FB20F9" w:rsidRPr="00AA24BA" w:rsidRDefault="0023793D" w:rsidP="0096145B">
            <w:pPr>
              <w:rPr>
                <w:rFonts w:cs="Arial"/>
                <w:b/>
                <w:sz w:val="20"/>
                <w:szCs w:val="20"/>
              </w:rPr>
            </w:pPr>
            <w:hyperlink r:id="rId10" w:history="1">
              <w:r w:rsidR="00FB20F9" w:rsidRPr="00AA24BA">
                <w:rPr>
                  <w:rStyle w:val="Hyperlink"/>
                  <w:sz w:val="20"/>
                  <w:szCs w:val="20"/>
                </w:rPr>
                <w:t>http://www.humanities.manchester.ac.uk/humnet/committees/humanities-teaching-and-learning-committee/intake-management-group/</w:t>
              </w:r>
            </w:hyperlink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837D65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B20F9" w:rsidTr="00687C5A">
        <w:tc>
          <w:tcPr>
            <w:tcW w:w="2235" w:type="dxa"/>
          </w:tcPr>
          <w:p w:rsidR="00FB20F9" w:rsidRPr="00AA24BA" w:rsidRDefault="00FB20F9" w:rsidP="00AA24BA">
            <w:pPr>
              <w:pStyle w:val="ListParagraph"/>
              <w:numPr>
                <w:ilvl w:val="0"/>
                <w:numId w:val="15"/>
              </w:numPr>
              <w:snapToGrid w:val="0"/>
              <w:rPr>
                <w:b/>
                <w:sz w:val="20"/>
                <w:szCs w:val="20"/>
              </w:rPr>
            </w:pPr>
            <w:r w:rsidRPr="00AA24BA">
              <w:rPr>
                <w:b/>
                <w:sz w:val="20"/>
                <w:szCs w:val="20"/>
              </w:rPr>
              <w:t>Date of next meeting</w:t>
            </w:r>
          </w:p>
          <w:p w:rsidR="00FB20F9" w:rsidRPr="00AA24BA" w:rsidRDefault="00FB20F9" w:rsidP="0096145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B20F9" w:rsidRPr="00AA24BA" w:rsidRDefault="00FB20F9" w:rsidP="0096145B">
            <w:pPr>
              <w:rPr>
                <w:rFonts w:cs="Arial"/>
                <w:b/>
                <w:sz w:val="20"/>
                <w:szCs w:val="20"/>
              </w:rPr>
            </w:pPr>
            <w:r w:rsidRPr="00AA24BA">
              <w:rPr>
                <w:sz w:val="20"/>
                <w:szCs w:val="20"/>
              </w:rPr>
              <w:t>Wednesday 11</w:t>
            </w:r>
            <w:r w:rsidRPr="00AA24BA">
              <w:rPr>
                <w:sz w:val="20"/>
                <w:szCs w:val="20"/>
                <w:vertAlign w:val="superscript"/>
              </w:rPr>
              <w:t>th</w:t>
            </w:r>
            <w:r w:rsidRPr="00AA24BA">
              <w:rPr>
                <w:sz w:val="20"/>
                <w:szCs w:val="20"/>
              </w:rPr>
              <w:t xml:space="preserve"> November, 2 – 4pm (venue </w:t>
            </w:r>
            <w:proofErr w:type="spellStart"/>
            <w:r w:rsidRPr="00AA24BA">
              <w:rPr>
                <w:sz w:val="20"/>
                <w:szCs w:val="20"/>
              </w:rPr>
              <w:t>t.b.c</w:t>
            </w:r>
            <w:proofErr w:type="spellEnd"/>
            <w:r w:rsidRPr="00AA24BA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FB20F9" w:rsidRPr="00AA24BA" w:rsidRDefault="00FB20F9" w:rsidP="000B37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37082" w:rsidRDefault="00337082" w:rsidP="000B37C1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B34C3A" w:rsidRPr="005E0844" w:rsidRDefault="00B34C3A" w:rsidP="00B34C3A">
      <w:pPr>
        <w:spacing w:after="0" w:line="240" w:lineRule="auto"/>
        <w:rPr>
          <w:b/>
          <w:sz w:val="18"/>
          <w:szCs w:val="18"/>
          <w:u w:val="single"/>
        </w:rPr>
      </w:pPr>
      <w:r w:rsidRPr="005E0844">
        <w:rPr>
          <w:b/>
          <w:sz w:val="18"/>
          <w:szCs w:val="18"/>
          <w:u w:val="single"/>
        </w:rPr>
        <w:t>Distribution: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Faculty Officers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Fiona Smyth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Associate Dean for Teaching, Learning &amp; Students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2160" w:hanging="216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Prof.</w:t>
      </w:r>
      <w:proofErr w:type="spellEnd"/>
      <w:r w:rsidRPr="005E0844">
        <w:rPr>
          <w:sz w:val="18"/>
          <w:szCs w:val="18"/>
        </w:rPr>
        <w:t xml:space="preserve"> Matthew Jefferies 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Assistant Associate Dean for Teaching, Learning &amp; Students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2160" w:hanging="216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Prof.</w:t>
      </w:r>
      <w:proofErr w:type="spellEnd"/>
      <w:r w:rsidRPr="005E0844">
        <w:rPr>
          <w:sz w:val="18"/>
          <w:szCs w:val="18"/>
        </w:rPr>
        <w:t xml:space="preserve"> Judy Zolkiewski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Assistant Associate Dean for Teaching, Learning &amp; Students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r w:rsidRPr="005E0844">
        <w:rPr>
          <w:sz w:val="18"/>
          <w:szCs w:val="18"/>
        </w:rPr>
        <w:t>Mrs. Lisa McAleese</w:t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Teaching and Learning Manager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r w:rsidRPr="005E0844">
        <w:rPr>
          <w:sz w:val="18"/>
          <w:szCs w:val="18"/>
        </w:rPr>
        <w:t>Mrs. Emma Rose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Head of Faculty Teaching and Learning Support Services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Manchester Business School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Prof.</w:t>
      </w:r>
      <w:proofErr w:type="spellEnd"/>
      <w:r w:rsidRPr="005E0844">
        <w:rPr>
          <w:sz w:val="18"/>
          <w:szCs w:val="18"/>
        </w:rPr>
        <w:t xml:space="preserve"> Sharon Clarke</w:t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Director of Teaching &amp; Learning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of Environment, Education and Development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Mark Baker </w:t>
      </w:r>
      <w:r w:rsidRPr="005E0844">
        <w:rPr>
          <w:sz w:val="18"/>
          <w:szCs w:val="18"/>
        </w:rPr>
        <w:tab/>
        <w:t xml:space="preserve"> </w:t>
      </w:r>
      <w:r w:rsidRPr="005E0844">
        <w:rPr>
          <w:sz w:val="18"/>
          <w:szCs w:val="18"/>
        </w:rPr>
        <w:tab/>
        <w:t>Director of Teaching and Learning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of Arts, Languages and Cultures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James Garratt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Director of Undergraduate Education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Abigail Gilmore</w:t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Director of Graduate Education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of Law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Prof.</w:t>
      </w:r>
      <w:proofErr w:type="spellEnd"/>
      <w:r w:rsidRPr="005E0844">
        <w:rPr>
          <w:sz w:val="18"/>
          <w:szCs w:val="18"/>
        </w:rPr>
        <w:t xml:space="preserve"> Rebecca Bennett</w:t>
      </w:r>
      <w:r w:rsidRPr="005E0844">
        <w:rPr>
          <w:sz w:val="18"/>
          <w:szCs w:val="18"/>
        </w:rPr>
        <w:tab/>
        <w:t>Director of Teaching and Learning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of Social Sciences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Veronique Pin-Fat</w:t>
      </w:r>
      <w:r w:rsidRPr="005E0844">
        <w:rPr>
          <w:sz w:val="18"/>
          <w:szCs w:val="18"/>
        </w:rPr>
        <w:tab/>
        <w:t>Director of Undergraduate Studies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Mark Elliot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Director of Postgraduate Studies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  <w:u w:val="single"/>
        </w:rPr>
      </w:pP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Student representation (nominated by the Students' Union)</w:t>
      </w: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</w:rPr>
      </w:pPr>
      <w:r w:rsidRPr="005E0844">
        <w:rPr>
          <w:sz w:val="18"/>
          <w:szCs w:val="18"/>
        </w:rPr>
        <w:t>Harriet Pugh</w:t>
      </w:r>
      <w:r w:rsidRPr="005E0844">
        <w:rPr>
          <w:sz w:val="18"/>
          <w:szCs w:val="18"/>
        </w:rPr>
        <w:tab/>
        <w:t>Education Officer</w:t>
      </w: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</w:rPr>
      </w:pPr>
      <w:r w:rsidRPr="005E0844">
        <w:rPr>
          <w:sz w:val="18"/>
          <w:szCs w:val="18"/>
        </w:rPr>
        <w:t>Cameron Austin</w:t>
      </w:r>
      <w:r w:rsidRPr="005E0844">
        <w:rPr>
          <w:sz w:val="18"/>
          <w:szCs w:val="18"/>
        </w:rPr>
        <w:tab/>
        <w:t>Humanities UG Representative</w:t>
      </w: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</w:rPr>
      </w:pPr>
      <w:r w:rsidRPr="005E0844">
        <w:rPr>
          <w:sz w:val="18"/>
          <w:szCs w:val="18"/>
        </w:rPr>
        <w:t>Michael Spence</w:t>
      </w:r>
      <w:r w:rsidRPr="005E0844">
        <w:rPr>
          <w:sz w:val="18"/>
          <w:szCs w:val="18"/>
        </w:rPr>
        <w:tab/>
        <w:t>Humanities UG Representative</w:t>
      </w: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</w:rPr>
      </w:pPr>
      <w:r w:rsidRPr="005E0844">
        <w:rPr>
          <w:sz w:val="18"/>
          <w:szCs w:val="18"/>
        </w:rPr>
        <w:t>Thom Elliot</w:t>
      </w:r>
      <w:r w:rsidRPr="005E0844">
        <w:rPr>
          <w:sz w:val="18"/>
          <w:szCs w:val="18"/>
        </w:rPr>
        <w:tab/>
        <w:t>Humanities PGT Representative</w:t>
      </w:r>
    </w:p>
    <w:p w:rsidR="00B34C3A" w:rsidRPr="005E0844" w:rsidRDefault="00B34C3A" w:rsidP="00B34C3A">
      <w:pPr>
        <w:spacing w:after="0" w:line="240" w:lineRule="auto"/>
        <w:ind w:left="3600" w:hanging="3600"/>
        <w:rPr>
          <w:sz w:val="18"/>
          <w:szCs w:val="18"/>
        </w:rPr>
      </w:pPr>
    </w:p>
    <w:p w:rsidR="00B34C3A" w:rsidRPr="005E0844" w:rsidRDefault="00B34C3A" w:rsidP="00B34C3A">
      <w:pPr>
        <w:spacing w:after="0" w:line="240" w:lineRule="auto"/>
        <w:rPr>
          <w:b/>
          <w:bCs/>
          <w:sz w:val="18"/>
          <w:szCs w:val="18"/>
        </w:rPr>
      </w:pPr>
      <w:r w:rsidRPr="005E0844">
        <w:rPr>
          <w:b/>
          <w:bCs/>
          <w:sz w:val="18"/>
          <w:szCs w:val="18"/>
        </w:rPr>
        <w:t>Ex-officio members: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Ilias Petrounias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MBS Director of Undergraduate Studies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Elinor O’Connor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MBS Director of Postgraduate Studies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r w:rsidRPr="005E0844">
        <w:rPr>
          <w:sz w:val="18"/>
          <w:szCs w:val="18"/>
        </w:rPr>
        <w:lastRenderedPageBreak/>
        <w:t>Ms. Norma Hird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School of Law Undergraduate Studies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Dr.</w:t>
      </w:r>
      <w:proofErr w:type="spellEnd"/>
      <w:r w:rsidRPr="005E0844">
        <w:rPr>
          <w:sz w:val="18"/>
          <w:szCs w:val="18"/>
        </w:rPr>
        <w:t xml:space="preserve"> Jackson Maogoto</w:t>
      </w:r>
      <w:r w:rsidRPr="005E0844">
        <w:rPr>
          <w:sz w:val="18"/>
          <w:szCs w:val="18"/>
        </w:rPr>
        <w:tab/>
        <w:t>School of Law Postgraduate Taught Studies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proofErr w:type="spellStart"/>
      <w:r w:rsidRPr="005E0844">
        <w:rPr>
          <w:sz w:val="18"/>
          <w:szCs w:val="18"/>
        </w:rPr>
        <w:t>Prof.</w:t>
      </w:r>
      <w:proofErr w:type="spellEnd"/>
      <w:r w:rsidRPr="005E0844">
        <w:rPr>
          <w:sz w:val="18"/>
          <w:szCs w:val="18"/>
        </w:rPr>
        <w:t xml:space="preserve"> Elaine Ferneley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MBA and MPA Director, MBS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r w:rsidRPr="005E0844">
        <w:rPr>
          <w:sz w:val="18"/>
          <w:szCs w:val="18"/>
        </w:rPr>
        <w:t>Mrs. Nicola Lord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 xml:space="preserve">Faculty Teaching and Learning Officer 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1440" w:hanging="1440"/>
        <w:rPr>
          <w:sz w:val="18"/>
          <w:szCs w:val="18"/>
        </w:rPr>
      </w:pPr>
      <w:r w:rsidRPr="005E0844">
        <w:rPr>
          <w:sz w:val="18"/>
          <w:szCs w:val="18"/>
        </w:rPr>
        <w:t>Ms. Emma Sanders</w:t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844">
        <w:rPr>
          <w:sz w:val="18"/>
          <w:szCs w:val="18"/>
        </w:rPr>
        <w:t>Faculty Teaching and Learning Officer (Secretary)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Ms. Rachel Walton</w:t>
      </w:r>
      <w:r w:rsidRPr="005E0844">
        <w:rPr>
          <w:sz w:val="18"/>
          <w:szCs w:val="18"/>
        </w:rPr>
        <w:tab/>
        <w:t xml:space="preserve">Faculty Teaching and Learning Officer 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Ms. Anna Verges-Bausili</w:t>
      </w:r>
      <w:r w:rsidRPr="005E0844">
        <w:rPr>
          <w:sz w:val="18"/>
          <w:szCs w:val="18"/>
        </w:rPr>
        <w:tab/>
        <w:t>Faculty eLearning Manager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Guy Percival</w:t>
      </w:r>
      <w:r w:rsidRPr="005E0844">
        <w:rPr>
          <w:sz w:val="18"/>
          <w:szCs w:val="18"/>
        </w:rPr>
        <w:tab/>
        <w:t>Head of Faculty IS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Mrs. Katy Woolfenden</w:t>
      </w:r>
      <w:r w:rsidRPr="005E0844">
        <w:rPr>
          <w:sz w:val="18"/>
          <w:szCs w:val="18"/>
        </w:rPr>
        <w:tab/>
        <w:t>Library, Director of Teaching, Learning &amp; Students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proofErr w:type="spellStart"/>
      <w:proofErr w:type="gramStart"/>
      <w:r w:rsidRPr="005E0844">
        <w:rPr>
          <w:sz w:val="18"/>
          <w:szCs w:val="18"/>
        </w:rPr>
        <w:t>t.b.c</w:t>
      </w:r>
      <w:proofErr w:type="spellEnd"/>
      <w:r w:rsidRPr="005E0844">
        <w:rPr>
          <w:sz w:val="18"/>
          <w:szCs w:val="18"/>
        </w:rPr>
        <w:t>.</w:t>
      </w:r>
      <w:proofErr w:type="gramEnd"/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>Associate Dean for External Relations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b/>
          <w:bCs/>
          <w:sz w:val="18"/>
          <w:szCs w:val="18"/>
        </w:rPr>
      </w:pPr>
      <w:r w:rsidRPr="005E0844">
        <w:rPr>
          <w:b/>
          <w:bCs/>
          <w:sz w:val="18"/>
          <w:szCs w:val="18"/>
        </w:rPr>
        <w:t xml:space="preserve">By invitation: 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3686" w:hanging="3686"/>
        <w:rPr>
          <w:sz w:val="18"/>
          <w:szCs w:val="18"/>
        </w:rPr>
      </w:pPr>
      <w:r w:rsidRPr="005E0844">
        <w:rPr>
          <w:sz w:val="18"/>
          <w:szCs w:val="18"/>
        </w:rPr>
        <w:t>Louise Walmsley</w:t>
      </w:r>
      <w:r w:rsidRPr="005E0844">
        <w:rPr>
          <w:sz w:val="18"/>
          <w:szCs w:val="18"/>
        </w:rPr>
        <w:tab/>
        <w:t>Head of the Teaching and Learning Support Office (TLSO)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Amanda Grimshaw</w:t>
      </w:r>
      <w:r w:rsidRPr="005E0844">
        <w:rPr>
          <w:sz w:val="18"/>
          <w:szCs w:val="18"/>
        </w:rPr>
        <w:tab/>
        <w:t>Faculty Lead for Recruitment and Admissions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4290" w:hanging="4290"/>
        <w:rPr>
          <w:sz w:val="18"/>
          <w:szCs w:val="18"/>
        </w:rPr>
      </w:pPr>
      <w:r w:rsidRPr="005E0844">
        <w:rPr>
          <w:sz w:val="18"/>
          <w:szCs w:val="18"/>
        </w:rPr>
        <w:t>Michelle Harper</w:t>
      </w:r>
      <w:r w:rsidRPr="005E0844">
        <w:rPr>
          <w:sz w:val="18"/>
          <w:szCs w:val="18"/>
        </w:rPr>
        <w:tab/>
        <w:t>Faculty Estates Officer</w:t>
      </w:r>
    </w:p>
    <w:p w:rsidR="00B34C3A" w:rsidRPr="005E0844" w:rsidRDefault="00B34C3A" w:rsidP="00B34C3A">
      <w:pPr>
        <w:tabs>
          <w:tab w:val="left" w:pos="720"/>
          <w:tab w:val="left" w:pos="3600"/>
        </w:tabs>
        <w:spacing w:after="0" w:line="240" w:lineRule="auto"/>
        <w:ind w:left="3600" w:hanging="3600"/>
        <w:rPr>
          <w:sz w:val="18"/>
          <w:szCs w:val="18"/>
        </w:rPr>
      </w:pPr>
      <w:r w:rsidRPr="005E0844">
        <w:rPr>
          <w:sz w:val="18"/>
          <w:szCs w:val="18"/>
        </w:rPr>
        <w:t>Jane Hallam</w:t>
      </w:r>
      <w:r w:rsidRPr="005E0844">
        <w:rPr>
          <w:sz w:val="18"/>
          <w:szCs w:val="18"/>
        </w:rPr>
        <w:tab/>
        <w:t>Faculty Planning Officer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Felicity Wicks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>
        <w:rPr>
          <w:sz w:val="18"/>
          <w:szCs w:val="18"/>
        </w:rPr>
        <w:t xml:space="preserve">Acting </w:t>
      </w:r>
      <w:r w:rsidRPr="005E0844">
        <w:rPr>
          <w:sz w:val="18"/>
          <w:szCs w:val="18"/>
        </w:rPr>
        <w:t>Faculty Marketing Manager (Student Recruitment)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r w:rsidRPr="005E0844">
        <w:rPr>
          <w:sz w:val="18"/>
          <w:szCs w:val="18"/>
        </w:rPr>
        <w:t>Marie Gray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  <w:t xml:space="preserve">Faculty Communications Officer 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</w:p>
    <w:p w:rsidR="00B34C3A" w:rsidRPr="005E0844" w:rsidRDefault="00B34C3A" w:rsidP="00B34C3A">
      <w:pPr>
        <w:spacing w:after="0" w:line="240" w:lineRule="auto"/>
        <w:rPr>
          <w:b/>
          <w:sz w:val="18"/>
          <w:szCs w:val="18"/>
          <w:u w:val="single"/>
        </w:rPr>
      </w:pPr>
      <w:r w:rsidRPr="005E0844">
        <w:rPr>
          <w:b/>
          <w:sz w:val="18"/>
          <w:szCs w:val="18"/>
          <w:u w:val="single"/>
        </w:rPr>
        <w:t>For information to: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</w:p>
    <w:p w:rsidR="00B34C3A" w:rsidRPr="005E0844" w:rsidRDefault="00B34C3A" w:rsidP="00B34C3A">
      <w:pPr>
        <w:spacing w:after="0" w:line="240" w:lineRule="auto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Heads of School Administration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bookmarkStart w:id="1" w:name="OLE_LINK2"/>
      <w:bookmarkStart w:id="2" w:name="OLE_LINK1"/>
      <w:r w:rsidRPr="005E0844">
        <w:rPr>
          <w:sz w:val="18"/>
          <w:szCs w:val="18"/>
        </w:rPr>
        <w:tab/>
        <w:t>Jayne Hindle – SALC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r w:rsidRPr="005E0844">
        <w:rPr>
          <w:sz w:val="18"/>
          <w:szCs w:val="18"/>
        </w:rPr>
        <w:tab/>
        <w:t>Alison Wilson – School of Law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Janine Ellis - MBS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Catherine Tansey – </w:t>
      </w:r>
      <w:proofErr w:type="spellStart"/>
      <w:r w:rsidRPr="005E0844">
        <w:rPr>
          <w:sz w:val="18"/>
          <w:szCs w:val="18"/>
        </w:rPr>
        <w:t>SoSS</w:t>
      </w:r>
      <w:proofErr w:type="spellEnd"/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(</w:t>
      </w:r>
      <w:r w:rsidRPr="005E0844">
        <w:rPr>
          <w:b/>
          <w:sz w:val="18"/>
          <w:szCs w:val="18"/>
        </w:rPr>
        <w:t xml:space="preserve">Not </w:t>
      </w:r>
      <w:r w:rsidRPr="005E0844">
        <w:rPr>
          <w:sz w:val="18"/>
          <w:szCs w:val="18"/>
        </w:rPr>
        <w:t>Rosie Williams, by request) - SEED</w:t>
      </w:r>
    </w:p>
    <w:bookmarkEnd w:id="1"/>
    <w:bookmarkEnd w:id="2"/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  <w:r w:rsidRPr="005E0844">
        <w:rPr>
          <w:sz w:val="18"/>
          <w:szCs w:val="18"/>
        </w:rPr>
        <w:tab/>
        <w:t xml:space="preserve"> </w:t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Teaching and Learning Managers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Abi Robinson - Law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Amanda Brereton (UG) - </w:t>
      </w:r>
      <w:proofErr w:type="spellStart"/>
      <w:r w:rsidRPr="005E0844">
        <w:rPr>
          <w:sz w:val="18"/>
          <w:szCs w:val="18"/>
        </w:rPr>
        <w:t>SoSS</w:t>
      </w:r>
      <w:proofErr w:type="spellEnd"/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Bernadette O'Connor (PGT) - </w:t>
      </w:r>
      <w:proofErr w:type="spellStart"/>
      <w:r w:rsidRPr="005E0844">
        <w:rPr>
          <w:sz w:val="18"/>
          <w:szCs w:val="18"/>
        </w:rPr>
        <w:t>SoSS</w:t>
      </w:r>
      <w:proofErr w:type="spellEnd"/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James Walker - SEED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Janice Dodds (Student Support) - SEED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Elizabeth Nolan - SALC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Fiona Fraser – SALC UG 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Kevin Little – SALC PGT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Ashton Bamfield – SALC (Collaborative Partnership Administrative Officer) 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Sarah Featherstone (UG) – MBS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Alison Walker-Twiste – MBS Head of Graduate Services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Hilary Garraway (PGT) – MBS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Jane Crombleholme – MBS Executive Education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</w:p>
    <w:p w:rsidR="00B34C3A" w:rsidRPr="005E0844" w:rsidRDefault="00B34C3A" w:rsidP="00B34C3A">
      <w:pPr>
        <w:spacing w:after="0" w:line="240" w:lineRule="auto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School eLearning Leads</w:t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Neil Cobb - Law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Karen Niven - MBS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Liam Harte - SALC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>Gary Motteram - SEED</w:t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spacing w:after="0" w:line="240" w:lineRule="auto"/>
        <w:ind w:firstLine="720"/>
        <w:rPr>
          <w:sz w:val="18"/>
          <w:szCs w:val="18"/>
        </w:rPr>
      </w:pPr>
      <w:r w:rsidRPr="005E0844">
        <w:rPr>
          <w:sz w:val="18"/>
          <w:szCs w:val="18"/>
        </w:rPr>
        <w:t xml:space="preserve">Dan Rigby - </w:t>
      </w:r>
      <w:proofErr w:type="spellStart"/>
      <w:r w:rsidRPr="005E0844">
        <w:rPr>
          <w:sz w:val="18"/>
          <w:szCs w:val="18"/>
        </w:rPr>
        <w:t>SoSS</w:t>
      </w:r>
      <w:proofErr w:type="spellEnd"/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  <w:r w:rsidRPr="005E0844">
        <w:rPr>
          <w:sz w:val="18"/>
          <w:szCs w:val="18"/>
        </w:rPr>
        <w:tab/>
      </w:r>
    </w:p>
    <w:p w:rsidR="00B34C3A" w:rsidRPr="005E0844" w:rsidRDefault="00B34C3A" w:rsidP="00B34C3A">
      <w:pPr>
        <w:spacing w:after="0" w:line="240" w:lineRule="auto"/>
        <w:rPr>
          <w:sz w:val="18"/>
          <w:szCs w:val="18"/>
          <w:u w:val="single"/>
        </w:rPr>
      </w:pPr>
    </w:p>
    <w:p w:rsidR="00B34C3A" w:rsidRPr="005E0844" w:rsidRDefault="00B34C3A" w:rsidP="00B34C3A">
      <w:pPr>
        <w:spacing w:after="0" w:line="240" w:lineRule="auto"/>
        <w:rPr>
          <w:sz w:val="18"/>
          <w:szCs w:val="18"/>
          <w:u w:val="single"/>
        </w:rPr>
      </w:pPr>
      <w:r w:rsidRPr="005E0844">
        <w:rPr>
          <w:sz w:val="18"/>
          <w:szCs w:val="18"/>
          <w:u w:val="single"/>
        </w:rPr>
        <w:t>Employability Leads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>Dinah Crystal – Law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>Penny Clarke – MBS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>Lindy Crewe – SALC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>Craig Blyth – SEED (MIE)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>Jennifer O’Brien – SEED (Geography)</w:t>
      </w:r>
    </w:p>
    <w:p w:rsidR="00B34C3A" w:rsidRPr="005E0844" w:rsidRDefault="00B34C3A" w:rsidP="00B34C3A">
      <w:pPr>
        <w:spacing w:after="0" w:line="240" w:lineRule="auto"/>
        <w:ind w:left="720"/>
        <w:rPr>
          <w:sz w:val="18"/>
          <w:szCs w:val="18"/>
        </w:rPr>
      </w:pPr>
      <w:r w:rsidRPr="005E0844">
        <w:rPr>
          <w:sz w:val="18"/>
          <w:szCs w:val="18"/>
        </w:rPr>
        <w:t xml:space="preserve">Veronique Pin-Fat – </w:t>
      </w:r>
      <w:proofErr w:type="spellStart"/>
      <w:r w:rsidRPr="005E0844">
        <w:rPr>
          <w:sz w:val="18"/>
          <w:szCs w:val="18"/>
        </w:rPr>
        <w:t>SoSS</w:t>
      </w:r>
      <w:proofErr w:type="spellEnd"/>
    </w:p>
    <w:p w:rsidR="00B34C3A" w:rsidRPr="005E0844" w:rsidRDefault="00B34C3A" w:rsidP="00B34C3A">
      <w:pPr>
        <w:spacing w:after="0" w:line="240" w:lineRule="auto"/>
        <w:rPr>
          <w:sz w:val="18"/>
          <w:szCs w:val="18"/>
        </w:rPr>
      </w:pPr>
    </w:p>
    <w:p w:rsidR="00B34C3A" w:rsidRPr="005E0844" w:rsidRDefault="00B34C3A" w:rsidP="00B34C3A">
      <w:pPr>
        <w:spacing w:after="0" w:line="240" w:lineRule="auto"/>
        <w:ind w:firstLine="720"/>
      </w:pPr>
    </w:p>
    <w:p w:rsidR="00B34C3A" w:rsidRPr="005E0844" w:rsidRDefault="00B34C3A" w:rsidP="00B34C3A">
      <w:pPr>
        <w:spacing w:after="0" w:line="240" w:lineRule="auto"/>
        <w:ind w:firstLine="720"/>
      </w:pPr>
    </w:p>
    <w:p w:rsidR="00B34C3A" w:rsidRPr="005E0844" w:rsidRDefault="00B34C3A" w:rsidP="00B34C3A">
      <w:pPr>
        <w:spacing w:after="0" w:line="240" w:lineRule="auto"/>
      </w:pPr>
    </w:p>
    <w:p w:rsidR="00B34C3A" w:rsidRDefault="00B34C3A" w:rsidP="00B34C3A">
      <w:pPr>
        <w:spacing w:after="0" w:line="240" w:lineRule="auto"/>
      </w:pPr>
    </w:p>
    <w:p w:rsidR="00B34C3A" w:rsidRDefault="00B34C3A" w:rsidP="00B34C3A">
      <w:pPr>
        <w:spacing w:after="0" w:line="240" w:lineRule="auto"/>
      </w:pPr>
    </w:p>
    <w:p w:rsidR="00EB0A39" w:rsidRPr="00885E63" w:rsidRDefault="00EB0A39" w:rsidP="00A774BD">
      <w:pPr>
        <w:pStyle w:val="ListParagraph"/>
        <w:spacing w:after="0" w:line="240" w:lineRule="auto"/>
        <w:rPr>
          <w:rFonts w:cs="Arial"/>
          <w:b/>
          <w:sz w:val="21"/>
          <w:szCs w:val="21"/>
        </w:rPr>
      </w:pPr>
    </w:p>
    <w:sectPr w:rsidR="00EB0A39" w:rsidRPr="00885E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A8" w:rsidRDefault="00F91BA8" w:rsidP="00562C26">
      <w:pPr>
        <w:spacing w:after="0" w:line="240" w:lineRule="auto"/>
      </w:pPr>
      <w:r>
        <w:separator/>
      </w:r>
    </w:p>
  </w:endnote>
  <w:endnote w:type="continuationSeparator" w:id="0">
    <w:p w:rsidR="00F91BA8" w:rsidRDefault="00F91BA8" w:rsidP="0056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A8" w:rsidRDefault="00F91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24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A8" w:rsidRDefault="00F91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BA8" w:rsidRDefault="00F91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A8" w:rsidRDefault="00F9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A8" w:rsidRDefault="00F91BA8" w:rsidP="00562C26">
      <w:pPr>
        <w:spacing w:after="0" w:line="240" w:lineRule="auto"/>
      </w:pPr>
      <w:r>
        <w:separator/>
      </w:r>
    </w:p>
  </w:footnote>
  <w:footnote w:type="continuationSeparator" w:id="0">
    <w:p w:rsidR="00F91BA8" w:rsidRDefault="00F91BA8" w:rsidP="0056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A8" w:rsidRDefault="00F9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A8" w:rsidRDefault="00F9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A8" w:rsidRDefault="00F9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20"/>
    <w:multiLevelType w:val="hybridMultilevel"/>
    <w:tmpl w:val="2340D6FE"/>
    <w:lvl w:ilvl="0" w:tplc="48E045DA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1138F"/>
    <w:multiLevelType w:val="multilevel"/>
    <w:tmpl w:val="329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64342"/>
    <w:multiLevelType w:val="hybridMultilevel"/>
    <w:tmpl w:val="D57C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34C5"/>
    <w:multiLevelType w:val="hybridMultilevel"/>
    <w:tmpl w:val="3FB46AA2"/>
    <w:lvl w:ilvl="0" w:tplc="9F74AF7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91F"/>
    <w:multiLevelType w:val="hybridMultilevel"/>
    <w:tmpl w:val="DC647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129E"/>
    <w:multiLevelType w:val="hybridMultilevel"/>
    <w:tmpl w:val="FA70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FB9"/>
    <w:multiLevelType w:val="multilevel"/>
    <w:tmpl w:val="B1B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3E9B"/>
    <w:multiLevelType w:val="hybridMultilevel"/>
    <w:tmpl w:val="9648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849"/>
    <w:multiLevelType w:val="hybridMultilevel"/>
    <w:tmpl w:val="BC52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27C9"/>
    <w:multiLevelType w:val="hybridMultilevel"/>
    <w:tmpl w:val="0C2E97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1478C"/>
    <w:multiLevelType w:val="hybridMultilevel"/>
    <w:tmpl w:val="C2E0BF20"/>
    <w:lvl w:ilvl="0" w:tplc="6F3CB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0AAA"/>
    <w:multiLevelType w:val="hybridMultilevel"/>
    <w:tmpl w:val="145C8DB8"/>
    <w:lvl w:ilvl="0" w:tplc="AB848D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3F8D"/>
    <w:multiLevelType w:val="hybridMultilevel"/>
    <w:tmpl w:val="7D00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D077B"/>
    <w:multiLevelType w:val="hybridMultilevel"/>
    <w:tmpl w:val="35381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45AA"/>
    <w:multiLevelType w:val="hybridMultilevel"/>
    <w:tmpl w:val="8362A6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51789"/>
    <w:multiLevelType w:val="hybridMultilevel"/>
    <w:tmpl w:val="772E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C5F39"/>
    <w:multiLevelType w:val="hybridMultilevel"/>
    <w:tmpl w:val="9822B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3109D"/>
    <w:multiLevelType w:val="hybridMultilevel"/>
    <w:tmpl w:val="2622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11054"/>
    <w:multiLevelType w:val="multilevel"/>
    <w:tmpl w:val="3FC0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7430E2"/>
    <w:multiLevelType w:val="hybridMultilevel"/>
    <w:tmpl w:val="F0E4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6860"/>
    <w:multiLevelType w:val="multilevel"/>
    <w:tmpl w:val="4ED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11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21">
    <w:nsid w:val="62BB7D2C"/>
    <w:multiLevelType w:val="hybridMultilevel"/>
    <w:tmpl w:val="8CEA6B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E32E2"/>
    <w:multiLevelType w:val="hybridMultilevel"/>
    <w:tmpl w:val="A6660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24A93"/>
    <w:multiLevelType w:val="multilevel"/>
    <w:tmpl w:val="62AE4CE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4">
    <w:nsid w:val="6E016A09"/>
    <w:multiLevelType w:val="hybridMultilevel"/>
    <w:tmpl w:val="78BC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853A2"/>
    <w:multiLevelType w:val="hybridMultilevel"/>
    <w:tmpl w:val="693A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61362"/>
    <w:multiLevelType w:val="hybridMultilevel"/>
    <w:tmpl w:val="2A30EFCA"/>
    <w:lvl w:ilvl="0" w:tplc="F578AF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F4235"/>
    <w:multiLevelType w:val="multilevel"/>
    <w:tmpl w:val="79F89816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8">
    <w:nsid w:val="754E74D4"/>
    <w:multiLevelType w:val="hybridMultilevel"/>
    <w:tmpl w:val="63AE6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93EC6"/>
    <w:multiLevelType w:val="hybridMultilevel"/>
    <w:tmpl w:val="061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16"/>
  </w:num>
  <w:num w:numId="5">
    <w:abstractNumId w:val="23"/>
  </w:num>
  <w:num w:numId="6">
    <w:abstractNumId w:val="9"/>
  </w:num>
  <w:num w:numId="7">
    <w:abstractNumId w:val="25"/>
  </w:num>
  <w:num w:numId="8">
    <w:abstractNumId w:val="0"/>
  </w:num>
  <w:num w:numId="9">
    <w:abstractNumId w:val="26"/>
  </w:num>
  <w:num w:numId="10">
    <w:abstractNumId w:val="17"/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10"/>
  </w:num>
  <w:num w:numId="21">
    <w:abstractNumId w:val="3"/>
  </w:num>
  <w:num w:numId="22">
    <w:abstractNumId w:val="5"/>
  </w:num>
  <w:num w:numId="23">
    <w:abstractNumId w:val="28"/>
  </w:num>
  <w:num w:numId="24">
    <w:abstractNumId w:val="12"/>
  </w:num>
  <w:num w:numId="25">
    <w:abstractNumId w:val="11"/>
  </w:num>
  <w:num w:numId="26">
    <w:abstractNumId w:val="6"/>
  </w:num>
  <w:num w:numId="27">
    <w:abstractNumId w:val="2"/>
  </w:num>
  <w:num w:numId="28">
    <w:abstractNumId w:val="14"/>
  </w:num>
  <w:num w:numId="29">
    <w:abstractNumId w:val="19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8"/>
    <w:rsid w:val="00000CDE"/>
    <w:rsid w:val="00014511"/>
    <w:rsid w:val="000226C2"/>
    <w:rsid w:val="000239CE"/>
    <w:rsid w:val="000240A6"/>
    <w:rsid w:val="00030BC6"/>
    <w:rsid w:val="000321F4"/>
    <w:rsid w:val="00034377"/>
    <w:rsid w:val="00037521"/>
    <w:rsid w:val="00041D43"/>
    <w:rsid w:val="000424BE"/>
    <w:rsid w:val="00046D98"/>
    <w:rsid w:val="000527FD"/>
    <w:rsid w:val="000609C5"/>
    <w:rsid w:val="000629B9"/>
    <w:rsid w:val="000646C4"/>
    <w:rsid w:val="00067AB0"/>
    <w:rsid w:val="000755BE"/>
    <w:rsid w:val="0008213F"/>
    <w:rsid w:val="000829E4"/>
    <w:rsid w:val="0008396E"/>
    <w:rsid w:val="000844DA"/>
    <w:rsid w:val="00084B69"/>
    <w:rsid w:val="00092EB8"/>
    <w:rsid w:val="00094881"/>
    <w:rsid w:val="000A4F7E"/>
    <w:rsid w:val="000A6E79"/>
    <w:rsid w:val="000A6FC8"/>
    <w:rsid w:val="000B37C1"/>
    <w:rsid w:val="000C0913"/>
    <w:rsid w:val="000C439C"/>
    <w:rsid w:val="000C6E13"/>
    <w:rsid w:val="000D357F"/>
    <w:rsid w:val="000E178E"/>
    <w:rsid w:val="000E605B"/>
    <w:rsid w:val="000F42CB"/>
    <w:rsid w:val="00106020"/>
    <w:rsid w:val="00114494"/>
    <w:rsid w:val="001154BF"/>
    <w:rsid w:val="0011704C"/>
    <w:rsid w:val="00120786"/>
    <w:rsid w:val="001234FA"/>
    <w:rsid w:val="00126A90"/>
    <w:rsid w:val="00134D44"/>
    <w:rsid w:val="00135E30"/>
    <w:rsid w:val="001412A0"/>
    <w:rsid w:val="001479BD"/>
    <w:rsid w:val="001514D8"/>
    <w:rsid w:val="001574F2"/>
    <w:rsid w:val="0016686B"/>
    <w:rsid w:val="00167623"/>
    <w:rsid w:val="00170341"/>
    <w:rsid w:val="00174C6D"/>
    <w:rsid w:val="00175613"/>
    <w:rsid w:val="001802DB"/>
    <w:rsid w:val="001914F7"/>
    <w:rsid w:val="001934E5"/>
    <w:rsid w:val="0019389C"/>
    <w:rsid w:val="00194FA9"/>
    <w:rsid w:val="0019685B"/>
    <w:rsid w:val="001A7DEA"/>
    <w:rsid w:val="001B3ABF"/>
    <w:rsid w:val="001B77AE"/>
    <w:rsid w:val="001C3D0D"/>
    <w:rsid w:val="001C5746"/>
    <w:rsid w:val="001D3381"/>
    <w:rsid w:val="001D7AEC"/>
    <w:rsid w:val="001E0975"/>
    <w:rsid w:val="001E0B44"/>
    <w:rsid w:val="001E21A1"/>
    <w:rsid w:val="001F3C6F"/>
    <w:rsid w:val="001F4110"/>
    <w:rsid w:val="00200EC6"/>
    <w:rsid w:val="0020398F"/>
    <w:rsid w:val="002059E7"/>
    <w:rsid w:val="00206C46"/>
    <w:rsid w:val="00211DE7"/>
    <w:rsid w:val="0021343F"/>
    <w:rsid w:val="00213AF8"/>
    <w:rsid w:val="00213D18"/>
    <w:rsid w:val="002148CA"/>
    <w:rsid w:val="002269E9"/>
    <w:rsid w:val="00227851"/>
    <w:rsid w:val="00234F3E"/>
    <w:rsid w:val="002369F9"/>
    <w:rsid w:val="0023793D"/>
    <w:rsid w:val="002417FA"/>
    <w:rsid w:val="0024606A"/>
    <w:rsid w:val="00250553"/>
    <w:rsid w:val="00260B9D"/>
    <w:rsid w:val="002622BD"/>
    <w:rsid w:val="0026364D"/>
    <w:rsid w:val="00266371"/>
    <w:rsid w:val="00277F27"/>
    <w:rsid w:val="00282B0C"/>
    <w:rsid w:val="00286CA2"/>
    <w:rsid w:val="00287770"/>
    <w:rsid w:val="00296F30"/>
    <w:rsid w:val="00297D3E"/>
    <w:rsid w:val="002A10EF"/>
    <w:rsid w:val="002B5750"/>
    <w:rsid w:val="002C1A1D"/>
    <w:rsid w:val="002C34F8"/>
    <w:rsid w:val="002C7DA1"/>
    <w:rsid w:val="002D0DF5"/>
    <w:rsid w:val="002D1868"/>
    <w:rsid w:val="002D2D58"/>
    <w:rsid w:val="002D386E"/>
    <w:rsid w:val="002E05EC"/>
    <w:rsid w:val="002E33C1"/>
    <w:rsid w:val="002F0356"/>
    <w:rsid w:val="002F2B94"/>
    <w:rsid w:val="002F6AEE"/>
    <w:rsid w:val="002F7EB1"/>
    <w:rsid w:val="003019AF"/>
    <w:rsid w:val="00306348"/>
    <w:rsid w:val="00307604"/>
    <w:rsid w:val="00314070"/>
    <w:rsid w:val="00320CFC"/>
    <w:rsid w:val="003333D4"/>
    <w:rsid w:val="00335A39"/>
    <w:rsid w:val="00335B9A"/>
    <w:rsid w:val="00337082"/>
    <w:rsid w:val="003376A7"/>
    <w:rsid w:val="0034279F"/>
    <w:rsid w:val="0034686F"/>
    <w:rsid w:val="003526C1"/>
    <w:rsid w:val="003528D8"/>
    <w:rsid w:val="00360CF1"/>
    <w:rsid w:val="00361DE6"/>
    <w:rsid w:val="00362C89"/>
    <w:rsid w:val="00366655"/>
    <w:rsid w:val="00370ABD"/>
    <w:rsid w:val="00370B16"/>
    <w:rsid w:val="00373D3D"/>
    <w:rsid w:val="0037470F"/>
    <w:rsid w:val="00376E05"/>
    <w:rsid w:val="003771CE"/>
    <w:rsid w:val="00380933"/>
    <w:rsid w:val="00387FA9"/>
    <w:rsid w:val="003906B2"/>
    <w:rsid w:val="00393765"/>
    <w:rsid w:val="003A1349"/>
    <w:rsid w:val="003A1EC3"/>
    <w:rsid w:val="003A525A"/>
    <w:rsid w:val="003A547B"/>
    <w:rsid w:val="003B1254"/>
    <w:rsid w:val="003C0A65"/>
    <w:rsid w:val="003C18A0"/>
    <w:rsid w:val="003C2C4B"/>
    <w:rsid w:val="003C3F3F"/>
    <w:rsid w:val="003E04B3"/>
    <w:rsid w:val="003E1188"/>
    <w:rsid w:val="003E3B9C"/>
    <w:rsid w:val="003F29D2"/>
    <w:rsid w:val="003F3823"/>
    <w:rsid w:val="003F5E60"/>
    <w:rsid w:val="003F6275"/>
    <w:rsid w:val="0040179B"/>
    <w:rsid w:val="00425E1C"/>
    <w:rsid w:val="00430F8F"/>
    <w:rsid w:val="00431B43"/>
    <w:rsid w:val="0043385D"/>
    <w:rsid w:val="00434203"/>
    <w:rsid w:val="004348C1"/>
    <w:rsid w:val="00436EAF"/>
    <w:rsid w:val="00437443"/>
    <w:rsid w:val="004374D3"/>
    <w:rsid w:val="004465FC"/>
    <w:rsid w:val="00446DF9"/>
    <w:rsid w:val="004552A3"/>
    <w:rsid w:val="0046557F"/>
    <w:rsid w:val="00467A34"/>
    <w:rsid w:val="00467E11"/>
    <w:rsid w:val="004703F3"/>
    <w:rsid w:val="004717E5"/>
    <w:rsid w:val="00482637"/>
    <w:rsid w:val="00483705"/>
    <w:rsid w:val="00483DCB"/>
    <w:rsid w:val="00483EAD"/>
    <w:rsid w:val="004A016E"/>
    <w:rsid w:val="004A18F4"/>
    <w:rsid w:val="004A2126"/>
    <w:rsid w:val="004A6543"/>
    <w:rsid w:val="004A7287"/>
    <w:rsid w:val="004B2D58"/>
    <w:rsid w:val="004B4A4A"/>
    <w:rsid w:val="004C1620"/>
    <w:rsid w:val="004C4379"/>
    <w:rsid w:val="004D67AB"/>
    <w:rsid w:val="004E139D"/>
    <w:rsid w:val="004E3BD3"/>
    <w:rsid w:val="004F21D6"/>
    <w:rsid w:val="004F3AFB"/>
    <w:rsid w:val="004F4A2D"/>
    <w:rsid w:val="004F4E8B"/>
    <w:rsid w:val="004F6320"/>
    <w:rsid w:val="004F7A86"/>
    <w:rsid w:val="00507302"/>
    <w:rsid w:val="0051194F"/>
    <w:rsid w:val="00513D28"/>
    <w:rsid w:val="00514DD4"/>
    <w:rsid w:val="005155B4"/>
    <w:rsid w:val="0051744F"/>
    <w:rsid w:val="005234E7"/>
    <w:rsid w:val="00523591"/>
    <w:rsid w:val="0052453E"/>
    <w:rsid w:val="00526B9C"/>
    <w:rsid w:val="005302B0"/>
    <w:rsid w:val="00531BCB"/>
    <w:rsid w:val="00536416"/>
    <w:rsid w:val="00536AFF"/>
    <w:rsid w:val="00537621"/>
    <w:rsid w:val="00550C36"/>
    <w:rsid w:val="00555184"/>
    <w:rsid w:val="00555A60"/>
    <w:rsid w:val="00562C26"/>
    <w:rsid w:val="005638FA"/>
    <w:rsid w:val="00570A11"/>
    <w:rsid w:val="00573365"/>
    <w:rsid w:val="00577090"/>
    <w:rsid w:val="005771CE"/>
    <w:rsid w:val="005808BA"/>
    <w:rsid w:val="0058393F"/>
    <w:rsid w:val="00585B7C"/>
    <w:rsid w:val="005878CF"/>
    <w:rsid w:val="00597731"/>
    <w:rsid w:val="005A74DB"/>
    <w:rsid w:val="005B0C98"/>
    <w:rsid w:val="005B31B1"/>
    <w:rsid w:val="005B3A57"/>
    <w:rsid w:val="005C4FBB"/>
    <w:rsid w:val="005C58DD"/>
    <w:rsid w:val="005D3348"/>
    <w:rsid w:val="005D75F9"/>
    <w:rsid w:val="005E2953"/>
    <w:rsid w:val="005E72D2"/>
    <w:rsid w:val="005F6080"/>
    <w:rsid w:val="005F702A"/>
    <w:rsid w:val="00602D74"/>
    <w:rsid w:val="00607B84"/>
    <w:rsid w:val="00615047"/>
    <w:rsid w:val="00617E02"/>
    <w:rsid w:val="00620469"/>
    <w:rsid w:val="00625B46"/>
    <w:rsid w:val="00637CA3"/>
    <w:rsid w:val="0065162A"/>
    <w:rsid w:val="00653F13"/>
    <w:rsid w:val="0065556B"/>
    <w:rsid w:val="00661264"/>
    <w:rsid w:val="00662815"/>
    <w:rsid w:val="006644DE"/>
    <w:rsid w:val="00665789"/>
    <w:rsid w:val="00667506"/>
    <w:rsid w:val="0066795E"/>
    <w:rsid w:val="00671728"/>
    <w:rsid w:val="00672A9A"/>
    <w:rsid w:val="00674041"/>
    <w:rsid w:val="00676F68"/>
    <w:rsid w:val="006779DD"/>
    <w:rsid w:val="00686726"/>
    <w:rsid w:val="00687C5A"/>
    <w:rsid w:val="00690536"/>
    <w:rsid w:val="006951D2"/>
    <w:rsid w:val="006A443F"/>
    <w:rsid w:val="006B4B47"/>
    <w:rsid w:val="006B60DA"/>
    <w:rsid w:val="006D16CB"/>
    <w:rsid w:val="006E0429"/>
    <w:rsid w:val="006E42FD"/>
    <w:rsid w:val="006E7D13"/>
    <w:rsid w:val="006F29FA"/>
    <w:rsid w:val="006F4BE1"/>
    <w:rsid w:val="0070302C"/>
    <w:rsid w:val="00706A4A"/>
    <w:rsid w:val="00711A48"/>
    <w:rsid w:val="0071560A"/>
    <w:rsid w:val="00726014"/>
    <w:rsid w:val="007262E0"/>
    <w:rsid w:val="00737274"/>
    <w:rsid w:val="007400E9"/>
    <w:rsid w:val="007401BA"/>
    <w:rsid w:val="00742244"/>
    <w:rsid w:val="0074305A"/>
    <w:rsid w:val="00744A2E"/>
    <w:rsid w:val="007459F5"/>
    <w:rsid w:val="00746380"/>
    <w:rsid w:val="00756D19"/>
    <w:rsid w:val="00765F0E"/>
    <w:rsid w:val="00774D20"/>
    <w:rsid w:val="00784574"/>
    <w:rsid w:val="007A2C89"/>
    <w:rsid w:val="007A59A8"/>
    <w:rsid w:val="007B0675"/>
    <w:rsid w:val="007B417A"/>
    <w:rsid w:val="007C0E42"/>
    <w:rsid w:val="007C2A74"/>
    <w:rsid w:val="007C3279"/>
    <w:rsid w:val="007C3301"/>
    <w:rsid w:val="007C4C7C"/>
    <w:rsid w:val="007D1FA2"/>
    <w:rsid w:val="007D610E"/>
    <w:rsid w:val="007E69F5"/>
    <w:rsid w:val="007E75FE"/>
    <w:rsid w:val="008043BE"/>
    <w:rsid w:val="008051BE"/>
    <w:rsid w:val="00811411"/>
    <w:rsid w:val="0082144D"/>
    <w:rsid w:val="00825CAF"/>
    <w:rsid w:val="00835753"/>
    <w:rsid w:val="00837D65"/>
    <w:rsid w:val="00840A50"/>
    <w:rsid w:val="008427F0"/>
    <w:rsid w:val="00844C2D"/>
    <w:rsid w:val="00850A2A"/>
    <w:rsid w:val="008643E9"/>
    <w:rsid w:val="008649C5"/>
    <w:rsid w:val="00865917"/>
    <w:rsid w:val="00867D38"/>
    <w:rsid w:val="00881376"/>
    <w:rsid w:val="00881BEB"/>
    <w:rsid w:val="00885421"/>
    <w:rsid w:val="00885E63"/>
    <w:rsid w:val="00895899"/>
    <w:rsid w:val="008A641D"/>
    <w:rsid w:val="008B36AC"/>
    <w:rsid w:val="008D016B"/>
    <w:rsid w:val="008D2761"/>
    <w:rsid w:val="008D4802"/>
    <w:rsid w:val="008D4F50"/>
    <w:rsid w:val="008D55B5"/>
    <w:rsid w:val="008D6D97"/>
    <w:rsid w:val="008D7D86"/>
    <w:rsid w:val="008E15CD"/>
    <w:rsid w:val="008E402A"/>
    <w:rsid w:val="008E4540"/>
    <w:rsid w:val="008E6530"/>
    <w:rsid w:val="008E7AF9"/>
    <w:rsid w:val="008F04C6"/>
    <w:rsid w:val="008F2B32"/>
    <w:rsid w:val="00900197"/>
    <w:rsid w:val="0091111E"/>
    <w:rsid w:val="00915FC4"/>
    <w:rsid w:val="00922494"/>
    <w:rsid w:val="00940864"/>
    <w:rsid w:val="00942A2D"/>
    <w:rsid w:val="00950358"/>
    <w:rsid w:val="009559EA"/>
    <w:rsid w:val="009566BF"/>
    <w:rsid w:val="0096145B"/>
    <w:rsid w:val="0096413D"/>
    <w:rsid w:val="00971642"/>
    <w:rsid w:val="00973F2F"/>
    <w:rsid w:val="00975528"/>
    <w:rsid w:val="009832AC"/>
    <w:rsid w:val="00994B13"/>
    <w:rsid w:val="0099635E"/>
    <w:rsid w:val="009A2674"/>
    <w:rsid w:val="009A46DA"/>
    <w:rsid w:val="009A4973"/>
    <w:rsid w:val="009B33FD"/>
    <w:rsid w:val="009C2C36"/>
    <w:rsid w:val="009C4061"/>
    <w:rsid w:val="009C4AE8"/>
    <w:rsid w:val="009C5672"/>
    <w:rsid w:val="009C5DBD"/>
    <w:rsid w:val="009C6FCB"/>
    <w:rsid w:val="009C7AC9"/>
    <w:rsid w:val="009D2274"/>
    <w:rsid w:val="009D36D0"/>
    <w:rsid w:val="009E1068"/>
    <w:rsid w:val="009E1488"/>
    <w:rsid w:val="009E360F"/>
    <w:rsid w:val="009E5606"/>
    <w:rsid w:val="009F0AED"/>
    <w:rsid w:val="009F5351"/>
    <w:rsid w:val="009F5C9B"/>
    <w:rsid w:val="00A017BA"/>
    <w:rsid w:val="00A05CF1"/>
    <w:rsid w:val="00A05F30"/>
    <w:rsid w:val="00A11613"/>
    <w:rsid w:val="00A11C57"/>
    <w:rsid w:val="00A134D5"/>
    <w:rsid w:val="00A14768"/>
    <w:rsid w:val="00A21FF6"/>
    <w:rsid w:val="00A22817"/>
    <w:rsid w:val="00A22FC6"/>
    <w:rsid w:val="00A33C2B"/>
    <w:rsid w:val="00A35D46"/>
    <w:rsid w:val="00A37F2F"/>
    <w:rsid w:val="00A40090"/>
    <w:rsid w:val="00A62700"/>
    <w:rsid w:val="00A65766"/>
    <w:rsid w:val="00A703CA"/>
    <w:rsid w:val="00A718CA"/>
    <w:rsid w:val="00A73221"/>
    <w:rsid w:val="00A774BD"/>
    <w:rsid w:val="00A77900"/>
    <w:rsid w:val="00A813AE"/>
    <w:rsid w:val="00A856CF"/>
    <w:rsid w:val="00A8721A"/>
    <w:rsid w:val="00A90AF3"/>
    <w:rsid w:val="00A92EDF"/>
    <w:rsid w:val="00AA138D"/>
    <w:rsid w:val="00AA24BA"/>
    <w:rsid w:val="00AB2686"/>
    <w:rsid w:val="00AD0A3E"/>
    <w:rsid w:val="00AD19DB"/>
    <w:rsid w:val="00AD1A07"/>
    <w:rsid w:val="00AE0BF4"/>
    <w:rsid w:val="00AE3658"/>
    <w:rsid w:val="00AE6FD8"/>
    <w:rsid w:val="00B03BF0"/>
    <w:rsid w:val="00B03DE7"/>
    <w:rsid w:val="00B068CF"/>
    <w:rsid w:val="00B2015C"/>
    <w:rsid w:val="00B234EA"/>
    <w:rsid w:val="00B24780"/>
    <w:rsid w:val="00B30949"/>
    <w:rsid w:val="00B34C3A"/>
    <w:rsid w:val="00B3564A"/>
    <w:rsid w:val="00B44746"/>
    <w:rsid w:val="00B45462"/>
    <w:rsid w:val="00B55025"/>
    <w:rsid w:val="00B55833"/>
    <w:rsid w:val="00B57AE4"/>
    <w:rsid w:val="00B57C49"/>
    <w:rsid w:val="00B604C2"/>
    <w:rsid w:val="00B60E98"/>
    <w:rsid w:val="00B62FD4"/>
    <w:rsid w:val="00B64DDF"/>
    <w:rsid w:val="00B86367"/>
    <w:rsid w:val="00B87FCC"/>
    <w:rsid w:val="00B93D70"/>
    <w:rsid w:val="00B954BC"/>
    <w:rsid w:val="00B95819"/>
    <w:rsid w:val="00B95A35"/>
    <w:rsid w:val="00B963DF"/>
    <w:rsid w:val="00BA37F5"/>
    <w:rsid w:val="00BA5A76"/>
    <w:rsid w:val="00BA7424"/>
    <w:rsid w:val="00BB2232"/>
    <w:rsid w:val="00BB3A9A"/>
    <w:rsid w:val="00BB4C31"/>
    <w:rsid w:val="00BB5DEF"/>
    <w:rsid w:val="00BC077E"/>
    <w:rsid w:val="00BC20C0"/>
    <w:rsid w:val="00BC51A1"/>
    <w:rsid w:val="00BC5410"/>
    <w:rsid w:val="00BC6030"/>
    <w:rsid w:val="00BC7A66"/>
    <w:rsid w:val="00BD1729"/>
    <w:rsid w:val="00BD7486"/>
    <w:rsid w:val="00BE0872"/>
    <w:rsid w:val="00BE6254"/>
    <w:rsid w:val="00BF7B3A"/>
    <w:rsid w:val="00C0707A"/>
    <w:rsid w:val="00C073D8"/>
    <w:rsid w:val="00C1030E"/>
    <w:rsid w:val="00C11656"/>
    <w:rsid w:val="00C227DF"/>
    <w:rsid w:val="00C25B78"/>
    <w:rsid w:val="00C33954"/>
    <w:rsid w:val="00C342B7"/>
    <w:rsid w:val="00C40BF7"/>
    <w:rsid w:val="00C43F2F"/>
    <w:rsid w:val="00C45F64"/>
    <w:rsid w:val="00C460F8"/>
    <w:rsid w:val="00C51093"/>
    <w:rsid w:val="00C51AA5"/>
    <w:rsid w:val="00C5401B"/>
    <w:rsid w:val="00C641B3"/>
    <w:rsid w:val="00C763DA"/>
    <w:rsid w:val="00C82754"/>
    <w:rsid w:val="00C94244"/>
    <w:rsid w:val="00C975BC"/>
    <w:rsid w:val="00CA1900"/>
    <w:rsid w:val="00CA2D0F"/>
    <w:rsid w:val="00CA36D0"/>
    <w:rsid w:val="00CA4199"/>
    <w:rsid w:val="00CB1FCF"/>
    <w:rsid w:val="00CB2812"/>
    <w:rsid w:val="00CB3310"/>
    <w:rsid w:val="00CB3F8C"/>
    <w:rsid w:val="00CB6992"/>
    <w:rsid w:val="00CB7549"/>
    <w:rsid w:val="00CC3E03"/>
    <w:rsid w:val="00CD6D76"/>
    <w:rsid w:val="00CE0610"/>
    <w:rsid w:val="00CE2C8F"/>
    <w:rsid w:val="00CF3CA6"/>
    <w:rsid w:val="00CF4008"/>
    <w:rsid w:val="00CF54FD"/>
    <w:rsid w:val="00D05D1D"/>
    <w:rsid w:val="00D122E7"/>
    <w:rsid w:val="00D15F7E"/>
    <w:rsid w:val="00D17573"/>
    <w:rsid w:val="00D20D3E"/>
    <w:rsid w:val="00D22C0D"/>
    <w:rsid w:val="00D34839"/>
    <w:rsid w:val="00D34B3C"/>
    <w:rsid w:val="00D42D8F"/>
    <w:rsid w:val="00D46C79"/>
    <w:rsid w:val="00D51F55"/>
    <w:rsid w:val="00D536EE"/>
    <w:rsid w:val="00D560EA"/>
    <w:rsid w:val="00D564B0"/>
    <w:rsid w:val="00D60708"/>
    <w:rsid w:val="00D61066"/>
    <w:rsid w:val="00D734EF"/>
    <w:rsid w:val="00D82367"/>
    <w:rsid w:val="00D83EDC"/>
    <w:rsid w:val="00D92D8E"/>
    <w:rsid w:val="00D9460A"/>
    <w:rsid w:val="00DA1B87"/>
    <w:rsid w:val="00DA4232"/>
    <w:rsid w:val="00DC3869"/>
    <w:rsid w:val="00DC3F58"/>
    <w:rsid w:val="00DC4D45"/>
    <w:rsid w:val="00DC5796"/>
    <w:rsid w:val="00DC6586"/>
    <w:rsid w:val="00DD04B0"/>
    <w:rsid w:val="00DD12AD"/>
    <w:rsid w:val="00DD31D7"/>
    <w:rsid w:val="00DD62B3"/>
    <w:rsid w:val="00DE0227"/>
    <w:rsid w:val="00DE1056"/>
    <w:rsid w:val="00DE2C2B"/>
    <w:rsid w:val="00DE48AB"/>
    <w:rsid w:val="00DE5A7A"/>
    <w:rsid w:val="00DF7050"/>
    <w:rsid w:val="00E00AC1"/>
    <w:rsid w:val="00E01224"/>
    <w:rsid w:val="00E02989"/>
    <w:rsid w:val="00E037E1"/>
    <w:rsid w:val="00E10983"/>
    <w:rsid w:val="00E15A70"/>
    <w:rsid w:val="00E167EB"/>
    <w:rsid w:val="00E237F5"/>
    <w:rsid w:val="00E239DE"/>
    <w:rsid w:val="00E25C1A"/>
    <w:rsid w:val="00E34712"/>
    <w:rsid w:val="00E40C99"/>
    <w:rsid w:val="00E41A4B"/>
    <w:rsid w:val="00E52C9A"/>
    <w:rsid w:val="00E56185"/>
    <w:rsid w:val="00E6353E"/>
    <w:rsid w:val="00E63D3C"/>
    <w:rsid w:val="00E64CAF"/>
    <w:rsid w:val="00E704E1"/>
    <w:rsid w:val="00E7316D"/>
    <w:rsid w:val="00E7342F"/>
    <w:rsid w:val="00E77FDC"/>
    <w:rsid w:val="00E91D15"/>
    <w:rsid w:val="00E92700"/>
    <w:rsid w:val="00E94418"/>
    <w:rsid w:val="00EA113B"/>
    <w:rsid w:val="00EA233F"/>
    <w:rsid w:val="00EA6ECF"/>
    <w:rsid w:val="00EB0A39"/>
    <w:rsid w:val="00EB1E2D"/>
    <w:rsid w:val="00EB7AAC"/>
    <w:rsid w:val="00EC2788"/>
    <w:rsid w:val="00ED0255"/>
    <w:rsid w:val="00ED177D"/>
    <w:rsid w:val="00ED1E57"/>
    <w:rsid w:val="00ED6335"/>
    <w:rsid w:val="00EE60F7"/>
    <w:rsid w:val="00EE66BF"/>
    <w:rsid w:val="00EE6A25"/>
    <w:rsid w:val="00EE79AB"/>
    <w:rsid w:val="00EF209C"/>
    <w:rsid w:val="00EF646B"/>
    <w:rsid w:val="00F20178"/>
    <w:rsid w:val="00F2729C"/>
    <w:rsid w:val="00F3776F"/>
    <w:rsid w:val="00F4013A"/>
    <w:rsid w:val="00F4366D"/>
    <w:rsid w:val="00F454BC"/>
    <w:rsid w:val="00F50615"/>
    <w:rsid w:val="00F51339"/>
    <w:rsid w:val="00F64B65"/>
    <w:rsid w:val="00F65291"/>
    <w:rsid w:val="00F6747C"/>
    <w:rsid w:val="00F7239E"/>
    <w:rsid w:val="00F76CC9"/>
    <w:rsid w:val="00F868EF"/>
    <w:rsid w:val="00F90F73"/>
    <w:rsid w:val="00F91BA8"/>
    <w:rsid w:val="00F970FC"/>
    <w:rsid w:val="00FA03C1"/>
    <w:rsid w:val="00FA1148"/>
    <w:rsid w:val="00FA1FEA"/>
    <w:rsid w:val="00FA7D44"/>
    <w:rsid w:val="00FB20F9"/>
    <w:rsid w:val="00FB4309"/>
    <w:rsid w:val="00FC1283"/>
    <w:rsid w:val="00FC6E01"/>
    <w:rsid w:val="00FD1C5D"/>
    <w:rsid w:val="00FD3347"/>
    <w:rsid w:val="00FD344E"/>
    <w:rsid w:val="00FE0BBD"/>
    <w:rsid w:val="00FE53AB"/>
    <w:rsid w:val="00FE62ED"/>
    <w:rsid w:val="00FF11E8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39"/>
    <w:pPr>
      <w:ind w:left="720"/>
      <w:contextualSpacing/>
    </w:pPr>
  </w:style>
  <w:style w:type="paragraph" w:customStyle="1" w:styleId="Default">
    <w:name w:val="Default"/>
    <w:rsid w:val="0034686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46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86F"/>
    <w:pPr>
      <w:spacing w:line="240" w:lineRule="auto"/>
    </w:pPr>
    <w:rPr>
      <w:rFonts w:ascii="Calibri" w:eastAsia="SimSun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86F"/>
    <w:rPr>
      <w:rFonts w:ascii="Calibri" w:eastAsia="SimSu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4F2"/>
    <w:pPr>
      <w:spacing w:after="0" w:line="240" w:lineRule="auto"/>
    </w:pPr>
    <w:rPr>
      <w:rFonts w:ascii="Calibri" w:eastAsia="SimSun" w:hAnsi="Calibri" w:cs="Arial"/>
    </w:rPr>
  </w:style>
  <w:style w:type="character" w:styleId="Hyperlink">
    <w:name w:val="Hyperlink"/>
    <w:basedOn w:val="DefaultParagraphFont"/>
    <w:uiPriority w:val="99"/>
    <w:unhideWhenUsed/>
    <w:rsid w:val="001574F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402A"/>
  </w:style>
  <w:style w:type="character" w:customStyle="1" w:styleId="DateChar">
    <w:name w:val="Date Char"/>
    <w:basedOn w:val="DefaultParagraphFont"/>
    <w:link w:val="Date"/>
    <w:uiPriority w:val="99"/>
    <w:semiHidden/>
    <w:rsid w:val="008E402A"/>
  </w:style>
  <w:style w:type="character" w:styleId="FollowedHyperlink">
    <w:name w:val="FollowedHyperlink"/>
    <w:basedOn w:val="DefaultParagraphFont"/>
    <w:uiPriority w:val="99"/>
    <w:semiHidden/>
    <w:unhideWhenUsed/>
    <w:rsid w:val="009D36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26"/>
  </w:style>
  <w:style w:type="paragraph" w:styleId="Footer">
    <w:name w:val="footer"/>
    <w:basedOn w:val="Normal"/>
    <w:link w:val="FooterChar"/>
    <w:uiPriority w:val="99"/>
    <w:unhideWhenUsed/>
    <w:rsid w:val="0056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26"/>
  </w:style>
  <w:style w:type="paragraph" w:styleId="NormalWeb">
    <w:name w:val="Normal (Web)"/>
    <w:basedOn w:val="Normal"/>
    <w:uiPriority w:val="99"/>
    <w:rsid w:val="00EE66B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AU" w:eastAsia="en-US" w:bidi="en-US"/>
    </w:rPr>
  </w:style>
  <w:style w:type="table" w:styleId="TableGrid">
    <w:name w:val="Table Grid"/>
    <w:basedOn w:val="TableNormal"/>
    <w:rsid w:val="00AD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A3E"/>
    <w:rPr>
      <w:vertAlign w:val="superscript"/>
    </w:rPr>
  </w:style>
  <w:style w:type="character" w:styleId="Strong">
    <w:name w:val="Strong"/>
    <w:basedOn w:val="DefaultParagraphFont"/>
    <w:uiPriority w:val="22"/>
    <w:qFormat/>
    <w:rsid w:val="00F64B6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28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28"/>
    <w:rPr>
      <w:rFonts w:ascii="Calibri" w:eastAsia="SimSun" w:hAnsi="Calibri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41B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641B3"/>
    <w:rPr>
      <w:rFonts w:ascii="Calibri" w:eastAsiaTheme="minorHAnsi" w:hAnsi="Calibri"/>
      <w:szCs w:val="21"/>
      <w:lang w:eastAsia="en-US"/>
    </w:rPr>
  </w:style>
  <w:style w:type="paragraph" w:customStyle="1" w:styleId="Body1">
    <w:name w:val="Body 1"/>
    <w:rsid w:val="00C641B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customStyle="1" w:styleId="spelle">
    <w:name w:val="spelle"/>
    <w:basedOn w:val="DefaultParagraphFont"/>
    <w:rsid w:val="00602D74"/>
  </w:style>
  <w:style w:type="character" w:styleId="Emphasis">
    <w:name w:val="Emphasis"/>
    <w:basedOn w:val="DefaultParagraphFont"/>
    <w:uiPriority w:val="20"/>
    <w:qFormat/>
    <w:rsid w:val="00602D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39"/>
    <w:pPr>
      <w:ind w:left="720"/>
      <w:contextualSpacing/>
    </w:pPr>
  </w:style>
  <w:style w:type="paragraph" w:customStyle="1" w:styleId="Default">
    <w:name w:val="Default"/>
    <w:rsid w:val="0034686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46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86F"/>
    <w:pPr>
      <w:spacing w:line="240" w:lineRule="auto"/>
    </w:pPr>
    <w:rPr>
      <w:rFonts w:ascii="Calibri" w:eastAsia="SimSun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86F"/>
    <w:rPr>
      <w:rFonts w:ascii="Calibri" w:eastAsia="SimSu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4F2"/>
    <w:pPr>
      <w:spacing w:after="0" w:line="240" w:lineRule="auto"/>
    </w:pPr>
    <w:rPr>
      <w:rFonts w:ascii="Calibri" w:eastAsia="SimSun" w:hAnsi="Calibri" w:cs="Arial"/>
    </w:rPr>
  </w:style>
  <w:style w:type="character" w:styleId="Hyperlink">
    <w:name w:val="Hyperlink"/>
    <w:basedOn w:val="DefaultParagraphFont"/>
    <w:uiPriority w:val="99"/>
    <w:unhideWhenUsed/>
    <w:rsid w:val="001574F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402A"/>
  </w:style>
  <w:style w:type="character" w:customStyle="1" w:styleId="DateChar">
    <w:name w:val="Date Char"/>
    <w:basedOn w:val="DefaultParagraphFont"/>
    <w:link w:val="Date"/>
    <w:uiPriority w:val="99"/>
    <w:semiHidden/>
    <w:rsid w:val="008E402A"/>
  </w:style>
  <w:style w:type="character" w:styleId="FollowedHyperlink">
    <w:name w:val="FollowedHyperlink"/>
    <w:basedOn w:val="DefaultParagraphFont"/>
    <w:uiPriority w:val="99"/>
    <w:semiHidden/>
    <w:unhideWhenUsed/>
    <w:rsid w:val="009D36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26"/>
  </w:style>
  <w:style w:type="paragraph" w:styleId="Footer">
    <w:name w:val="footer"/>
    <w:basedOn w:val="Normal"/>
    <w:link w:val="FooterChar"/>
    <w:uiPriority w:val="99"/>
    <w:unhideWhenUsed/>
    <w:rsid w:val="0056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26"/>
  </w:style>
  <w:style w:type="paragraph" w:styleId="NormalWeb">
    <w:name w:val="Normal (Web)"/>
    <w:basedOn w:val="Normal"/>
    <w:uiPriority w:val="99"/>
    <w:rsid w:val="00EE66B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AU" w:eastAsia="en-US" w:bidi="en-US"/>
    </w:rPr>
  </w:style>
  <w:style w:type="table" w:styleId="TableGrid">
    <w:name w:val="Table Grid"/>
    <w:basedOn w:val="TableNormal"/>
    <w:rsid w:val="00AD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A3E"/>
    <w:rPr>
      <w:vertAlign w:val="superscript"/>
    </w:rPr>
  </w:style>
  <w:style w:type="character" w:styleId="Strong">
    <w:name w:val="Strong"/>
    <w:basedOn w:val="DefaultParagraphFont"/>
    <w:uiPriority w:val="22"/>
    <w:qFormat/>
    <w:rsid w:val="00F64B6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28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28"/>
    <w:rPr>
      <w:rFonts w:ascii="Calibri" w:eastAsia="SimSun" w:hAnsi="Calibri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41B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641B3"/>
    <w:rPr>
      <w:rFonts w:ascii="Calibri" w:eastAsiaTheme="minorHAnsi" w:hAnsi="Calibri"/>
      <w:szCs w:val="21"/>
      <w:lang w:eastAsia="en-US"/>
    </w:rPr>
  </w:style>
  <w:style w:type="paragraph" w:customStyle="1" w:styleId="Body1">
    <w:name w:val="Body 1"/>
    <w:rsid w:val="00C641B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customStyle="1" w:styleId="spelle">
    <w:name w:val="spelle"/>
    <w:basedOn w:val="DefaultParagraphFont"/>
    <w:rsid w:val="00602D74"/>
  </w:style>
  <w:style w:type="character" w:styleId="Emphasis">
    <w:name w:val="Emphasis"/>
    <w:basedOn w:val="DefaultParagraphFont"/>
    <w:uiPriority w:val="20"/>
    <w:qFormat/>
    <w:rsid w:val="00602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o.manchester.ac.uk/teaching-and-learning/excellence/2014-15winners/gemmaedward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umanities.manchester.ac.uk/humnet/committees/humanities-teaching-and-learning-committee/intake-management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universitie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3547</Words>
  <Characters>20223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Mcaleese</dc:creator>
  <cp:lastModifiedBy>Susan Rowe</cp:lastModifiedBy>
  <cp:revision>2</cp:revision>
  <cp:lastPrinted>2015-03-25T11:13:00Z</cp:lastPrinted>
  <dcterms:created xsi:type="dcterms:W3CDTF">2016-08-04T14:28:00Z</dcterms:created>
  <dcterms:modified xsi:type="dcterms:W3CDTF">2016-08-04T14:28:00Z</dcterms:modified>
</cp:coreProperties>
</file>