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92" w:rsidRDefault="00EC6792" w:rsidP="00EC6792">
      <w:pPr>
        <w:jc w:val="center"/>
        <w:rPr>
          <w:b/>
        </w:rPr>
      </w:pPr>
      <w:r>
        <w:rPr>
          <w:b/>
        </w:rPr>
        <w:t>UNIVERSITY OF MANCHESTER</w:t>
      </w:r>
    </w:p>
    <w:p w:rsidR="00EC6792" w:rsidRPr="00EC6792" w:rsidRDefault="00EC6792" w:rsidP="00EC6792">
      <w:pPr>
        <w:jc w:val="center"/>
        <w:rPr>
          <w:b/>
        </w:rPr>
      </w:pPr>
      <w:r w:rsidRPr="00EC6792">
        <w:rPr>
          <w:b/>
        </w:rPr>
        <w:t xml:space="preserve">FACULTY OF HUMANITIES </w:t>
      </w:r>
    </w:p>
    <w:p w:rsidR="00271CCB" w:rsidRPr="00271CCB" w:rsidRDefault="00271CCB" w:rsidP="00EC6792">
      <w:pPr>
        <w:jc w:val="center"/>
        <w:rPr>
          <w:b/>
        </w:rPr>
      </w:pPr>
      <w:r w:rsidRPr="00271CCB">
        <w:rPr>
          <w:b/>
        </w:rPr>
        <w:t>Internationalisation Strategy</w:t>
      </w:r>
    </w:p>
    <w:p w:rsidR="00271CCB" w:rsidRPr="001E24A6" w:rsidRDefault="00271CCB" w:rsidP="00EC6792"/>
    <w:p w:rsidR="00271CCB" w:rsidRPr="00C12289" w:rsidRDefault="00C12289" w:rsidP="00A600A2">
      <w:pPr>
        <w:contextualSpacing/>
        <w:rPr>
          <w:b/>
          <w:color w:val="000000"/>
          <w:lang w:eastAsia="en-GB"/>
        </w:rPr>
      </w:pPr>
      <w:r w:rsidRPr="00C12289">
        <w:rPr>
          <w:b/>
          <w:color w:val="000000"/>
          <w:lang w:eastAsia="en-GB"/>
        </w:rPr>
        <w:t>Background</w:t>
      </w:r>
    </w:p>
    <w:p w:rsidR="00271CCB" w:rsidRDefault="00271CCB" w:rsidP="00A600A2">
      <w:pPr>
        <w:contextualSpacing/>
        <w:rPr>
          <w:color w:val="000000"/>
          <w:lang w:eastAsia="en-GB"/>
        </w:rPr>
      </w:pPr>
    </w:p>
    <w:p w:rsidR="00D752FA" w:rsidRDefault="00D752FA" w:rsidP="00A600A2">
      <w:pPr>
        <w:contextualSpacing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The </w:t>
      </w:r>
      <w:r w:rsidR="00B94A04">
        <w:rPr>
          <w:color w:val="000000"/>
          <w:lang w:eastAsia="en-GB"/>
        </w:rPr>
        <w:t xml:space="preserve">Assistant </w:t>
      </w:r>
      <w:r>
        <w:rPr>
          <w:color w:val="000000"/>
          <w:lang w:eastAsia="en-GB"/>
        </w:rPr>
        <w:t xml:space="preserve">Associate Dean </w:t>
      </w:r>
      <w:r w:rsidR="00B94A04">
        <w:rPr>
          <w:color w:val="000000"/>
          <w:lang w:eastAsia="en-GB"/>
        </w:rPr>
        <w:t xml:space="preserve">(AAD) </w:t>
      </w:r>
      <w:r>
        <w:rPr>
          <w:color w:val="000000"/>
          <w:lang w:eastAsia="en-GB"/>
        </w:rPr>
        <w:t>for Internationalisation has been working with DAG to clarify the Faculty’s strategic objectives in relation to the University’s internationalisation agenda</w:t>
      </w:r>
      <w:r w:rsidR="00B94A04">
        <w:rPr>
          <w:color w:val="000000"/>
          <w:lang w:eastAsia="en-GB"/>
        </w:rPr>
        <w:t>,</w:t>
      </w:r>
      <w:r w:rsidR="00C12289">
        <w:rPr>
          <w:color w:val="000000"/>
          <w:lang w:eastAsia="en-GB"/>
        </w:rPr>
        <w:t xml:space="preserve"> and </w:t>
      </w:r>
      <w:r w:rsidR="00B94A04">
        <w:rPr>
          <w:color w:val="000000"/>
          <w:lang w:eastAsia="en-GB"/>
        </w:rPr>
        <w:t>to develop</w:t>
      </w:r>
      <w:r w:rsidR="00C12289">
        <w:rPr>
          <w:color w:val="000000"/>
          <w:lang w:eastAsia="en-GB"/>
        </w:rPr>
        <w:t xml:space="preserve"> appropriate governance arrangements</w:t>
      </w:r>
      <w:r>
        <w:rPr>
          <w:color w:val="000000"/>
          <w:lang w:eastAsia="en-GB"/>
        </w:rPr>
        <w:t xml:space="preserve">. The aim is to </w:t>
      </w:r>
      <w:r w:rsidR="00B94A04">
        <w:rPr>
          <w:color w:val="000000"/>
          <w:lang w:eastAsia="en-GB"/>
        </w:rPr>
        <w:t>agree</w:t>
      </w:r>
      <w:r>
        <w:rPr>
          <w:color w:val="000000"/>
          <w:lang w:eastAsia="en-GB"/>
        </w:rPr>
        <w:t xml:space="preserve"> a focussed set of objectives</w:t>
      </w:r>
      <w:r w:rsidR="00C12289">
        <w:rPr>
          <w:color w:val="000000"/>
          <w:lang w:eastAsia="en-GB"/>
        </w:rPr>
        <w:t>,</w:t>
      </w:r>
      <w:r>
        <w:rPr>
          <w:color w:val="000000"/>
          <w:lang w:eastAsia="en-GB"/>
        </w:rPr>
        <w:t xml:space="preserve"> identify a principal lead to take each objective forward</w:t>
      </w:r>
      <w:r w:rsidR="00C12289">
        <w:rPr>
          <w:color w:val="000000"/>
          <w:lang w:eastAsia="en-GB"/>
        </w:rPr>
        <w:t xml:space="preserve"> and </w:t>
      </w:r>
      <w:r w:rsidR="00C646AF">
        <w:rPr>
          <w:color w:val="000000"/>
          <w:lang w:eastAsia="en-GB"/>
        </w:rPr>
        <w:t xml:space="preserve">establish an efficient set of governance arrangements to enable the </w:t>
      </w:r>
      <w:r w:rsidR="00B94A04">
        <w:rPr>
          <w:color w:val="000000"/>
          <w:lang w:eastAsia="en-GB"/>
        </w:rPr>
        <w:t xml:space="preserve">effective </w:t>
      </w:r>
      <w:r w:rsidR="00C646AF">
        <w:rPr>
          <w:color w:val="000000"/>
          <w:lang w:eastAsia="en-GB"/>
        </w:rPr>
        <w:t>management and coordination of internationalisation across the Faculty</w:t>
      </w:r>
      <w:r>
        <w:rPr>
          <w:color w:val="000000"/>
          <w:lang w:eastAsia="en-GB"/>
        </w:rPr>
        <w:t xml:space="preserve">.  This is particularly important given that internationalisation cuts across all core goals and some of the enabling strategies, and </w:t>
      </w:r>
      <w:r w:rsidR="004A3A94">
        <w:rPr>
          <w:color w:val="000000"/>
          <w:lang w:eastAsia="en-GB"/>
        </w:rPr>
        <w:t>can be difficult to coordinate effectively.</w:t>
      </w:r>
    </w:p>
    <w:p w:rsidR="004A3A94" w:rsidRDefault="004A3A94" w:rsidP="00A600A2">
      <w:pPr>
        <w:contextualSpacing/>
        <w:rPr>
          <w:color w:val="000000"/>
          <w:lang w:eastAsia="en-GB"/>
        </w:rPr>
      </w:pPr>
    </w:p>
    <w:p w:rsidR="00C646AF" w:rsidRPr="00C646AF" w:rsidRDefault="00C646AF" w:rsidP="00A600A2">
      <w:pPr>
        <w:contextualSpacing/>
        <w:rPr>
          <w:b/>
          <w:color w:val="000000"/>
          <w:lang w:eastAsia="en-GB"/>
        </w:rPr>
      </w:pPr>
      <w:r w:rsidRPr="00C646AF">
        <w:rPr>
          <w:b/>
          <w:color w:val="000000"/>
          <w:lang w:eastAsia="en-GB"/>
        </w:rPr>
        <w:t>Strategic Priorities</w:t>
      </w:r>
    </w:p>
    <w:p w:rsidR="00C646AF" w:rsidRDefault="00C646AF" w:rsidP="00A600A2">
      <w:pPr>
        <w:contextualSpacing/>
        <w:rPr>
          <w:color w:val="000000"/>
          <w:lang w:eastAsia="en-GB"/>
        </w:rPr>
      </w:pPr>
    </w:p>
    <w:p w:rsidR="004A3A94" w:rsidRDefault="00C646AF" w:rsidP="00A600A2">
      <w:pPr>
        <w:contextualSpacing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The proposed priorities and lead responsibility </w:t>
      </w:r>
      <w:r w:rsidR="004A3A94">
        <w:rPr>
          <w:color w:val="000000"/>
          <w:lang w:eastAsia="en-GB"/>
        </w:rPr>
        <w:t>are listed in the table below.</w:t>
      </w:r>
    </w:p>
    <w:p w:rsidR="00D16EEF" w:rsidRPr="002F1321" w:rsidRDefault="00D16EEF" w:rsidP="00A600A2">
      <w:pPr>
        <w:contextualSpacing/>
        <w:rPr>
          <w:color w:val="000000"/>
          <w:lang w:eastAsia="en-GB"/>
        </w:rPr>
      </w:pPr>
    </w:p>
    <w:p w:rsidR="006205E2" w:rsidRPr="002F1321" w:rsidRDefault="006205E2" w:rsidP="00A600A2">
      <w:pPr>
        <w:contextualSpacing/>
        <w:rPr>
          <w:color w:val="000000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268"/>
      </w:tblGrid>
      <w:tr w:rsidR="004435E1" w:rsidRPr="002F1321" w:rsidTr="00EC3CED">
        <w:tc>
          <w:tcPr>
            <w:tcW w:w="7621" w:type="dxa"/>
            <w:shd w:val="clear" w:color="auto" w:fill="DAEEF3"/>
          </w:tcPr>
          <w:p w:rsidR="004435E1" w:rsidRPr="002F1321" w:rsidRDefault="006D3881" w:rsidP="006A7F52">
            <w:pPr>
              <w:contextualSpacing/>
            </w:pPr>
            <w:r>
              <w:rPr>
                <w:rFonts w:eastAsia="Cambria"/>
                <w:b/>
                <w:lang w:eastAsia="en-GB"/>
              </w:rPr>
              <w:t>Goal</w:t>
            </w:r>
            <w:r w:rsidR="004435E1" w:rsidRPr="00B0507D">
              <w:rPr>
                <w:rFonts w:eastAsia="Cambria"/>
                <w:b/>
                <w:lang w:eastAsia="en-GB"/>
              </w:rPr>
              <w:t xml:space="preserve"> One: Research</w:t>
            </w:r>
          </w:p>
        </w:tc>
        <w:tc>
          <w:tcPr>
            <w:tcW w:w="2268" w:type="dxa"/>
            <w:shd w:val="clear" w:color="auto" w:fill="DAEEF3"/>
          </w:tcPr>
          <w:p w:rsidR="004435E1" w:rsidRPr="00B21ADB" w:rsidRDefault="00433F95" w:rsidP="00C2675B">
            <w:pPr>
              <w:contextualSpacing/>
              <w:rPr>
                <w:b/>
              </w:rPr>
            </w:pPr>
            <w:r>
              <w:rPr>
                <w:b/>
              </w:rPr>
              <w:t>Lead responsibility</w:t>
            </w:r>
          </w:p>
        </w:tc>
      </w:tr>
      <w:tr w:rsidR="004435E1" w:rsidRPr="002F1321" w:rsidTr="00EC3CED">
        <w:tc>
          <w:tcPr>
            <w:tcW w:w="7621" w:type="dxa"/>
            <w:shd w:val="clear" w:color="auto" w:fill="FFFFFF"/>
          </w:tcPr>
          <w:p w:rsidR="00433F95" w:rsidRDefault="00433F95" w:rsidP="00433F95">
            <w:pPr>
              <w:contextualSpacing/>
              <w:rPr>
                <w:b/>
              </w:rPr>
            </w:pPr>
          </w:p>
          <w:p w:rsidR="004435E1" w:rsidRDefault="004435E1" w:rsidP="00433F95">
            <w:pPr>
              <w:contextualSpacing/>
            </w:pPr>
            <w:r w:rsidRPr="00C2675B">
              <w:rPr>
                <w:b/>
              </w:rPr>
              <w:t>Objective 1:</w:t>
            </w:r>
            <w:r w:rsidRPr="00C2675B">
              <w:t xml:space="preserve"> Develop a small number of strategic research collaboration in key countries targeting specificall</w:t>
            </w:r>
            <w:r>
              <w:t>y</w:t>
            </w:r>
            <w:r w:rsidRPr="00C2675B">
              <w:t>: China, Singapore, India and Brazil</w:t>
            </w:r>
            <w:r w:rsidR="00433F95">
              <w:t>.</w:t>
            </w:r>
            <w:r w:rsidRPr="00C2675B">
              <w:t xml:space="preserve"> </w:t>
            </w:r>
          </w:p>
          <w:p w:rsidR="00433F95" w:rsidRPr="003434F6" w:rsidRDefault="00433F95" w:rsidP="00433F95">
            <w:pPr>
              <w:contextualSpacing/>
            </w:pPr>
          </w:p>
        </w:tc>
        <w:tc>
          <w:tcPr>
            <w:tcW w:w="2268" w:type="dxa"/>
            <w:shd w:val="clear" w:color="auto" w:fill="FFFFFF"/>
          </w:tcPr>
          <w:p w:rsidR="004435E1" w:rsidRPr="003434F6" w:rsidRDefault="004435E1" w:rsidP="00B0507D">
            <w:pPr>
              <w:ind w:right="616"/>
              <w:contextualSpacing/>
            </w:pPr>
            <w:r>
              <w:t>AD for Research</w:t>
            </w:r>
          </w:p>
        </w:tc>
      </w:tr>
      <w:tr w:rsidR="004435E1" w:rsidRPr="00C2675B" w:rsidTr="00EC3CED">
        <w:tc>
          <w:tcPr>
            <w:tcW w:w="7621" w:type="dxa"/>
            <w:shd w:val="clear" w:color="auto" w:fill="FFFFFF"/>
          </w:tcPr>
          <w:p w:rsidR="00433F95" w:rsidRDefault="00433F95" w:rsidP="004013D7">
            <w:pPr>
              <w:pStyle w:val="ListParagraph"/>
              <w:ind w:left="0"/>
              <w:rPr>
                <w:b/>
              </w:rPr>
            </w:pPr>
          </w:p>
          <w:p w:rsidR="004435E1" w:rsidRDefault="004435E1" w:rsidP="004013D7">
            <w:pPr>
              <w:pStyle w:val="ListParagraph"/>
              <w:ind w:left="0"/>
            </w:pPr>
            <w:r w:rsidRPr="00C2675B">
              <w:rPr>
                <w:b/>
              </w:rPr>
              <w:t>Objective 2:</w:t>
            </w:r>
            <w:r w:rsidRPr="00C2675B">
              <w:t xml:space="preserve"> Increase </w:t>
            </w:r>
            <w:r w:rsidR="00B94A04">
              <w:t>significantly</w:t>
            </w:r>
            <w:r w:rsidR="00433F95" w:rsidRPr="00C2675B">
              <w:t xml:space="preserve"> research</w:t>
            </w:r>
            <w:r w:rsidRPr="00C2675B">
              <w:t xml:space="preserve"> funding from international sources</w:t>
            </w:r>
            <w:r w:rsidR="00433F95">
              <w:t>.</w:t>
            </w:r>
            <w:r w:rsidRPr="00C2675B">
              <w:t xml:space="preserve"> </w:t>
            </w:r>
          </w:p>
          <w:p w:rsidR="00433F95" w:rsidRPr="00C2675B" w:rsidRDefault="00433F95" w:rsidP="004013D7">
            <w:pPr>
              <w:pStyle w:val="ListParagraph"/>
              <w:ind w:left="0"/>
            </w:pPr>
          </w:p>
        </w:tc>
        <w:tc>
          <w:tcPr>
            <w:tcW w:w="2268" w:type="dxa"/>
            <w:shd w:val="clear" w:color="auto" w:fill="FFFFFF"/>
          </w:tcPr>
          <w:p w:rsidR="004435E1" w:rsidRPr="00C2675B" w:rsidRDefault="004435E1" w:rsidP="004013D7">
            <w:pPr>
              <w:pStyle w:val="ListParagraph"/>
              <w:ind w:left="0"/>
            </w:pPr>
            <w:r>
              <w:t>AD for Research</w:t>
            </w:r>
          </w:p>
        </w:tc>
      </w:tr>
      <w:tr w:rsidR="00A4479A" w:rsidRPr="00C2675B" w:rsidTr="00EC3CED">
        <w:tc>
          <w:tcPr>
            <w:tcW w:w="7621" w:type="dxa"/>
            <w:shd w:val="clear" w:color="auto" w:fill="FFFFFF"/>
          </w:tcPr>
          <w:p w:rsidR="00A4479A" w:rsidRDefault="00A4479A" w:rsidP="00A4479A">
            <w:pPr>
              <w:pStyle w:val="ListParagraph"/>
              <w:ind w:left="0"/>
              <w:rPr>
                <w:b/>
              </w:rPr>
            </w:pPr>
          </w:p>
          <w:p w:rsidR="00A4479A" w:rsidRDefault="00A4479A" w:rsidP="00A4479A">
            <w:pPr>
              <w:pStyle w:val="ListParagraph"/>
              <w:ind w:left="0"/>
              <w:rPr>
                <w:color w:val="000000"/>
                <w:lang w:eastAsia="en-GB"/>
              </w:rPr>
            </w:pPr>
            <w:r>
              <w:rPr>
                <w:b/>
              </w:rPr>
              <w:t xml:space="preserve">Objective 3: </w:t>
            </w:r>
            <w:r>
              <w:rPr>
                <w:color w:val="000000"/>
                <w:lang w:eastAsia="en-GB"/>
              </w:rPr>
              <w:t xml:space="preserve"> Develop opportunities for PGR students to have international experiences through </w:t>
            </w:r>
            <w:r w:rsidRPr="00C2675B">
              <w:rPr>
                <w:color w:val="000000"/>
                <w:lang w:eastAsia="en-GB"/>
              </w:rPr>
              <w:t>institutional visits or placements.</w:t>
            </w:r>
          </w:p>
          <w:p w:rsidR="00A4479A" w:rsidRDefault="00A4479A" w:rsidP="00A4479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58040D" w:rsidRDefault="0058040D" w:rsidP="004013D7">
            <w:pPr>
              <w:pStyle w:val="ListParagraph"/>
              <w:ind w:left="0"/>
            </w:pPr>
          </w:p>
          <w:p w:rsidR="00A4479A" w:rsidRDefault="00B94A04" w:rsidP="004013D7">
            <w:pPr>
              <w:pStyle w:val="ListParagraph"/>
              <w:ind w:left="0"/>
            </w:pPr>
            <w:r>
              <w:t>AD for</w:t>
            </w:r>
            <w:r w:rsidR="00A4479A">
              <w:t xml:space="preserve"> PGR</w:t>
            </w:r>
          </w:p>
        </w:tc>
      </w:tr>
      <w:tr w:rsidR="004435E1" w:rsidRPr="00C2675B" w:rsidTr="00EC3CED">
        <w:tc>
          <w:tcPr>
            <w:tcW w:w="7621" w:type="dxa"/>
            <w:shd w:val="clear" w:color="auto" w:fill="DAEEF3"/>
          </w:tcPr>
          <w:p w:rsidR="004435E1" w:rsidRPr="00C2675B" w:rsidRDefault="006D3881" w:rsidP="006A7F52">
            <w:pPr>
              <w:contextualSpacing/>
              <w:rPr>
                <w:rFonts w:eastAsia="Cambria"/>
                <w:b/>
                <w:u w:val="single"/>
                <w:lang w:eastAsia="en-GB"/>
              </w:rPr>
            </w:pPr>
            <w:r>
              <w:rPr>
                <w:rFonts w:eastAsia="Cambria"/>
                <w:b/>
                <w:lang w:eastAsia="en-GB"/>
              </w:rPr>
              <w:t>Goal</w:t>
            </w:r>
            <w:r w:rsidR="004435E1" w:rsidRPr="00C2675B">
              <w:rPr>
                <w:rFonts w:eastAsia="Cambria"/>
                <w:b/>
                <w:lang w:eastAsia="en-GB"/>
              </w:rPr>
              <w:t xml:space="preserve"> Two: Teaching and Learning</w:t>
            </w:r>
          </w:p>
        </w:tc>
        <w:tc>
          <w:tcPr>
            <w:tcW w:w="2268" w:type="dxa"/>
            <w:shd w:val="clear" w:color="auto" w:fill="DAEEF3"/>
          </w:tcPr>
          <w:p w:rsidR="004435E1" w:rsidRPr="00C2675B" w:rsidRDefault="004435E1" w:rsidP="00C2675B">
            <w:pPr>
              <w:contextualSpacing/>
              <w:rPr>
                <w:rFonts w:eastAsia="Cambria"/>
                <w:b/>
                <w:u w:val="single"/>
                <w:lang w:eastAsia="en-GB"/>
              </w:rPr>
            </w:pPr>
          </w:p>
        </w:tc>
      </w:tr>
      <w:tr w:rsidR="004435E1" w:rsidRPr="00C2675B" w:rsidTr="00EC3CED">
        <w:tc>
          <w:tcPr>
            <w:tcW w:w="7621" w:type="dxa"/>
            <w:shd w:val="clear" w:color="auto" w:fill="FFFFFF"/>
          </w:tcPr>
          <w:p w:rsidR="00433F95" w:rsidRDefault="00433F95" w:rsidP="004435E1">
            <w:pPr>
              <w:tabs>
                <w:tab w:val="left" w:pos="7545"/>
              </w:tabs>
              <w:contextualSpacing/>
              <w:rPr>
                <w:rFonts w:eastAsia="Cambria"/>
                <w:b/>
                <w:lang w:eastAsia="en-GB"/>
              </w:rPr>
            </w:pPr>
          </w:p>
          <w:p w:rsidR="004435E1" w:rsidRPr="00C2675B" w:rsidRDefault="004435E1" w:rsidP="00433F95">
            <w:pPr>
              <w:tabs>
                <w:tab w:val="left" w:pos="7545"/>
              </w:tabs>
              <w:contextualSpacing/>
              <w:rPr>
                <w:rFonts w:eastAsia="Cambria"/>
                <w:b/>
                <w:lang w:eastAsia="en-GB"/>
              </w:rPr>
            </w:pPr>
            <w:r w:rsidRPr="00433F95">
              <w:rPr>
                <w:rFonts w:eastAsia="Cambria"/>
                <w:b/>
                <w:lang w:eastAsia="en-GB"/>
              </w:rPr>
              <w:t>Objective 1</w:t>
            </w:r>
            <w:r w:rsidRPr="00C2675B">
              <w:rPr>
                <w:rFonts w:eastAsia="Cambria"/>
                <w:lang w:eastAsia="en-GB"/>
              </w:rPr>
              <w:t xml:space="preserve">: </w:t>
            </w:r>
            <w:r>
              <w:rPr>
                <w:rFonts w:eastAsia="Cambria"/>
                <w:lang w:eastAsia="en-GB"/>
              </w:rPr>
              <w:t>Diversify sources of international s</w:t>
            </w:r>
            <w:r w:rsidRPr="00C2675B">
              <w:rPr>
                <w:rFonts w:eastAsia="Cambria"/>
                <w:lang w:eastAsia="en-GB"/>
              </w:rPr>
              <w:t xml:space="preserve">tudent recruitment </w:t>
            </w:r>
            <w:r>
              <w:rPr>
                <w:rFonts w:eastAsia="Cambria"/>
                <w:lang w:eastAsia="en-GB"/>
              </w:rPr>
              <w:t xml:space="preserve">and contribute to the University initiative to increase the proportion of international students to 33% of the student population (Project 33). </w:t>
            </w:r>
            <w:r w:rsidRPr="00C2675B">
              <w:rPr>
                <w:rFonts w:eastAsia="Cambria"/>
                <w:b/>
                <w:lang w:eastAsia="en-GB"/>
              </w:rPr>
              <w:tab/>
            </w:r>
          </w:p>
        </w:tc>
        <w:tc>
          <w:tcPr>
            <w:tcW w:w="2268" w:type="dxa"/>
            <w:shd w:val="clear" w:color="auto" w:fill="FFFFFF"/>
          </w:tcPr>
          <w:p w:rsidR="00FB5EA4" w:rsidRDefault="00FB5EA4" w:rsidP="00FD00AC">
            <w:pPr>
              <w:tabs>
                <w:tab w:val="left" w:pos="7545"/>
              </w:tabs>
              <w:contextualSpacing/>
              <w:rPr>
                <w:rFonts w:eastAsia="Cambria"/>
                <w:lang w:eastAsia="en-GB"/>
              </w:rPr>
            </w:pPr>
          </w:p>
          <w:p w:rsidR="004435E1" w:rsidRPr="004435E1" w:rsidRDefault="004435E1" w:rsidP="00FD00AC">
            <w:pPr>
              <w:tabs>
                <w:tab w:val="left" w:pos="7545"/>
              </w:tabs>
              <w:contextualSpacing/>
              <w:rPr>
                <w:rFonts w:eastAsia="Cambria"/>
                <w:lang w:eastAsia="en-GB"/>
              </w:rPr>
            </w:pPr>
            <w:r w:rsidRPr="004435E1">
              <w:rPr>
                <w:rFonts w:eastAsia="Cambria"/>
                <w:lang w:eastAsia="en-GB"/>
              </w:rPr>
              <w:t>AD for Teaching and Learning</w:t>
            </w:r>
          </w:p>
        </w:tc>
      </w:tr>
      <w:tr w:rsidR="004435E1" w:rsidRPr="00C2675B" w:rsidTr="00EC3CED">
        <w:tc>
          <w:tcPr>
            <w:tcW w:w="7621" w:type="dxa"/>
            <w:shd w:val="clear" w:color="auto" w:fill="FFFFFF"/>
          </w:tcPr>
          <w:p w:rsidR="00433F95" w:rsidRDefault="00433F95" w:rsidP="00433F95">
            <w:pPr>
              <w:contextualSpacing/>
              <w:rPr>
                <w:rFonts w:eastAsia="Cambria"/>
                <w:b/>
                <w:lang w:eastAsia="en-GB"/>
              </w:rPr>
            </w:pPr>
          </w:p>
          <w:p w:rsidR="004435E1" w:rsidRDefault="004435E1" w:rsidP="00433F95">
            <w:pPr>
              <w:contextualSpacing/>
            </w:pPr>
            <w:r w:rsidRPr="00433F95">
              <w:rPr>
                <w:rFonts w:eastAsia="Cambria"/>
                <w:b/>
                <w:lang w:eastAsia="en-GB"/>
              </w:rPr>
              <w:t xml:space="preserve">Objective </w:t>
            </w:r>
            <w:r w:rsidR="00433F95" w:rsidRPr="00433F95">
              <w:rPr>
                <w:b/>
              </w:rPr>
              <w:t>2</w:t>
            </w:r>
            <w:r w:rsidRPr="00433F95">
              <w:rPr>
                <w:b/>
              </w:rPr>
              <w:t>:</w:t>
            </w:r>
            <w:r w:rsidRPr="00C2675B">
              <w:t xml:space="preserve"> </w:t>
            </w:r>
            <w:r w:rsidR="00433F95">
              <w:t>Extend the i</w:t>
            </w:r>
            <w:r w:rsidRPr="00C2675B">
              <w:t>nternationalisati</w:t>
            </w:r>
            <w:r w:rsidR="00433F95">
              <w:t xml:space="preserve">on of the student experience </w:t>
            </w:r>
            <w:r w:rsidRPr="00C2675B">
              <w:t xml:space="preserve">through curricular and non-curricular </w:t>
            </w:r>
            <w:r w:rsidR="00433F95">
              <w:t>innovation</w:t>
            </w:r>
            <w:r w:rsidRPr="00C2675B">
              <w:t>.</w:t>
            </w:r>
          </w:p>
          <w:p w:rsidR="00433F95" w:rsidRPr="00C2675B" w:rsidRDefault="00433F95" w:rsidP="00433F95">
            <w:pPr>
              <w:contextualSpacing/>
              <w:rPr>
                <w:rFonts w:eastAsia="Cambria"/>
                <w:lang w:eastAsia="en-GB"/>
              </w:rPr>
            </w:pPr>
          </w:p>
        </w:tc>
        <w:tc>
          <w:tcPr>
            <w:tcW w:w="2268" w:type="dxa"/>
            <w:shd w:val="clear" w:color="auto" w:fill="FFFFFF"/>
          </w:tcPr>
          <w:p w:rsidR="00FB5EA4" w:rsidRDefault="00FB5EA4" w:rsidP="00FD00AC">
            <w:pPr>
              <w:tabs>
                <w:tab w:val="left" w:pos="7545"/>
              </w:tabs>
              <w:contextualSpacing/>
              <w:rPr>
                <w:rFonts w:eastAsia="Cambria"/>
                <w:lang w:eastAsia="en-GB"/>
              </w:rPr>
            </w:pPr>
          </w:p>
          <w:p w:rsidR="004435E1" w:rsidRPr="00C2675B" w:rsidRDefault="00433F95" w:rsidP="00FD00AC">
            <w:pPr>
              <w:tabs>
                <w:tab w:val="left" w:pos="7545"/>
              </w:tabs>
              <w:contextualSpacing/>
              <w:rPr>
                <w:rFonts w:eastAsia="Cambria"/>
                <w:lang w:eastAsia="en-GB"/>
              </w:rPr>
            </w:pPr>
            <w:r w:rsidRPr="004435E1">
              <w:rPr>
                <w:rFonts w:eastAsia="Cambria"/>
                <w:lang w:eastAsia="en-GB"/>
              </w:rPr>
              <w:t>AD for Teaching and Learning</w:t>
            </w:r>
          </w:p>
        </w:tc>
      </w:tr>
      <w:tr w:rsidR="00EB7FDC" w:rsidRPr="00C2675B" w:rsidTr="00EC3CED">
        <w:tc>
          <w:tcPr>
            <w:tcW w:w="7621" w:type="dxa"/>
            <w:shd w:val="clear" w:color="auto" w:fill="FFFFFF"/>
          </w:tcPr>
          <w:p w:rsidR="00EB7FDC" w:rsidRDefault="00EB7FDC" w:rsidP="00433F95">
            <w:pPr>
              <w:contextualSpacing/>
              <w:rPr>
                <w:rFonts w:eastAsia="Cambria"/>
                <w:b/>
                <w:lang w:eastAsia="en-GB"/>
              </w:rPr>
            </w:pPr>
          </w:p>
          <w:p w:rsidR="00745890" w:rsidRPr="00745890" w:rsidRDefault="00745890" w:rsidP="00433F95">
            <w:pPr>
              <w:contextualSpacing/>
              <w:rPr>
                <w:rFonts w:eastAsia="Cambria"/>
                <w:lang w:eastAsia="en-GB"/>
              </w:rPr>
            </w:pPr>
            <w:r w:rsidRPr="00745890">
              <w:rPr>
                <w:rFonts w:eastAsia="Cambria"/>
                <w:b/>
                <w:lang w:eastAsia="en-GB"/>
              </w:rPr>
              <w:t>Objective 3</w:t>
            </w:r>
            <w:r w:rsidRPr="00745890">
              <w:rPr>
                <w:rFonts w:eastAsia="Cambria"/>
                <w:lang w:eastAsia="en-GB"/>
              </w:rPr>
              <w:t>: Through ongoing portfolio review, explore opportunities to make the portfolio more attractive to international students.</w:t>
            </w:r>
          </w:p>
          <w:p w:rsidR="00745890" w:rsidRDefault="00745890" w:rsidP="00433F95">
            <w:pPr>
              <w:contextualSpacing/>
              <w:rPr>
                <w:rFonts w:eastAsia="Cambria"/>
                <w:b/>
                <w:lang w:eastAsia="en-GB"/>
              </w:rPr>
            </w:pPr>
          </w:p>
        </w:tc>
        <w:tc>
          <w:tcPr>
            <w:tcW w:w="2268" w:type="dxa"/>
            <w:shd w:val="clear" w:color="auto" w:fill="FFFFFF"/>
          </w:tcPr>
          <w:p w:rsidR="00EB7FDC" w:rsidRDefault="00EB7FDC" w:rsidP="00FD00AC">
            <w:pPr>
              <w:tabs>
                <w:tab w:val="left" w:pos="7545"/>
              </w:tabs>
              <w:contextualSpacing/>
              <w:rPr>
                <w:rFonts w:eastAsia="Cambria"/>
                <w:lang w:eastAsia="en-GB"/>
              </w:rPr>
            </w:pPr>
          </w:p>
          <w:p w:rsidR="00745890" w:rsidRDefault="00745890" w:rsidP="00FD00AC">
            <w:pPr>
              <w:tabs>
                <w:tab w:val="left" w:pos="7545"/>
              </w:tabs>
              <w:contextualSpacing/>
              <w:rPr>
                <w:rFonts w:eastAsia="Cambria"/>
                <w:lang w:eastAsia="en-GB"/>
              </w:rPr>
            </w:pPr>
            <w:r w:rsidRPr="004435E1">
              <w:rPr>
                <w:rFonts w:eastAsia="Cambria"/>
                <w:lang w:eastAsia="en-GB"/>
              </w:rPr>
              <w:t>AD for Teaching and Learning</w:t>
            </w:r>
          </w:p>
        </w:tc>
      </w:tr>
      <w:tr w:rsidR="00EC6792" w:rsidRPr="00C2675B" w:rsidTr="000F5B0F">
        <w:tc>
          <w:tcPr>
            <w:tcW w:w="7621" w:type="dxa"/>
            <w:shd w:val="clear" w:color="auto" w:fill="DAEEF3"/>
          </w:tcPr>
          <w:p w:rsidR="00EC6792" w:rsidRPr="00C2675B" w:rsidRDefault="00EC6792" w:rsidP="00EC6792">
            <w:pPr>
              <w:contextualSpacing/>
              <w:rPr>
                <w:rFonts w:eastAsia="Cambria"/>
                <w:b/>
                <w:u w:val="single"/>
                <w:lang w:eastAsia="en-GB"/>
              </w:rPr>
            </w:pPr>
            <w:r>
              <w:rPr>
                <w:rFonts w:eastAsia="Cambria"/>
                <w:b/>
                <w:lang w:eastAsia="en-GB"/>
              </w:rPr>
              <w:t>Goal</w:t>
            </w:r>
            <w:r w:rsidRPr="00C2675B">
              <w:rPr>
                <w:rFonts w:eastAsia="Cambria"/>
                <w:b/>
                <w:lang w:eastAsia="en-GB"/>
              </w:rPr>
              <w:t xml:space="preserve"> T</w:t>
            </w:r>
            <w:r>
              <w:rPr>
                <w:rFonts w:eastAsia="Cambria"/>
                <w:b/>
                <w:lang w:eastAsia="en-GB"/>
              </w:rPr>
              <w:t>hree</w:t>
            </w:r>
            <w:r w:rsidRPr="00C2675B">
              <w:rPr>
                <w:rFonts w:eastAsia="Cambria"/>
                <w:b/>
                <w:lang w:eastAsia="en-GB"/>
              </w:rPr>
              <w:t xml:space="preserve">: </w:t>
            </w:r>
            <w:r>
              <w:rPr>
                <w:rFonts w:eastAsia="Cambria"/>
                <w:b/>
                <w:lang w:eastAsia="en-GB"/>
              </w:rPr>
              <w:t xml:space="preserve">Social Responsibility </w:t>
            </w:r>
          </w:p>
        </w:tc>
        <w:tc>
          <w:tcPr>
            <w:tcW w:w="2268" w:type="dxa"/>
            <w:shd w:val="clear" w:color="auto" w:fill="DAEEF3"/>
          </w:tcPr>
          <w:p w:rsidR="00EC6792" w:rsidRDefault="00EC6792" w:rsidP="00FD00AC">
            <w:pPr>
              <w:tabs>
                <w:tab w:val="left" w:pos="7545"/>
              </w:tabs>
              <w:contextualSpacing/>
              <w:rPr>
                <w:rFonts w:eastAsia="Cambria"/>
                <w:lang w:eastAsia="en-GB"/>
              </w:rPr>
            </w:pPr>
          </w:p>
        </w:tc>
      </w:tr>
      <w:tr w:rsidR="00EC6792" w:rsidRPr="00C2675B" w:rsidTr="00EC3CED">
        <w:tc>
          <w:tcPr>
            <w:tcW w:w="7621" w:type="dxa"/>
            <w:shd w:val="clear" w:color="auto" w:fill="FFFFFF"/>
          </w:tcPr>
          <w:p w:rsidR="00EC6792" w:rsidRPr="00EC6792" w:rsidRDefault="00EC6792" w:rsidP="00EC6792">
            <w:pPr>
              <w:pStyle w:val="ListParagraph"/>
              <w:ind w:left="0"/>
              <w:rPr>
                <w:rFonts w:eastAsia="Cambria"/>
                <w:b/>
                <w:lang w:eastAsia="en-GB"/>
              </w:rPr>
            </w:pPr>
            <w:r w:rsidRPr="00EC6792">
              <w:rPr>
                <w:rFonts w:eastAsia="Cambria"/>
                <w:lang w:eastAsia="en-GB"/>
              </w:rPr>
              <w:t xml:space="preserve">Objective </w:t>
            </w:r>
            <w:r w:rsidRPr="00EC6792">
              <w:t>1:</w:t>
            </w:r>
            <w:r w:rsidRPr="00EC6792">
              <w:rPr>
                <w:rFonts w:eastAsia="Cambria"/>
                <w:lang w:eastAsia="en-GB"/>
              </w:rPr>
              <w:t xml:space="preserve"> </w:t>
            </w:r>
            <w:r>
              <w:rPr>
                <w:rFonts w:eastAsia="Cambria"/>
                <w:lang w:eastAsia="en-GB"/>
              </w:rPr>
              <w:t>I</w:t>
            </w:r>
            <w:r>
              <w:rPr>
                <w:color w:val="000000"/>
                <w:lang w:eastAsia="en-GB"/>
              </w:rPr>
              <w:t>dentifying international partners who can support the University’s Social Responsibility agenda.</w:t>
            </w:r>
          </w:p>
        </w:tc>
        <w:tc>
          <w:tcPr>
            <w:tcW w:w="2268" w:type="dxa"/>
            <w:shd w:val="clear" w:color="auto" w:fill="FFFFFF"/>
          </w:tcPr>
          <w:p w:rsidR="00EC6792" w:rsidRDefault="00EC6792" w:rsidP="00FD00AC">
            <w:pPr>
              <w:tabs>
                <w:tab w:val="left" w:pos="7545"/>
              </w:tabs>
              <w:contextualSpacing/>
              <w:rPr>
                <w:rFonts w:eastAsia="Cambria"/>
                <w:lang w:eastAsia="en-GB"/>
              </w:rPr>
            </w:pPr>
            <w:r>
              <w:rPr>
                <w:rFonts w:eastAsia="Cambria"/>
                <w:lang w:eastAsia="en-GB"/>
              </w:rPr>
              <w:t>AAD, Internationalisation</w:t>
            </w:r>
          </w:p>
        </w:tc>
      </w:tr>
      <w:tr w:rsidR="00EC6792" w:rsidRPr="00C2675B" w:rsidTr="00EC3CED">
        <w:tc>
          <w:tcPr>
            <w:tcW w:w="7621" w:type="dxa"/>
            <w:shd w:val="clear" w:color="auto" w:fill="FDE9D9"/>
          </w:tcPr>
          <w:p w:rsidR="00EC6792" w:rsidRPr="00C2675B" w:rsidRDefault="00EC6792" w:rsidP="006D3881">
            <w:pPr>
              <w:pStyle w:val="ListParagraph"/>
              <w:ind w:left="0"/>
              <w:rPr>
                <w:rFonts w:eastAsia="Cambria"/>
                <w:b/>
                <w:lang w:eastAsia="en-GB"/>
              </w:rPr>
            </w:pPr>
            <w:r w:rsidRPr="00C2675B">
              <w:rPr>
                <w:rFonts w:eastAsia="Cambria"/>
                <w:b/>
                <w:lang w:eastAsia="en-GB"/>
              </w:rPr>
              <w:t xml:space="preserve">Enabling </w:t>
            </w:r>
            <w:r>
              <w:rPr>
                <w:rFonts w:eastAsia="Cambria"/>
                <w:b/>
                <w:lang w:eastAsia="en-GB"/>
              </w:rPr>
              <w:t>Goals</w:t>
            </w:r>
          </w:p>
        </w:tc>
        <w:tc>
          <w:tcPr>
            <w:tcW w:w="2268" w:type="dxa"/>
            <w:shd w:val="clear" w:color="auto" w:fill="FDE9D9"/>
          </w:tcPr>
          <w:p w:rsidR="00EC6792" w:rsidRPr="00C2675B" w:rsidRDefault="00EC6792" w:rsidP="003366FF">
            <w:pPr>
              <w:contextualSpacing/>
              <w:rPr>
                <w:b/>
              </w:rPr>
            </w:pPr>
          </w:p>
        </w:tc>
      </w:tr>
      <w:tr w:rsidR="00EC6792" w:rsidRPr="00C2675B" w:rsidTr="00EC3CED">
        <w:tc>
          <w:tcPr>
            <w:tcW w:w="7621" w:type="dxa"/>
          </w:tcPr>
          <w:p w:rsidR="00EC6792" w:rsidRDefault="00EC6792" w:rsidP="006D3881">
            <w:pPr>
              <w:contextualSpacing/>
              <w:rPr>
                <w:b/>
              </w:rPr>
            </w:pPr>
          </w:p>
          <w:p w:rsidR="00EC6792" w:rsidRDefault="00EC6792" w:rsidP="006D3881">
            <w:pPr>
              <w:contextualSpacing/>
              <w:rPr>
                <w:color w:val="000000"/>
              </w:rPr>
            </w:pPr>
            <w:r w:rsidRPr="0058040D">
              <w:rPr>
                <w:b/>
              </w:rPr>
              <w:t>Objective 1</w:t>
            </w:r>
            <w:r>
              <w:t xml:space="preserve">:  </w:t>
            </w:r>
            <w:r>
              <w:rPr>
                <w:color w:val="000000"/>
              </w:rPr>
              <w:t>B</w:t>
            </w:r>
            <w:r w:rsidRPr="00C2675B">
              <w:rPr>
                <w:color w:val="000000"/>
              </w:rPr>
              <w:t xml:space="preserve">uild </w:t>
            </w:r>
            <w:r>
              <w:rPr>
                <w:color w:val="000000"/>
              </w:rPr>
              <w:t xml:space="preserve">a small number of strategic </w:t>
            </w:r>
            <w:r w:rsidRPr="00C2675B">
              <w:rPr>
                <w:color w:val="000000"/>
              </w:rPr>
              <w:t>partnerships</w:t>
            </w:r>
            <w:r>
              <w:rPr>
                <w:color w:val="000000"/>
              </w:rPr>
              <w:t>,</w:t>
            </w:r>
            <w:r w:rsidRPr="00C267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based </w:t>
            </w:r>
            <w:r w:rsidRPr="00C2675B">
              <w:rPr>
                <w:color w:val="000000"/>
              </w:rPr>
              <w:t xml:space="preserve">on </w:t>
            </w:r>
            <w:r>
              <w:rPr>
                <w:color w:val="000000"/>
              </w:rPr>
              <w:t>already existing relationships, to support the implementation of the above objectives.</w:t>
            </w:r>
          </w:p>
          <w:p w:rsidR="00EC6792" w:rsidRPr="00C2675B" w:rsidRDefault="00EC6792" w:rsidP="006D3881">
            <w:pPr>
              <w:contextualSpacing/>
            </w:pPr>
          </w:p>
        </w:tc>
        <w:tc>
          <w:tcPr>
            <w:tcW w:w="2268" w:type="dxa"/>
          </w:tcPr>
          <w:p w:rsidR="00EC6792" w:rsidRDefault="00EC6792" w:rsidP="00CE71E2">
            <w:pPr>
              <w:contextualSpacing/>
              <w:rPr>
                <w:color w:val="000000"/>
                <w:lang w:eastAsia="en-GB"/>
              </w:rPr>
            </w:pPr>
          </w:p>
          <w:p w:rsidR="00EC6792" w:rsidRPr="00C2675B" w:rsidRDefault="00EC6792" w:rsidP="00CE71E2">
            <w:pPr>
              <w:contextualSpacing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AAD, Internationalisation</w:t>
            </w:r>
          </w:p>
        </w:tc>
      </w:tr>
      <w:tr w:rsidR="00EC6792" w:rsidRPr="00C2675B" w:rsidTr="00EC3CED">
        <w:tc>
          <w:tcPr>
            <w:tcW w:w="7621" w:type="dxa"/>
          </w:tcPr>
          <w:p w:rsidR="00EC6792" w:rsidRDefault="00EC6792" w:rsidP="0058040D">
            <w:pPr>
              <w:contextualSpacing/>
            </w:pPr>
          </w:p>
          <w:p w:rsidR="00EC6792" w:rsidRPr="00C2675B" w:rsidRDefault="00EC6792" w:rsidP="0058040D">
            <w:pPr>
              <w:contextualSpacing/>
              <w:rPr>
                <w:color w:val="000000"/>
                <w:lang w:eastAsia="en-GB"/>
              </w:rPr>
            </w:pPr>
            <w:r w:rsidRPr="00D752FA">
              <w:rPr>
                <w:b/>
              </w:rPr>
              <w:t>Objective 2:</w:t>
            </w:r>
            <w:r w:rsidRPr="00C2675B">
              <w:t xml:space="preserve"> </w:t>
            </w:r>
            <w:r>
              <w:t>Extend the use</w:t>
            </w:r>
            <w:r w:rsidRPr="00C2675B">
              <w:rPr>
                <w:color w:val="000000"/>
                <w:lang w:eastAsia="en-GB"/>
              </w:rPr>
              <w:t xml:space="preserve"> of</w:t>
            </w:r>
            <w:r>
              <w:rPr>
                <w:color w:val="000000"/>
                <w:lang w:eastAsia="en-GB"/>
              </w:rPr>
              <w:t xml:space="preserve"> the</w:t>
            </w:r>
            <w:r w:rsidRPr="00C2675B">
              <w:rPr>
                <w:color w:val="000000"/>
                <w:lang w:eastAsia="en-GB"/>
              </w:rPr>
              <w:t xml:space="preserve"> alumni network</w:t>
            </w:r>
            <w:r>
              <w:rPr>
                <w:color w:val="000000"/>
                <w:lang w:eastAsia="en-GB"/>
              </w:rPr>
              <w:t xml:space="preserve"> in support of the above objectives</w:t>
            </w:r>
            <w:r w:rsidRPr="00C2675B">
              <w:rPr>
                <w:color w:val="000000"/>
                <w:lang w:eastAsia="en-GB"/>
              </w:rPr>
              <w:t xml:space="preserve"> </w:t>
            </w:r>
          </w:p>
          <w:p w:rsidR="00EC6792" w:rsidRPr="00C2675B" w:rsidRDefault="00EC6792" w:rsidP="00B0507D">
            <w:pPr>
              <w:contextualSpacing/>
              <w:rPr>
                <w:color w:val="000000"/>
                <w:lang w:eastAsia="en-GB"/>
              </w:rPr>
            </w:pPr>
          </w:p>
        </w:tc>
        <w:tc>
          <w:tcPr>
            <w:tcW w:w="2268" w:type="dxa"/>
          </w:tcPr>
          <w:p w:rsidR="00EC6792" w:rsidRDefault="00EC6792" w:rsidP="003366FF">
            <w:pPr>
              <w:contextualSpacing/>
              <w:rPr>
                <w:color w:val="000000"/>
                <w:lang w:eastAsia="en-GB"/>
              </w:rPr>
            </w:pPr>
          </w:p>
          <w:p w:rsidR="00EC6792" w:rsidRPr="00C2675B" w:rsidRDefault="00EC6792" w:rsidP="003366FF">
            <w:pPr>
              <w:contextualSpacing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AAD, Internationalisation</w:t>
            </w:r>
          </w:p>
        </w:tc>
      </w:tr>
      <w:tr w:rsidR="00EC6792" w:rsidRPr="00C2675B" w:rsidTr="00EC3CED">
        <w:tc>
          <w:tcPr>
            <w:tcW w:w="7621" w:type="dxa"/>
          </w:tcPr>
          <w:p w:rsidR="00EC6792" w:rsidRDefault="00EC6792" w:rsidP="005267C1">
            <w:pPr>
              <w:contextualSpacing/>
            </w:pPr>
          </w:p>
          <w:p w:rsidR="00EC6792" w:rsidRPr="00C2675B" w:rsidRDefault="00EC6792" w:rsidP="005267C1">
            <w:pPr>
              <w:contextualSpacing/>
            </w:pPr>
            <w:r w:rsidRPr="00D752FA">
              <w:rPr>
                <w:b/>
              </w:rPr>
              <w:t>Objective 3:</w:t>
            </w:r>
            <w:r w:rsidRPr="00C2675B">
              <w:t xml:space="preserve"> </w:t>
            </w:r>
            <w:r>
              <w:t>Through improved marketing and branding, raise FoH’s international p</w:t>
            </w:r>
            <w:r w:rsidRPr="00C2675B">
              <w:t>rofile</w:t>
            </w:r>
            <w:r>
              <w:t xml:space="preserve"> in support of the above objectives.</w:t>
            </w:r>
          </w:p>
          <w:p w:rsidR="00EC6792" w:rsidRPr="00C2675B" w:rsidRDefault="00EC6792" w:rsidP="0058040D">
            <w:pPr>
              <w:contextualSpacing/>
            </w:pPr>
          </w:p>
          <w:p w:rsidR="00EC6792" w:rsidRPr="00C2675B" w:rsidRDefault="00EC6792" w:rsidP="00651158">
            <w:pPr>
              <w:contextualSpacing/>
            </w:pPr>
          </w:p>
        </w:tc>
        <w:tc>
          <w:tcPr>
            <w:tcW w:w="2268" w:type="dxa"/>
          </w:tcPr>
          <w:p w:rsidR="00EC6792" w:rsidRDefault="00EC6792" w:rsidP="0058040D">
            <w:pPr>
              <w:pStyle w:val="ListParagraph"/>
              <w:ind w:left="0"/>
              <w:rPr>
                <w:color w:val="000000"/>
                <w:lang w:eastAsia="en-GB"/>
              </w:rPr>
            </w:pPr>
          </w:p>
          <w:p w:rsidR="00EC6792" w:rsidRPr="00C2675B" w:rsidRDefault="00EC6792" w:rsidP="0058040D">
            <w:pPr>
              <w:pStyle w:val="ListParagraph"/>
              <w:ind w:left="0"/>
            </w:pPr>
            <w:r>
              <w:rPr>
                <w:color w:val="000000"/>
                <w:lang w:eastAsia="en-GB"/>
              </w:rPr>
              <w:t>AAD, Internationalisation</w:t>
            </w:r>
          </w:p>
        </w:tc>
      </w:tr>
      <w:tr w:rsidR="00EC6792" w:rsidRPr="00C2675B" w:rsidTr="00EC3CED">
        <w:tc>
          <w:tcPr>
            <w:tcW w:w="7621" w:type="dxa"/>
          </w:tcPr>
          <w:p w:rsidR="00EC6792" w:rsidRDefault="00EC6792" w:rsidP="00F268A7">
            <w:pPr>
              <w:pStyle w:val="ListParagraph"/>
              <w:ind w:left="0"/>
            </w:pPr>
          </w:p>
          <w:p w:rsidR="00EC6792" w:rsidRDefault="00EC6792" w:rsidP="00EB7FDC">
            <w:pPr>
              <w:pStyle w:val="ListParagraph"/>
              <w:ind w:left="0"/>
            </w:pPr>
            <w:r w:rsidRPr="00D752FA">
              <w:rPr>
                <w:b/>
              </w:rPr>
              <w:t>Objective 4.</w:t>
            </w:r>
            <w:r>
              <w:t xml:space="preserve"> Explore the provision of investment/seed corn </w:t>
            </w:r>
            <w:r w:rsidRPr="00C2675B">
              <w:t xml:space="preserve">funding </w:t>
            </w:r>
            <w:r>
              <w:t>to</w:t>
            </w:r>
            <w:r w:rsidRPr="00C2675B">
              <w:t xml:space="preserve"> </w:t>
            </w:r>
            <w:r>
              <w:t xml:space="preserve">support </w:t>
            </w:r>
            <w:r w:rsidRPr="00C2675B">
              <w:t>internationalisation</w:t>
            </w:r>
            <w:r>
              <w:t xml:space="preserve"> initiatives via</w:t>
            </w:r>
            <w:r w:rsidRPr="00C2675B">
              <w:t xml:space="preserve"> H-SIF and </w:t>
            </w:r>
            <w:r>
              <w:t>other funding sources</w:t>
            </w:r>
            <w:r w:rsidRPr="00C2675B">
              <w:t xml:space="preserve">. </w:t>
            </w:r>
          </w:p>
          <w:p w:rsidR="00EC6792" w:rsidRPr="00C2675B" w:rsidRDefault="00EC6792" w:rsidP="00D752FA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EC6792" w:rsidRDefault="00EC6792" w:rsidP="00B0507D">
            <w:pPr>
              <w:pStyle w:val="ListParagraph"/>
              <w:ind w:left="0"/>
            </w:pPr>
          </w:p>
          <w:p w:rsidR="00EC6792" w:rsidRPr="00C2675B" w:rsidRDefault="00EC6792" w:rsidP="00B0507D">
            <w:pPr>
              <w:pStyle w:val="ListParagraph"/>
              <w:ind w:left="0"/>
            </w:pPr>
            <w:r>
              <w:rPr>
                <w:color w:val="000000"/>
                <w:lang w:eastAsia="en-GB"/>
              </w:rPr>
              <w:t>AAD, Internationalisation</w:t>
            </w:r>
          </w:p>
        </w:tc>
      </w:tr>
      <w:tr w:rsidR="00EC6792" w:rsidRPr="00C2675B" w:rsidTr="00EC3CED">
        <w:tc>
          <w:tcPr>
            <w:tcW w:w="7621" w:type="dxa"/>
          </w:tcPr>
          <w:p w:rsidR="00EC6792" w:rsidRDefault="00EC6792" w:rsidP="00D752FA">
            <w:pPr>
              <w:contextualSpacing/>
            </w:pPr>
          </w:p>
          <w:p w:rsidR="00EC6792" w:rsidRPr="00C2675B" w:rsidRDefault="00EC6792" w:rsidP="00D752FA">
            <w:pPr>
              <w:contextualSpacing/>
            </w:pPr>
            <w:r w:rsidRPr="00D752FA">
              <w:rPr>
                <w:b/>
              </w:rPr>
              <w:t>Objective 5:</w:t>
            </w:r>
            <w:r w:rsidRPr="00C2675B">
              <w:t xml:space="preserve"> </w:t>
            </w:r>
            <w:r>
              <w:t>Work with</w:t>
            </w:r>
            <w:r w:rsidRPr="00C2675B">
              <w:t xml:space="preserve"> the University Language Centre</w:t>
            </w:r>
            <w:r>
              <w:t xml:space="preserve"> to increase the uptake of </w:t>
            </w:r>
            <w:r w:rsidRPr="00C2675B">
              <w:t>languages across the University.</w:t>
            </w:r>
          </w:p>
        </w:tc>
        <w:tc>
          <w:tcPr>
            <w:tcW w:w="2268" w:type="dxa"/>
          </w:tcPr>
          <w:p w:rsidR="00EC6792" w:rsidRDefault="00EC6792" w:rsidP="003366FF">
            <w:pPr>
              <w:contextualSpacing/>
              <w:rPr>
                <w:color w:val="000000"/>
                <w:lang w:eastAsia="en-GB"/>
              </w:rPr>
            </w:pPr>
          </w:p>
          <w:p w:rsidR="00EC6792" w:rsidRPr="00C2675B" w:rsidRDefault="00EC6792" w:rsidP="003366FF">
            <w:pPr>
              <w:contextualSpacing/>
            </w:pPr>
            <w:r>
              <w:rPr>
                <w:color w:val="000000"/>
                <w:lang w:eastAsia="en-GB"/>
              </w:rPr>
              <w:t>AAD, Internationalisation</w:t>
            </w:r>
          </w:p>
        </w:tc>
      </w:tr>
    </w:tbl>
    <w:p w:rsidR="00271CCB" w:rsidRDefault="00271CCB" w:rsidP="00A600A2">
      <w:pPr>
        <w:contextualSpacing/>
        <w:rPr>
          <w:b/>
          <w:u w:val="single"/>
        </w:rPr>
      </w:pPr>
    </w:p>
    <w:p w:rsidR="00271CCB" w:rsidRDefault="00271CCB" w:rsidP="00A600A2">
      <w:pPr>
        <w:contextualSpacing/>
        <w:rPr>
          <w:b/>
          <w:u w:val="single"/>
        </w:rPr>
      </w:pPr>
    </w:p>
    <w:p w:rsidR="00A804B7" w:rsidRDefault="00A804B7" w:rsidP="00A600A2">
      <w:pPr>
        <w:contextualSpacing/>
        <w:rPr>
          <w:b/>
          <w:u w:val="single"/>
        </w:rPr>
      </w:pPr>
      <w:r w:rsidRPr="00C2675B">
        <w:rPr>
          <w:b/>
          <w:u w:val="single"/>
        </w:rPr>
        <w:t>Governance</w:t>
      </w:r>
      <w:r w:rsidR="00584867" w:rsidRPr="00C2675B">
        <w:rPr>
          <w:b/>
          <w:u w:val="single"/>
        </w:rPr>
        <w:t xml:space="preserve"> </w:t>
      </w:r>
    </w:p>
    <w:p w:rsidR="00271CCB" w:rsidRDefault="00271CCB" w:rsidP="00A600A2">
      <w:pPr>
        <w:contextualSpacing/>
        <w:rPr>
          <w:b/>
          <w:u w:val="single"/>
        </w:rPr>
      </w:pPr>
    </w:p>
    <w:p w:rsidR="00271CCB" w:rsidRDefault="00C646AF" w:rsidP="00A600A2">
      <w:pPr>
        <w:contextualSpacing/>
      </w:pPr>
      <w:r w:rsidRPr="00C646AF">
        <w:t xml:space="preserve">Governance </w:t>
      </w:r>
      <w:r>
        <w:t>arrangements need to be proportionate and take account of the cross-cutting nature of the internationalisation agenda</w:t>
      </w:r>
      <w:r w:rsidR="008A60D9">
        <w:t xml:space="preserve">.  In other words, we need to ensure that work in this area is joined up with the work of the other Associate Deans and avoid creating a parallel universe that leads to duplication and confusion. </w:t>
      </w:r>
      <w:r w:rsidR="00C631DB">
        <w:t>One way to do this is to ensure that objectives relating directly to the core goals are led by the respective Associate Dean and progressed through the relevant committees</w:t>
      </w:r>
      <w:r w:rsidR="00B94A04">
        <w:t>,</w:t>
      </w:r>
      <w:r w:rsidR="00C631DB">
        <w:t xml:space="preserve"> and this is what is proposed.  At the same time, it is important that the internationalisation agenda is championed and the governance arrangements </w:t>
      </w:r>
      <w:r w:rsidR="004C4BAA">
        <w:t xml:space="preserve">facilitate the coordination of the whole agenda and </w:t>
      </w:r>
      <w:r w:rsidR="00C631DB">
        <w:t xml:space="preserve">enable </w:t>
      </w:r>
      <w:r w:rsidR="004C4BAA">
        <w:t xml:space="preserve">the planning and implementation of </w:t>
      </w:r>
      <w:r w:rsidR="008A60D9">
        <w:t xml:space="preserve"> </w:t>
      </w:r>
      <w:r w:rsidR="004C4BAA">
        <w:t xml:space="preserve">activities such as international partnership development that support the whole agenda.  To achieve this, </w:t>
      </w:r>
      <w:r w:rsidR="008A60D9">
        <w:t>the following arrangements are proposed:</w:t>
      </w:r>
    </w:p>
    <w:p w:rsidR="004C4BAA" w:rsidRPr="00C646AF" w:rsidRDefault="004C4BAA" w:rsidP="00A600A2">
      <w:pPr>
        <w:contextualSpacing/>
      </w:pPr>
    </w:p>
    <w:p w:rsidR="004C4BAA" w:rsidRDefault="00A804B7" w:rsidP="003D2CD4">
      <w:pPr>
        <w:numPr>
          <w:ilvl w:val="0"/>
          <w:numId w:val="15"/>
        </w:numPr>
        <w:contextualSpacing/>
      </w:pPr>
      <w:r w:rsidRPr="00C2675B">
        <w:t xml:space="preserve">Internationalisation </w:t>
      </w:r>
      <w:r w:rsidR="003D2CD4" w:rsidRPr="00C2675B">
        <w:t xml:space="preserve">strategy </w:t>
      </w:r>
      <w:r w:rsidR="0044443C" w:rsidRPr="00C2675B">
        <w:t xml:space="preserve">should </w:t>
      </w:r>
      <w:r w:rsidR="004C4BAA">
        <w:t xml:space="preserve">continue to </w:t>
      </w:r>
      <w:r w:rsidR="0044443C" w:rsidRPr="00C2675B">
        <w:t xml:space="preserve">be </w:t>
      </w:r>
      <w:r w:rsidR="003D2CD4" w:rsidRPr="00C2675B">
        <w:t xml:space="preserve">coordinated by </w:t>
      </w:r>
      <w:r w:rsidR="004C4BAA">
        <w:t>an</w:t>
      </w:r>
      <w:r w:rsidR="0044443C" w:rsidRPr="00C2675B">
        <w:t xml:space="preserve"> </w:t>
      </w:r>
      <w:r w:rsidR="003D2CD4" w:rsidRPr="00C2675B">
        <w:t xml:space="preserve">AAD </w:t>
      </w:r>
      <w:r w:rsidR="004C4BAA">
        <w:t>for Internationalisation.</w:t>
      </w:r>
    </w:p>
    <w:p w:rsidR="004C4BAA" w:rsidRDefault="004C4BAA" w:rsidP="004C4BAA">
      <w:pPr>
        <w:ind w:left="720"/>
        <w:contextualSpacing/>
      </w:pPr>
    </w:p>
    <w:p w:rsidR="00EC3CED" w:rsidRDefault="004C4BAA" w:rsidP="003D2CD4">
      <w:pPr>
        <w:numPr>
          <w:ilvl w:val="0"/>
          <w:numId w:val="15"/>
        </w:numPr>
        <w:contextualSpacing/>
      </w:pPr>
      <w:r>
        <w:t>T</w:t>
      </w:r>
      <w:r w:rsidR="0044443C" w:rsidRPr="00C2675B">
        <w:t xml:space="preserve">he </w:t>
      </w:r>
      <w:r w:rsidR="003D2CD4" w:rsidRPr="00C2675B">
        <w:t xml:space="preserve">Faculty Internationalisation </w:t>
      </w:r>
      <w:r>
        <w:t>Strategy</w:t>
      </w:r>
      <w:r w:rsidR="003D2CD4" w:rsidRPr="00C2675B">
        <w:t xml:space="preserve"> Group </w:t>
      </w:r>
      <w:r>
        <w:t>should continue but with revised membership and te</w:t>
      </w:r>
      <w:r w:rsidR="00EC3CED">
        <w:t>rms of reference (see appendix 1</w:t>
      </w:r>
      <w:r>
        <w:t>).</w:t>
      </w:r>
      <w:r w:rsidR="007F7BD2" w:rsidRPr="00C2675B">
        <w:t xml:space="preserve"> </w:t>
      </w:r>
    </w:p>
    <w:p w:rsidR="00EC3CED" w:rsidRDefault="00EC3CED" w:rsidP="00EC3CED">
      <w:pPr>
        <w:pStyle w:val="ListParagraph"/>
      </w:pPr>
    </w:p>
    <w:p w:rsidR="00EC3CED" w:rsidRDefault="00EC3CED" w:rsidP="003D2CD4">
      <w:pPr>
        <w:numPr>
          <w:ilvl w:val="0"/>
          <w:numId w:val="15"/>
        </w:numPr>
        <w:contextualSpacing/>
      </w:pPr>
      <w:r>
        <w:t>Ideally School representatives should be drawn from School Senior Management Teams</w:t>
      </w:r>
      <w:r w:rsidR="00E236EB">
        <w:t xml:space="preserve"> </w:t>
      </w:r>
      <w:r>
        <w:t>to ensure join up with other activities (e.g. the research agenda)</w:t>
      </w:r>
      <w:r w:rsidR="00C547B3">
        <w:t>.</w:t>
      </w:r>
    </w:p>
    <w:p w:rsidR="00EC3CED" w:rsidRDefault="00EC3CED" w:rsidP="00EC3CED">
      <w:pPr>
        <w:pStyle w:val="ListParagraph"/>
      </w:pPr>
    </w:p>
    <w:p w:rsidR="000C1ACE" w:rsidRDefault="00EC3CED" w:rsidP="003D2CD4">
      <w:pPr>
        <w:numPr>
          <w:ilvl w:val="0"/>
          <w:numId w:val="15"/>
        </w:numPr>
        <w:contextualSpacing/>
      </w:pPr>
      <w:r>
        <w:t xml:space="preserve">The membership should include the </w:t>
      </w:r>
      <w:r w:rsidR="00B94A04">
        <w:t xml:space="preserve">Associate Deans for Research, PGR and Teaching and Learning </w:t>
      </w:r>
      <w:r>
        <w:t>(</w:t>
      </w:r>
      <w:r w:rsidR="000C1ACE" w:rsidRPr="00C2675B">
        <w:t>or nominees</w:t>
      </w:r>
      <w:r>
        <w:t>)</w:t>
      </w:r>
      <w:r w:rsidR="000C1ACE" w:rsidRPr="00C2675B">
        <w:t>.</w:t>
      </w:r>
    </w:p>
    <w:p w:rsidR="00CE71E2" w:rsidRPr="00C2675B" w:rsidRDefault="00CE71E2" w:rsidP="00CE71E2">
      <w:pPr>
        <w:contextualSpacing/>
      </w:pPr>
    </w:p>
    <w:p w:rsidR="00D16EEF" w:rsidRPr="00C2675B" w:rsidRDefault="00D16EEF" w:rsidP="00CE71E2">
      <w:pPr>
        <w:contextualSpacing/>
      </w:pPr>
    </w:p>
    <w:p w:rsidR="00EC3CED" w:rsidRDefault="00EC3CED" w:rsidP="00EE76FF">
      <w:pPr>
        <w:contextualSpacing/>
        <w:jc w:val="center"/>
      </w:pPr>
      <w:bookmarkStart w:id="0" w:name="_GoBack"/>
      <w:bookmarkEnd w:id="0"/>
    </w:p>
    <w:sectPr w:rsidR="00EC3CED" w:rsidSect="00EE76F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0F" w:rsidRDefault="000F5B0F" w:rsidP="007419EB">
      <w:r>
        <w:separator/>
      </w:r>
    </w:p>
  </w:endnote>
  <w:endnote w:type="continuationSeparator" w:id="0">
    <w:p w:rsidR="000F5B0F" w:rsidRDefault="000F5B0F" w:rsidP="0074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0E" w:rsidRDefault="0055510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44A3">
      <w:rPr>
        <w:noProof/>
      </w:rPr>
      <w:t>2</w:t>
    </w:r>
    <w:r>
      <w:rPr>
        <w:noProof/>
      </w:rPr>
      <w:fldChar w:fldCharType="end"/>
    </w:r>
  </w:p>
  <w:p w:rsidR="0055510E" w:rsidRDefault="00555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0F" w:rsidRDefault="000F5B0F" w:rsidP="007419EB">
      <w:r>
        <w:separator/>
      </w:r>
    </w:p>
  </w:footnote>
  <w:footnote w:type="continuationSeparator" w:id="0">
    <w:p w:rsidR="000F5B0F" w:rsidRDefault="000F5B0F" w:rsidP="00741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B6" w:rsidRPr="007B2125" w:rsidRDefault="00277DB6" w:rsidP="00277DB6">
    <w:pPr>
      <w:pStyle w:val="Header"/>
      <w:jc w:val="right"/>
      <w:rPr>
        <w:rFonts w:ascii="Calibri" w:hAnsi="Calibri"/>
      </w:rPr>
    </w:pPr>
    <w:r w:rsidRPr="007B2125">
      <w:rPr>
        <w:rFonts w:ascii="Calibri" w:hAnsi="Calibri"/>
      </w:rPr>
      <w:t>HPRC14-15-82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83A"/>
    <w:multiLevelType w:val="hybridMultilevel"/>
    <w:tmpl w:val="6C76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F294C"/>
    <w:multiLevelType w:val="hybridMultilevel"/>
    <w:tmpl w:val="11DC8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77417"/>
    <w:multiLevelType w:val="hybridMultilevel"/>
    <w:tmpl w:val="E5C678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6786"/>
    <w:multiLevelType w:val="hybridMultilevel"/>
    <w:tmpl w:val="5232CB1C"/>
    <w:lvl w:ilvl="0" w:tplc="56C8CE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558D6"/>
    <w:multiLevelType w:val="hybridMultilevel"/>
    <w:tmpl w:val="72A6C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43536"/>
    <w:multiLevelType w:val="hybridMultilevel"/>
    <w:tmpl w:val="3C6A0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0053A"/>
    <w:multiLevelType w:val="hybridMultilevel"/>
    <w:tmpl w:val="623C016C"/>
    <w:lvl w:ilvl="0" w:tplc="E19EFE1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1D5B6B70"/>
    <w:multiLevelType w:val="hybridMultilevel"/>
    <w:tmpl w:val="33940EE6"/>
    <w:lvl w:ilvl="0" w:tplc="08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28B14A73"/>
    <w:multiLevelType w:val="hybridMultilevel"/>
    <w:tmpl w:val="14B84658"/>
    <w:lvl w:ilvl="0" w:tplc="C27EDD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3634F"/>
    <w:multiLevelType w:val="hybridMultilevel"/>
    <w:tmpl w:val="4190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B4CF1"/>
    <w:multiLevelType w:val="hybridMultilevel"/>
    <w:tmpl w:val="FBCC6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9333B"/>
    <w:multiLevelType w:val="hybridMultilevel"/>
    <w:tmpl w:val="32343F30"/>
    <w:lvl w:ilvl="0" w:tplc="7826B3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B58FA"/>
    <w:multiLevelType w:val="hybridMultilevel"/>
    <w:tmpl w:val="784EEAE8"/>
    <w:lvl w:ilvl="0" w:tplc="7DE05D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12CD4"/>
    <w:multiLevelType w:val="hybridMultilevel"/>
    <w:tmpl w:val="08E6B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049E3"/>
    <w:multiLevelType w:val="hybridMultilevel"/>
    <w:tmpl w:val="98BCD9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05E08"/>
    <w:multiLevelType w:val="hybridMultilevel"/>
    <w:tmpl w:val="4B60FBEA"/>
    <w:lvl w:ilvl="0" w:tplc="DDEC25A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E57C4"/>
    <w:multiLevelType w:val="hybridMultilevel"/>
    <w:tmpl w:val="8EEEB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65C78"/>
    <w:multiLevelType w:val="hybridMultilevel"/>
    <w:tmpl w:val="482A0824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>
    <w:nsid w:val="691224AC"/>
    <w:multiLevelType w:val="hybridMultilevel"/>
    <w:tmpl w:val="B94289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9355FE0"/>
    <w:multiLevelType w:val="hybridMultilevel"/>
    <w:tmpl w:val="D6A2A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16"/>
  </w:num>
  <w:num w:numId="5">
    <w:abstractNumId w:val="12"/>
  </w:num>
  <w:num w:numId="6">
    <w:abstractNumId w:val="14"/>
  </w:num>
  <w:num w:numId="7">
    <w:abstractNumId w:val="3"/>
  </w:num>
  <w:num w:numId="8">
    <w:abstractNumId w:val="8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3"/>
  </w:num>
  <w:num w:numId="14">
    <w:abstractNumId w:val="11"/>
  </w:num>
  <w:num w:numId="15">
    <w:abstractNumId w:val="5"/>
  </w:num>
  <w:num w:numId="16">
    <w:abstractNumId w:val="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7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EB"/>
    <w:rsid w:val="00025FD1"/>
    <w:rsid w:val="00033C7F"/>
    <w:rsid w:val="00063E7F"/>
    <w:rsid w:val="0007038E"/>
    <w:rsid w:val="00071121"/>
    <w:rsid w:val="00086AE3"/>
    <w:rsid w:val="0008746A"/>
    <w:rsid w:val="0009330F"/>
    <w:rsid w:val="000A3CAA"/>
    <w:rsid w:val="000C1ACE"/>
    <w:rsid w:val="000C4099"/>
    <w:rsid w:val="000C593A"/>
    <w:rsid w:val="000C6F29"/>
    <w:rsid w:val="000D1128"/>
    <w:rsid w:val="000D41F1"/>
    <w:rsid w:val="000F5B0F"/>
    <w:rsid w:val="00103041"/>
    <w:rsid w:val="00106D19"/>
    <w:rsid w:val="00110E89"/>
    <w:rsid w:val="00117BC7"/>
    <w:rsid w:val="001309E2"/>
    <w:rsid w:val="001351E6"/>
    <w:rsid w:val="001654A6"/>
    <w:rsid w:val="00185E35"/>
    <w:rsid w:val="00197020"/>
    <w:rsid w:val="001B2AF4"/>
    <w:rsid w:val="001D30BF"/>
    <w:rsid w:val="001D7A0E"/>
    <w:rsid w:val="001E1EB8"/>
    <w:rsid w:val="00201B93"/>
    <w:rsid w:val="00202837"/>
    <w:rsid w:val="00214D16"/>
    <w:rsid w:val="002179BD"/>
    <w:rsid w:val="00220340"/>
    <w:rsid w:val="00234602"/>
    <w:rsid w:val="00240585"/>
    <w:rsid w:val="002418BE"/>
    <w:rsid w:val="002524A9"/>
    <w:rsid w:val="002572F3"/>
    <w:rsid w:val="00271AEF"/>
    <w:rsid w:val="00271CCB"/>
    <w:rsid w:val="00277DB6"/>
    <w:rsid w:val="00285DAB"/>
    <w:rsid w:val="00286256"/>
    <w:rsid w:val="002B49CC"/>
    <w:rsid w:val="002D61CE"/>
    <w:rsid w:val="002E5C5E"/>
    <w:rsid w:val="002F1321"/>
    <w:rsid w:val="0030125A"/>
    <w:rsid w:val="003104F0"/>
    <w:rsid w:val="003366FF"/>
    <w:rsid w:val="003434F6"/>
    <w:rsid w:val="003613E2"/>
    <w:rsid w:val="003817BF"/>
    <w:rsid w:val="00387040"/>
    <w:rsid w:val="003904C7"/>
    <w:rsid w:val="003925F2"/>
    <w:rsid w:val="003C4644"/>
    <w:rsid w:val="003D2CD4"/>
    <w:rsid w:val="003E1FB1"/>
    <w:rsid w:val="003E430F"/>
    <w:rsid w:val="003F3A54"/>
    <w:rsid w:val="004013D7"/>
    <w:rsid w:val="004165DA"/>
    <w:rsid w:val="0042098D"/>
    <w:rsid w:val="00433F95"/>
    <w:rsid w:val="004435E1"/>
    <w:rsid w:val="0044443C"/>
    <w:rsid w:val="004545DE"/>
    <w:rsid w:val="0045649D"/>
    <w:rsid w:val="0046470F"/>
    <w:rsid w:val="004720E6"/>
    <w:rsid w:val="004767D8"/>
    <w:rsid w:val="004A359A"/>
    <w:rsid w:val="004A3A94"/>
    <w:rsid w:val="004B7FFE"/>
    <w:rsid w:val="004C4BAA"/>
    <w:rsid w:val="004E3890"/>
    <w:rsid w:val="004F2C8D"/>
    <w:rsid w:val="005027A6"/>
    <w:rsid w:val="0051198A"/>
    <w:rsid w:val="005150DA"/>
    <w:rsid w:val="005267C1"/>
    <w:rsid w:val="005303DD"/>
    <w:rsid w:val="00540619"/>
    <w:rsid w:val="0055510E"/>
    <w:rsid w:val="0057388C"/>
    <w:rsid w:val="00573A0F"/>
    <w:rsid w:val="005762F6"/>
    <w:rsid w:val="0058040D"/>
    <w:rsid w:val="00582624"/>
    <w:rsid w:val="005846AC"/>
    <w:rsid w:val="00584867"/>
    <w:rsid w:val="005D0E09"/>
    <w:rsid w:val="005E139C"/>
    <w:rsid w:val="005E5C80"/>
    <w:rsid w:val="005F5D69"/>
    <w:rsid w:val="006205E2"/>
    <w:rsid w:val="006230FE"/>
    <w:rsid w:val="0062559C"/>
    <w:rsid w:val="0063588F"/>
    <w:rsid w:val="00651158"/>
    <w:rsid w:val="0068149A"/>
    <w:rsid w:val="00681574"/>
    <w:rsid w:val="006A6869"/>
    <w:rsid w:val="006A78C1"/>
    <w:rsid w:val="006A7F52"/>
    <w:rsid w:val="006B5967"/>
    <w:rsid w:val="006D3881"/>
    <w:rsid w:val="00703B9E"/>
    <w:rsid w:val="00714160"/>
    <w:rsid w:val="007244B3"/>
    <w:rsid w:val="0073400D"/>
    <w:rsid w:val="0073656F"/>
    <w:rsid w:val="007419EB"/>
    <w:rsid w:val="00745890"/>
    <w:rsid w:val="00747D5A"/>
    <w:rsid w:val="00757FD0"/>
    <w:rsid w:val="00770F96"/>
    <w:rsid w:val="00775A98"/>
    <w:rsid w:val="00795BD3"/>
    <w:rsid w:val="007B15F9"/>
    <w:rsid w:val="007B2125"/>
    <w:rsid w:val="007C15EC"/>
    <w:rsid w:val="007C20A5"/>
    <w:rsid w:val="007C483E"/>
    <w:rsid w:val="007D6514"/>
    <w:rsid w:val="007F7BD2"/>
    <w:rsid w:val="00800FE2"/>
    <w:rsid w:val="008050F9"/>
    <w:rsid w:val="008146AC"/>
    <w:rsid w:val="008214E1"/>
    <w:rsid w:val="008229F1"/>
    <w:rsid w:val="00835349"/>
    <w:rsid w:val="008367B0"/>
    <w:rsid w:val="00860C0D"/>
    <w:rsid w:val="008643B7"/>
    <w:rsid w:val="00871211"/>
    <w:rsid w:val="0089349E"/>
    <w:rsid w:val="00893A8E"/>
    <w:rsid w:val="00897973"/>
    <w:rsid w:val="008A2E00"/>
    <w:rsid w:val="008A60D9"/>
    <w:rsid w:val="008A7696"/>
    <w:rsid w:val="008A79B5"/>
    <w:rsid w:val="008E014A"/>
    <w:rsid w:val="008E2462"/>
    <w:rsid w:val="008E5846"/>
    <w:rsid w:val="008E7191"/>
    <w:rsid w:val="0091482C"/>
    <w:rsid w:val="00914BBF"/>
    <w:rsid w:val="009160B8"/>
    <w:rsid w:val="00936D26"/>
    <w:rsid w:val="009564EE"/>
    <w:rsid w:val="009669E3"/>
    <w:rsid w:val="009977B8"/>
    <w:rsid w:val="009A20B1"/>
    <w:rsid w:val="009D78FC"/>
    <w:rsid w:val="009E156B"/>
    <w:rsid w:val="00A04B8B"/>
    <w:rsid w:val="00A303DC"/>
    <w:rsid w:val="00A30497"/>
    <w:rsid w:val="00A30711"/>
    <w:rsid w:val="00A35DFC"/>
    <w:rsid w:val="00A4479A"/>
    <w:rsid w:val="00A50DAA"/>
    <w:rsid w:val="00A600A2"/>
    <w:rsid w:val="00A804B7"/>
    <w:rsid w:val="00A83EE5"/>
    <w:rsid w:val="00AA1157"/>
    <w:rsid w:val="00AA1C43"/>
    <w:rsid w:val="00AA27F4"/>
    <w:rsid w:val="00AA665C"/>
    <w:rsid w:val="00AC4D49"/>
    <w:rsid w:val="00AC7704"/>
    <w:rsid w:val="00AD6DEA"/>
    <w:rsid w:val="00AE0FEA"/>
    <w:rsid w:val="00AF44A3"/>
    <w:rsid w:val="00B016EE"/>
    <w:rsid w:val="00B0507D"/>
    <w:rsid w:val="00B10C00"/>
    <w:rsid w:val="00B21462"/>
    <w:rsid w:val="00B21ADB"/>
    <w:rsid w:val="00B324C5"/>
    <w:rsid w:val="00B3423E"/>
    <w:rsid w:val="00B412CA"/>
    <w:rsid w:val="00B94A04"/>
    <w:rsid w:val="00BA6B4A"/>
    <w:rsid w:val="00BC1268"/>
    <w:rsid w:val="00BD1230"/>
    <w:rsid w:val="00BD3288"/>
    <w:rsid w:val="00BE6718"/>
    <w:rsid w:val="00BE6AD5"/>
    <w:rsid w:val="00C06893"/>
    <w:rsid w:val="00C10026"/>
    <w:rsid w:val="00C12289"/>
    <w:rsid w:val="00C2675B"/>
    <w:rsid w:val="00C4001B"/>
    <w:rsid w:val="00C547B3"/>
    <w:rsid w:val="00C631DB"/>
    <w:rsid w:val="00C636FD"/>
    <w:rsid w:val="00C646AF"/>
    <w:rsid w:val="00C75A61"/>
    <w:rsid w:val="00CC7A86"/>
    <w:rsid w:val="00CD0314"/>
    <w:rsid w:val="00CD39D5"/>
    <w:rsid w:val="00CE71E2"/>
    <w:rsid w:val="00CF234B"/>
    <w:rsid w:val="00CF79E3"/>
    <w:rsid w:val="00D06032"/>
    <w:rsid w:val="00D16EEF"/>
    <w:rsid w:val="00D47DEE"/>
    <w:rsid w:val="00D55AB8"/>
    <w:rsid w:val="00D562B8"/>
    <w:rsid w:val="00D752FA"/>
    <w:rsid w:val="00D85917"/>
    <w:rsid w:val="00D95F23"/>
    <w:rsid w:val="00DB3878"/>
    <w:rsid w:val="00DD3EE3"/>
    <w:rsid w:val="00DE52D0"/>
    <w:rsid w:val="00DE78AE"/>
    <w:rsid w:val="00DF3F2C"/>
    <w:rsid w:val="00E23029"/>
    <w:rsid w:val="00E236EB"/>
    <w:rsid w:val="00E26091"/>
    <w:rsid w:val="00E34F4D"/>
    <w:rsid w:val="00E80084"/>
    <w:rsid w:val="00E8539F"/>
    <w:rsid w:val="00E8605C"/>
    <w:rsid w:val="00E92766"/>
    <w:rsid w:val="00EB3D5B"/>
    <w:rsid w:val="00EB7FDC"/>
    <w:rsid w:val="00EC3CED"/>
    <w:rsid w:val="00EC6792"/>
    <w:rsid w:val="00EC7436"/>
    <w:rsid w:val="00ED50BA"/>
    <w:rsid w:val="00EE44FB"/>
    <w:rsid w:val="00EE76FF"/>
    <w:rsid w:val="00EF4526"/>
    <w:rsid w:val="00F268A7"/>
    <w:rsid w:val="00F27BB4"/>
    <w:rsid w:val="00F3578D"/>
    <w:rsid w:val="00F45684"/>
    <w:rsid w:val="00F63414"/>
    <w:rsid w:val="00FB5EA4"/>
    <w:rsid w:val="00FD00AC"/>
    <w:rsid w:val="00FE3442"/>
    <w:rsid w:val="00FF2853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FE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07112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9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419EB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7419EB"/>
    <w:rPr>
      <w:rFonts w:eastAsia="Times New Roman"/>
    </w:rPr>
  </w:style>
  <w:style w:type="character" w:styleId="FootnoteReference">
    <w:name w:val="footnote reference"/>
    <w:uiPriority w:val="99"/>
    <w:unhideWhenUsed/>
    <w:rsid w:val="007419E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419EB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7419EB"/>
    <w:rPr>
      <w:rFonts w:eastAsia="Times New Roman"/>
    </w:rPr>
  </w:style>
  <w:style w:type="character" w:styleId="Hyperlink">
    <w:name w:val="Hyperlink"/>
    <w:uiPriority w:val="99"/>
    <w:unhideWhenUsed/>
    <w:rsid w:val="007419E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41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9E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419EB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9E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19E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D0E09"/>
  </w:style>
  <w:style w:type="character" w:customStyle="1" w:styleId="Heading2Char">
    <w:name w:val="Heading 2 Char"/>
    <w:link w:val="Heading2"/>
    <w:uiPriority w:val="9"/>
    <w:rsid w:val="00071121"/>
    <w:rPr>
      <w:rFonts w:eastAsia="Times New Roman"/>
      <w:b/>
      <w:bCs/>
      <w:sz w:val="36"/>
      <w:szCs w:val="36"/>
    </w:rPr>
  </w:style>
  <w:style w:type="character" w:styleId="FollowedHyperlink">
    <w:name w:val="FollowedHyperlink"/>
    <w:uiPriority w:val="99"/>
    <w:semiHidden/>
    <w:unhideWhenUsed/>
    <w:rsid w:val="00FE3442"/>
    <w:rPr>
      <w:color w:val="800080"/>
      <w:u w:val="single"/>
    </w:rPr>
  </w:style>
  <w:style w:type="table" w:styleId="TableGrid">
    <w:name w:val="Table Grid"/>
    <w:basedOn w:val="TableNormal"/>
    <w:uiPriority w:val="59"/>
    <w:rsid w:val="0062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D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77DB6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83642-2090-4742-8A54-0C1AB11D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Anusarin Lowe</cp:lastModifiedBy>
  <cp:revision>3</cp:revision>
  <cp:lastPrinted>2015-01-27T09:05:00Z</cp:lastPrinted>
  <dcterms:created xsi:type="dcterms:W3CDTF">2015-04-07T18:22:00Z</dcterms:created>
  <dcterms:modified xsi:type="dcterms:W3CDTF">2015-07-02T15:09:00Z</dcterms:modified>
</cp:coreProperties>
</file>