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FA7" w:rsidRDefault="00881FA7" w:rsidP="00881FA7">
      <w:pPr>
        <w:pStyle w:val="PlainText"/>
        <w:jc w:val="center"/>
        <w:rPr>
          <w:b/>
        </w:rPr>
      </w:pPr>
      <w:r w:rsidRPr="00881FA7">
        <w:rPr>
          <w:b/>
        </w:rPr>
        <w:t xml:space="preserve">Faculty </w:t>
      </w:r>
      <w:r>
        <w:rPr>
          <w:b/>
        </w:rPr>
        <w:t>of Humanities</w:t>
      </w:r>
    </w:p>
    <w:p w:rsidR="00881FA7" w:rsidRDefault="00881FA7" w:rsidP="00881FA7">
      <w:pPr>
        <w:pStyle w:val="PlainText"/>
        <w:jc w:val="center"/>
        <w:rPr>
          <w:b/>
        </w:rPr>
      </w:pPr>
    </w:p>
    <w:p w:rsidR="00881FA7" w:rsidRDefault="00881FA7" w:rsidP="00881FA7">
      <w:pPr>
        <w:pStyle w:val="PlainText"/>
        <w:jc w:val="center"/>
        <w:rPr>
          <w:b/>
        </w:rPr>
      </w:pPr>
      <w:r w:rsidRPr="00881FA7">
        <w:rPr>
          <w:b/>
        </w:rPr>
        <w:t xml:space="preserve">Undergraduate Programme Sub Committee </w:t>
      </w:r>
    </w:p>
    <w:p w:rsidR="00881FA7" w:rsidRDefault="00881FA7" w:rsidP="00881FA7">
      <w:pPr>
        <w:pStyle w:val="PlainText"/>
        <w:jc w:val="center"/>
        <w:rPr>
          <w:b/>
        </w:rPr>
      </w:pPr>
    </w:p>
    <w:p w:rsidR="00881FA7" w:rsidRDefault="00F97305" w:rsidP="00881FA7">
      <w:pPr>
        <w:pStyle w:val="PlainText"/>
        <w:jc w:val="center"/>
        <w:rPr>
          <w:b/>
        </w:rPr>
      </w:pPr>
      <w:r>
        <w:rPr>
          <w:b/>
        </w:rPr>
        <w:t xml:space="preserve">Unconfirmed </w:t>
      </w:r>
      <w:r w:rsidR="00881FA7" w:rsidRPr="00881FA7">
        <w:rPr>
          <w:b/>
        </w:rPr>
        <w:t>Minutes of meeting</w:t>
      </w:r>
      <w:r w:rsidR="00881FA7">
        <w:rPr>
          <w:b/>
        </w:rPr>
        <w:t xml:space="preserve"> held on Wednesday </w:t>
      </w:r>
      <w:r w:rsidR="00881FA7" w:rsidRPr="00881FA7">
        <w:rPr>
          <w:b/>
        </w:rPr>
        <w:t>13th November 2013</w:t>
      </w:r>
      <w:r w:rsidR="00881FA7">
        <w:rPr>
          <w:b/>
        </w:rPr>
        <w:t>,</w:t>
      </w:r>
    </w:p>
    <w:p w:rsidR="00881FA7" w:rsidRPr="00881FA7" w:rsidRDefault="00881FA7" w:rsidP="00881FA7">
      <w:pPr>
        <w:pStyle w:val="PlainText"/>
        <w:jc w:val="center"/>
        <w:rPr>
          <w:b/>
        </w:rPr>
      </w:pPr>
      <w:r>
        <w:rPr>
          <w:b/>
        </w:rPr>
        <w:t xml:space="preserve"> 2-4pm in the Keeper’s Room, Whitworth Corridor </w:t>
      </w:r>
    </w:p>
    <w:p w:rsidR="00881FA7" w:rsidRDefault="00881FA7" w:rsidP="00881FA7">
      <w:pPr>
        <w:pStyle w:val="PlainText"/>
      </w:pPr>
    </w:p>
    <w:p w:rsidR="00881FA7" w:rsidRDefault="00881FA7" w:rsidP="00881FA7">
      <w:pPr>
        <w:pStyle w:val="PlainText"/>
      </w:pPr>
      <w:r w:rsidRPr="008A71C9">
        <w:rPr>
          <w:b/>
        </w:rPr>
        <w:t>Present</w:t>
      </w:r>
      <w:r>
        <w:t>:</w:t>
      </w:r>
    </w:p>
    <w:p w:rsidR="00881FA7" w:rsidRDefault="00881FA7" w:rsidP="00881FA7">
      <w:pPr>
        <w:pStyle w:val="PlainText"/>
      </w:pPr>
      <w:r>
        <w:t>Matt</w:t>
      </w:r>
      <w:r w:rsidR="00E854DF">
        <w:t>hew</w:t>
      </w:r>
      <w:r>
        <w:t xml:space="preserve"> Jeff</w:t>
      </w:r>
      <w:r w:rsidR="00BF69DE">
        <w:t>e</w:t>
      </w:r>
      <w:r>
        <w:t>ries (Chair); Norma Hird (</w:t>
      </w:r>
      <w:proofErr w:type="spellStart"/>
      <w:r w:rsidR="00AD33BE">
        <w:t>SoL</w:t>
      </w:r>
      <w:proofErr w:type="spellEnd"/>
      <w:r>
        <w:t xml:space="preserve">); Fiona Smyth (SED); Veronique </w:t>
      </w:r>
      <w:proofErr w:type="spellStart"/>
      <w:r>
        <w:t>Pin-fat</w:t>
      </w:r>
      <w:proofErr w:type="spellEnd"/>
      <w:r>
        <w:t xml:space="preserve"> (</w:t>
      </w:r>
      <w:proofErr w:type="spellStart"/>
      <w:r w:rsidR="00AD33BE">
        <w:t>SoSS</w:t>
      </w:r>
      <w:proofErr w:type="spellEnd"/>
      <w:r>
        <w:t xml:space="preserve">); </w:t>
      </w:r>
    </w:p>
    <w:p w:rsidR="00881FA7" w:rsidRDefault="00881FA7" w:rsidP="00881FA7">
      <w:pPr>
        <w:pStyle w:val="PlainText"/>
      </w:pPr>
      <w:r>
        <w:t xml:space="preserve">Lisa McAleese (Teaching and Learning Manager); </w:t>
      </w:r>
    </w:p>
    <w:p w:rsidR="00881FA7" w:rsidRDefault="00881FA7" w:rsidP="00881FA7">
      <w:pPr>
        <w:pStyle w:val="PlainText"/>
      </w:pPr>
      <w:r>
        <w:t>Emma Sanders (</w:t>
      </w:r>
      <w:r w:rsidR="00AD33BE">
        <w:t>Teaching and Learning Officer</w:t>
      </w:r>
      <w:r>
        <w:t>); Sarah Helsby (Secretary)</w:t>
      </w:r>
    </w:p>
    <w:p w:rsidR="00881FA7" w:rsidRDefault="00881FA7" w:rsidP="00881FA7">
      <w:pPr>
        <w:pStyle w:val="PlainText"/>
      </w:pPr>
    </w:p>
    <w:p w:rsidR="00AD33BE" w:rsidRPr="00AD33BE" w:rsidRDefault="00AD33BE" w:rsidP="00881FA7">
      <w:pPr>
        <w:pStyle w:val="PlainText"/>
        <w:rPr>
          <w:b/>
        </w:rPr>
      </w:pPr>
      <w:r w:rsidRPr="00AD33BE">
        <w:rPr>
          <w:b/>
        </w:rPr>
        <w:t xml:space="preserve">By Invitation: </w:t>
      </w:r>
    </w:p>
    <w:p w:rsidR="00AD33BE" w:rsidRPr="00AD33BE" w:rsidRDefault="00AD33BE" w:rsidP="00AD33BE">
      <w:pPr>
        <w:pStyle w:val="PlainText"/>
      </w:pPr>
      <w:r>
        <w:t>Tarani Chandola (</w:t>
      </w:r>
      <w:proofErr w:type="spellStart"/>
      <w:r>
        <w:t>SoSS</w:t>
      </w:r>
      <w:proofErr w:type="spellEnd"/>
      <w:r>
        <w:t>) (ref. Item</w:t>
      </w:r>
      <w:r w:rsidRPr="00AD33BE">
        <w:t xml:space="preserve"> 9.1)</w:t>
      </w:r>
    </w:p>
    <w:p w:rsidR="00AD33BE" w:rsidRDefault="00AD33BE" w:rsidP="00AD33BE">
      <w:pPr>
        <w:pStyle w:val="PlainText"/>
        <w:rPr>
          <w:b/>
        </w:rPr>
      </w:pPr>
    </w:p>
    <w:p w:rsidR="00AD33BE" w:rsidRPr="00AD33BE" w:rsidRDefault="00AD33BE" w:rsidP="00AD33BE">
      <w:pPr>
        <w:pStyle w:val="PlainText"/>
        <w:rPr>
          <w:b/>
        </w:rPr>
      </w:pPr>
      <w:r w:rsidRPr="00AD33BE">
        <w:rPr>
          <w:b/>
        </w:rPr>
        <w:t xml:space="preserve">In attendance: </w:t>
      </w:r>
    </w:p>
    <w:p w:rsidR="00AD33BE" w:rsidRDefault="00AD33BE" w:rsidP="00AD33BE">
      <w:pPr>
        <w:pStyle w:val="PlainText"/>
      </w:pPr>
      <w:r>
        <w:t>Fiona Fraser (pp. James Garratt, SALC)</w:t>
      </w:r>
    </w:p>
    <w:p w:rsidR="001F7245" w:rsidRDefault="001F7245" w:rsidP="001F7245">
      <w:pPr>
        <w:pStyle w:val="PlainText"/>
        <w:rPr>
          <w:b/>
        </w:rPr>
      </w:pPr>
    </w:p>
    <w:p w:rsidR="007B29BE" w:rsidRPr="008A71C9" w:rsidRDefault="00881FA7" w:rsidP="001F7245">
      <w:pPr>
        <w:pStyle w:val="PlainText"/>
        <w:numPr>
          <w:ilvl w:val="0"/>
          <w:numId w:val="6"/>
        </w:numPr>
        <w:rPr>
          <w:b/>
        </w:rPr>
      </w:pPr>
      <w:r w:rsidRPr="008A71C9">
        <w:rPr>
          <w:b/>
        </w:rPr>
        <w:t>Apologies for absence</w:t>
      </w:r>
    </w:p>
    <w:p w:rsidR="007B29BE" w:rsidRDefault="007B29BE" w:rsidP="007B29BE">
      <w:pPr>
        <w:pStyle w:val="PlainText"/>
      </w:pPr>
    </w:p>
    <w:p w:rsidR="007B29BE" w:rsidRPr="007B29BE" w:rsidRDefault="008A71C9" w:rsidP="007B29BE">
      <w:pPr>
        <w:pStyle w:val="PlainText"/>
        <w:rPr>
          <w:b/>
        </w:rPr>
      </w:pPr>
      <w:proofErr w:type="spellStart"/>
      <w:r>
        <w:t>Ii</w:t>
      </w:r>
      <w:r w:rsidR="00881FA7">
        <w:t>a</w:t>
      </w:r>
      <w:r w:rsidR="00AD33BE">
        <w:t>s</w:t>
      </w:r>
      <w:proofErr w:type="spellEnd"/>
      <w:r w:rsidR="00881FA7">
        <w:t xml:space="preserve"> Petrounias</w:t>
      </w:r>
      <w:r w:rsidR="000D5368">
        <w:t xml:space="preserve"> (MBS)</w:t>
      </w:r>
      <w:r w:rsidR="00812CDB">
        <w:t xml:space="preserve">; </w:t>
      </w:r>
      <w:r w:rsidR="00881FA7">
        <w:t>Dave Williamson</w:t>
      </w:r>
      <w:r w:rsidR="000D5368">
        <w:t xml:space="preserve"> (Director of Teaching</w:t>
      </w:r>
      <w:r w:rsidR="00AD33BE">
        <w:t xml:space="preserve"> and Learning, </w:t>
      </w:r>
      <w:proofErr w:type="spellStart"/>
      <w:r w:rsidR="00AD33BE">
        <w:t>SoL</w:t>
      </w:r>
      <w:proofErr w:type="spellEnd"/>
      <w:r w:rsidR="000D5368">
        <w:t>)</w:t>
      </w:r>
      <w:r w:rsidR="00AD33BE">
        <w:t xml:space="preserve">; </w:t>
      </w:r>
      <w:r w:rsidR="00881FA7">
        <w:t>James Garratt (SALC)</w:t>
      </w:r>
      <w:r w:rsidR="00812CDB">
        <w:t xml:space="preserve">; </w:t>
      </w:r>
      <w:r w:rsidR="00881FA7">
        <w:t xml:space="preserve">Emma Rose </w:t>
      </w:r>
      <w:r w:rsidR="000D5368">
        <w:t>(Head of Teaching and Learning</w:t>
      </w:r>
      <w:r w:rsidR="00AD33BE">
        <w:t xml:space="preserve"> Support Services</w:t>
      </w:r>
      <w:r w:rsidR="000D5368">
        <w:t>)</w:t>
      </w:r>
      <w:r w:rsidR="00812CDB">
        <w:t xml:space="preserve">; </w:t>
      </w:r>
      <w:r w:rsidR="000D5368">
        <w:t>R</w:t>
      </w:r>
      <w:r w:rsidR="00881FA7">
        <w:t>os</w:t>
      </w:r>
      <w:r w:rsidR="000D5368">
        <w:t>i</w:t>
      </w:r>
      <w:r w:rsidR="00881FA7">
        <w:t>e Dammers</w:t>
      </w:r>
      <w:r w:rsidR="000D5368">
        <w:t xml:space="preserve"> (UMSU)</w:t>
      </w:r>
      <w:r w:rsidR="00E854DF" w:rsidDel="00E854DF">
        <w:t xml:space="preserve"> </w:t>
      </w:r>
    </w:p>
    <w:p w:rsidR="007B29BE" w:rsidRPr="007B29BE" w:rsidRDefault="007B29BE" w:rsidP="007B29BE">
      <w:pPr>
        <w:pStyle w:val="PlainText"/>
        <w:ind w:left="720"/>
        <w:rPr>
          <w:b/>
        </w:rPr>
      </w:pPr>
    </w:p>
    <w:p w:rsidR="00E854DF" w:rsidRDefault="00E854DF" w:rsidP="00E854DF">
      <w:pPr>
        <w:pStyle w:val="PlainText"/>
      </w:pPr>
      <w:r w:rsidRPr="00E854DF">
        <w:t>The Chair introduced Sarah Helsby as QAE Administrator.  Replacing Nicola Lord during her secondment to MHS, Sarah w</w:t>
      </w:r>
      <w:r w:rsidR="00115A82">
        <w:t>ill</w:t>
      </w:r>
      <w:r w:rsidRPr="00E854DF">
        <w:t xml:space="preserve"> be working with SEED and </w:t>
      </w:r>
      <w:proofErr w:type="spellStart"/>
      <w:r w:rsidRPr="00E854DF">
        <w:t>SoSS</w:t>
      </w:r>
      <w:proofErr w:type="spellEnd"/>
      <w:r w:rsidRPr="00E854DF">
        <w:t>.</w:t>
      </w:r>
    </w:p>
    <w:p w:rsidR="001F7245" w:rsidRDefault="001F7245" w:rsidP="001F7245">
      <w:pPr>
        <w:pStyle w:val="PlainText"/>
        <w:rPr>
          <w:b/>
        </w:rPr>
      </w:pPr>
    </w:p>
    <w:p w:rsidR="00881FA7" w:rsidRPr="008A71C9" w:rsidRDefault="001F7245" w:rsidP="001F7245">
      <w:pPr>
        <w:pStyle w:val="PlainText"/>
        <w:numPr>
          <w:ilvl w:val="0"/>
          <w:numId w:val="6"/>
        </w:numPr>
        <w:rPr>
          <w:b/>
        </w:rPr>
      </w:pPr>
      <w:r>
        <w:rPr>
          <w:b/>
        </w:rPr>
        <w:t xml:space="preserve"> </w:t>
      </w:r>
      <w:r w:rsidR="00881FA7" w:rsidRPr="008A71C9">
        <w:rPr>
          <w:b/>
        </w:rPr>
        <w:t xml:space="preserve">Minutes of the last meeting 22nd </w:t>
      </w:r>
      <w:r w:rsidR="006F1C47">
        <w:rPr>
          <w:b/>
        </w:rPr>
        <w:t>M</w:t>
      </w:r>
      <w:r w:rsidR="00881FA7" w:rsidRPr="008A71C9">
        <w:rPr>
          <w:b/>
        </w:rPr>
        <w:t>ay 2013</w:t>
      </w:r>
      <w:r w:rsidR="006F1C47">
        <w:rPr>
          <w:b/>
        </w:rPr>
        <w:t xml:space="preserve"> (HUGSC/4/12)</w:t>
      </w:r>
    </w:p>
    <w:p w:rsidR="00E854DF" w:rsidRDefault="00E854DF" w:rsidP="00E854DF">
      <w:pPr>
        <w:pStyle w:val="PlainText"/>
      </w:pPr>
      <w:proofErr w:type="gramStart"/>
      <w:r w:rsidRPr="00DE136E">
        <w:rPr>
          <w:b/>
        </w:rPr>
        <w:t>Approved</w:t>
      </w:r>
      <w:r w:rsidRPr="00E854DF">
        <w:t xml:space="preserve"> as a correct record.</w:t>
      </w:r>
      <w:proofErr w:type="gramEnd"/>
    </w:p>
    <w:p w:rsidR="00E854DF" w:rsidRPr="00E854DF" w:rsidRDefault="00E854DF" w:rsidP="00E854DF">
      <w:pPr>
        <w:pStyle w:val="PlainText"/>
      </w:pPr>
    </w:p>
    <w:p w:rsidR="00931923" w:rsidRPr="00931923" w:rsidRDefault="00931923" w:rsidP="00E854DF">
      <w:pPr>
        <w:pStyle w:val="PlainText"/>
        <w:rPr>
          <w:b/>
        </w:rPr>
      </w:pPr>
      <w:r w:rsidRPr="00931923">
        <w:rPr>
          <w:b/>
        </w:rPr>
        <w:t xml:space="preserve">Action: </w:t>
      </w:r>
    </w:p>
    <w:p w:rsidR="00E854DF" w:rsidRPr="00E854DF" w:rsidRDefault="00E854DF" w:rsidP="00BF69DE">
      <w:pPr>
        <w:pStyle w:val="PlainText"/>
      </w:pPr>
      <w:r w:rsidRPr="00E854DF">
        <w:t xml:space="preserve">However, </w:t>
      </w:r>
      <w:r w:rsidR="00931923">
        <w:t xml:space="preserve">SH to </w:t>
      </w:r>
      <w:r w:rsidRPr="00E854DF">
        <w:t>correct the roles of Norma Hird and Fiona Smyth as described on the Agenda.</w:t>
      </w:r>
      <w:r w:rsidRPr="00E854DF">
        <w:rPr>
          <w:b/>
        </w:rPr>
        <w:t xml:space="preserve"> </w:t>
      </w:r>
    </w:p>
    <w:p w:rsidR="00881FA7" w:rsidRPr="008A71C9" w:rsidRDefault="00881FA7" w:rsidP="00881FA7">
      <w:pPr>
        <w:pStyle w:val="PlainText"/>
        <w:rPr>
          <w:b/>
        </w:rPr>
      </w:pPr>
    </w:p>
    <w:p w:rsidR="00881FA7" w:rsidRPr="008A71C9" w:rsidRDefault="00881FA7" w:rsidP="00881FA7">
      <w:pPr>
        <w:pStyle w:val="PlainText"/>
        <w:rPr>
          <w:b/>
        </w:rPr>
      </w:pPr>
      <w:r w:rsidRPr="008A71C9">
        <w:rPr>
          <w:b/>
        </w:rPr>
        <w:t>3. Matters arising from the minutes</w:t>
      </w:r>
    </w:p>
    <w:p w:rsidR="00881FA7" w:rsidRDefault="00881FA7" w:rsidP="00881FA7">
      <w:pPr>
        <w:pStyle w:val="PlainText"/>
      </w:pPr>
      <w:proofErr w:type="gramStart"/>
      <w:r>
        <w:t>None</w:t>
      </w:r>
      <w:r w:rsidR="009E385D">
        <w:t>.</w:t>
      </w:r>
      <w:proofErr w:type="gramEnd"/>
    </w:p>
    <w:p w:rsidR="00881FA7" w:rsidRDefault="00881FA7" w:rsidP="00881FA7">
      <w:pPr>
        <w:pStyle w:val="PlainText"/>
      </w:pPr>
    </w:p>
    <w:p w:rsidR="00881FA7" w:rsidRPr="008A71C9" w:rsidRDefault="00881FA7" w:rsidP="00881FA7">
      <w:pPr>
        <w:pStyle w:val="PlainText"/>
        <w:rPr>
          <w:b/>
        </w:rPr>
      </w:pPr>
      <w:r w:rsidRPr="008A71C9">
        <w:rPr>
          <w:b/>
        </w:rPr>
        <w:t>4. Units taken out of level</w:t>
      </w:r>
      <w:r w:rsidR="00C73BC3">
        <w:rPr>
          <w:b/>
        </w:rPr>
        <w:t xml:space="preserve"> (with reference to the new UG Regulations (Sept 2012))</w:t>
      </w:r>
    </w:p>
    <w:p w:rsidR="00881FA7" w:rsidRDefault="00881FA7" w:rsidP="00881FA7">
      <w:pPr>
        <w:pStyle w:val="PlainText"/>
      </w:pPr>
    </w:p>
    <w:p w:rsidR="00881FA7" w:rsidRDefault="00BC2344" w:rsidP="00BF69DE">
      <w:pPr>
        <w:pStyle w:val="PlainText"/>
      </w:pPr>
      <w:r w:rsidRPr="00BC2344">
        <w:rPr>
          <w:b/>
        </w:rPr>
        <w:t>Reported:</w:t>
      </w:r>
      <w:r w:rsidR="001D44C1">
        <w:rPr>
          <w:b/>
        </w:rPr>
        <w:t xml:space="preserve"> </w:t>
      </w:r>
      <w:r w:rsidR="00881FA7">
        <w:t xml:space="preserve">LM presented a paper </w:t>
      </w:r>
      <w:r w:rsidR="006F1C47" w:rsidRPr="006F1C47">
        <w:t>(HUGSC/</w:t>
      </w:r>
      <w:r w:rsidR="006F1C47">
        <w:t>1</w:t>
      </w:r>
      <w:r w:rsidR="006F1C47" w:rsidRPr="006F1C47">
        <w:t>/1</w:t>
      </w:r>
      <w:r w:rsidR="006F1C47">
        <w:t>3/4</w:t>
      </w:r>
      <w:r w:rsidR="006F1C47" w:rsidRPr="006F1C47">
        <w:t>)</w:t>
      </w:r>
      <w:r w:rsidR="006F1C47">
        <w:rPr>
          <w:b/>
        </w:rPr>
        <w:t xml:space="preserve"> </w:t>
      </w:r>
      <w:r w:rsidR="00881FA7">
        <w:t xml:space="preserve">on </w:t>
      </w:r>
      <w:r w:rsidR="00C73BC3">
        <w:t>students</w:t>
      </w:r>
      <w:r w:rsidR="00881FA7">
        <w:t xml:space="preserve"> taking units out of level. Previous </w:t>
      </w:r>
      <w:r w:rsidR="00C73BC3">
        <w:t xml:space="preserve">Faculty </w:t>
      </w:r>
      <w:r w:rsidR="00881FA7">
        <w:t>guidance was</w:t>
      </w:r>
      <w:r w:rsidR="001D44C1">
        <w:t xml:space="preserve"> </w:t>
      </w:r>
      <w:r w:rsidR="00C73BC3">
        <w:t xml:space="preserve">that students should only be permitted to take up to 20cr at a </w:t>
      </w:r>
      <w:r w:rsidR="00BF69DE">
        <w:t>’</w:t>
      </w:r>
      <w:r w:rsidR="00C73BC3">
        <w:t>neighbouring level</w:t>
      </w:r>
      <w:r w:rsidR="00BF69DE">
        <w:t>’</w:t>
      </w:r>
      <w:r w:rsidR="00C73BC3">
        <w:t xml:space="preserve">.  </w:t>
      </w:r>
      <w:r w:rsidR="00881FA7">
        <w:t xml:space="preserve"> </w:t>
      </w:r>
      <w:r w:rsidR="00C73BC3">
        <w:t>T</w:t>
      </w:r>
      <w:r>
        <w:t>he new regulations allow</w:t>
      </w:r>
      <w:r w:rsidR="00C73BC3">
        <w:t>ed</w:t>
      </w:r>
      <w:r w:rsidR="00881FA7">
        <w:t xml:space="preserve"> </w:t>
      </w:r>
      <w:r w:rsidR="00C73BC3">
        <w:t xml:space="preserve">up to 30cr </w:t>
      </w:r>
      <w:r w:rsidR="00881FA7">
        <w:t>to be taken outside of the year the student is currently studying in</w:t>
      </w:r>
      <w:r w:rsidR="00BF69DE">
        <w:t>.</w:t>
      </w:r>
    </w:p>
    <w:p w:rsidR="00881FA7" w:rsidRDefault="00881FA7" w:rsidP="00881FA7">
      <w:pPr>
        <w:pStyle w:val="PlainText"/>
      </w:pPr>
    </w:p>
    <w:p w:rsidR="00F67E9C" w:rsidRDefault="00BC2344" w:rsidP="00881FA7">
      <w:pPr>
        <w:pStyle w:val="PlainText"/>
        <w:rPr>
          <w:b/>
        </w:rPr>
      </w:pPr>
      <w:r w:rsidRPr="00BC2344">
        <w:rPr>
          <w:b/>
        </w:rPr>
        <w:t>Agreed:</w:t>
      </w:r>
    </w:p>
    <w:p w:rsidR="00F67E9C" w:rsidRPr="00F67E9C" w:rsidRDefault="00F67E9C" w:rsidP="00881FA7">
      <w:pPr>
        <w:pStyle w:val="PlainText"/>
      </w:pPr>
      <w:r w:rsidRPr="00F67E9C">
        <w:t xml:space="preserve">The Faculty’s previously agreed position with regard to UG students taking credit out of level is still applicable: </w:t>
      </w:r>
    </w:p>
    <w:p w:rsidR="00F67E9C" w:rsidRPr="00F67E9C" w:rsidRDefault="00F67E9C" w:rsidP="00881FA7">
      <w:pPr>
        <w:pStyle w:val="PlainText"/>
      </w:pPr>
    </w:p>
    <w:p w:rsidR="00F67E9C" w:rsidRPr="00F67E9C" w:rsidRDefault="00BF69DE" w:rsidP="007B29BE">
      <w:pPr>
        <w:pStyle w:val="PlainText"/>
      </w:pPr>
      <w:r>
        <w:t>‘</w:t>
      </w:r>
      <w:r w:rsidR="00F67E9C" w:rsidRPr="00F67E9C">
        <w:t xml:space="preserve">A student will </w:t>
      </w:r>
      <w:r w:rsidR="00F67E9C">
        <w:t xml:space="preserve">normally only be allowed to take credits at </w:t>
      </w:r>
      <w:r w:rsidR="00F67E9C" w:rsidRPr="00F67E9C">
        <w:rPr>
          <w:u w:val="single"/>
        </w:rPr>
        <w:t>a neighbouring level</w:t>
      </w:r>
      <w:r w:rsidR="00F67E9C">
        <w:t>, so that they will not be permitted to take level 4 credits in level 6.  However, exceptionally, by permission of the Teaching and Learning Director, in consultation with the Programme Director, a student may be allowed to take level 4 credits in level 6.</w:t>
      </w:r>
      <w:r>
        <w:t>’</w:t>
      </w:r>
      <w:r w:rsidR="00F67E9C">
        <w:t xml:space="preserve"> </w:t>
      </w:r>
    </w:p>
    <w:p w:rsidR="00F67E9C" w:rsidRPr="00F67E9C" w:rsidRDefault="00F67E9C" w:rsidP="00881FA7">
      <w:pPr>
        <w:pStyle w:val="PlainText"/>
      </w:pPr>
    </w:p>
    <w:p w:rsidR="00881FA7" w:rsidRDefault="00881FA7" w:rsidP="00881FA7">
      <w:pPr>
        <w:pStyle w:val="PlainText"/>
      </w:pPr>
    </w:p>
    <w:p w:rsidR="00F67E9C" w:rsidRDefault="00F67E9C" w:rsidP="00881FA7">
      <w:pPr>
        <w:pStyle w:val="PlainText"/>
      </w:pPr>
    </w:p>
    <w:p w:rsidR="00881FA7" w:rsidRPr="008A71C9" w:rsidRDefault="00881FA7" w:rsidP="00881FA7">
      <w:pPr>
        <w:pStyle w:val="PlainText"/>
        <w:rPr>
          <w:b/>
        </w:rPr>
      </w:pPr>
      <w:r w:rsidRPr="008A71C9">
        <w:rPr>
          <w:b/>
        </w:rPr>
        <w:t xml:space="preserve">5. Draft TLO </w:t>
      </w:r>
      <w:r w:rsidR="00C73BC3">
        <w:rPr>
          <w:b/>
        </w:rPr>
        <w:t>G</w:t>
      </w:r>
      <w:r w:rsidR="00C73BC3" w:rsidRPr="008A71C9">
        <w:rPr>
          <w:b/>
        </w:rPr>
        <w:t xml:space="preserve">uidance </w:t>
      </w:r>
      <w:r w:rsidRPr="008A71C9">
        <w:rPr>
          <w:b/>
        </w:rPr>
        <w:t>on Programme amendments and timescales</w:t>
      </w:r>
    </w:p>
    <w:p w:rsidR="00881FA7" w:rsidRDefault="00881FA7" w:rsidP="00881FA7">
      <w:pPr>
        <w:pStyle w:val="PlainText"/>
      </w:pPr>
    </w:p>
    <w:p w:rsidR="00BC2344" w:rsidRDefault="00BC2344" w:rsidP="00881FA7">
      <w:pPr>
        <w:pStyle w:val="PlainText"/>
      </w:pPr>
      <w:r w:rsidRPr="00BC2344">
        <w:rPr>
          <w:b/>
        </w:rPr>
        <w:t>Discussed</w:t>
      </w:r>
      <w:r>
        <w:rPr>
          <w:b/>
        </w:rPr>
        <w:t>:</w:t>
      </w:r>
    </w:p>
    <w:p w:rsidR="00F67E9C" w:rsidRDefault="00881FA7" w:rsidP="00881FA7">
      <w:pPr>
        <w:pStyle w:val="PlainText"/>
      </w:pPr>
      <w:r>
        <w:t>ES presented the Guidance on the approval of programme amendments and key dates during 2013/14</w:t>
      </w:r>
      <w:r w:rsidR="00F67E9C">
        <w:t xml:space="preserve"> </w:t>
      </w:r>
      <w:r w:rsidR="00F67E9C" w:rsidRPr="006F1C47">
        <w:t>(HUGSC/</w:t>
      </w:r>
      <w:r w:rsidR="00F67E9C">
        <w:t>1</w:t>
      </w:r>
      <w:r w:rsidR="00F67E9C" w:rsidRPr="006F1C47">
        <w:t>/1</w:t>
      </w:r>
      <w:r w:rsidR="00F67E9C">
        <w:t>3/5</w:t>
      </w:r>
      <w:r w:rsidR="00F67E9C" w:rsidRPr="006F1C47">
        <w:t>)</w:t>
      </w:r>
      <w:r>
        <w:t xml:space="preserve">. </w:t>
      </w:r>
    </w:p>
    <w:p w:rsidR="00F67E9C" w:rsidRDefault="00F67E9C" w:rsidP="00881FA7">
      <w:pPr>
        <w:pStyle w:val="PlainText"/>
      </w:pPr>
    </w:p>
    <w:p w:rsidR="00881FA7" w:rsidRDefault="00BC2344" w:rsidP="00BF69DE">
      <w:pPr>
        <w:pStyle w:val="PlainText"/>
      </w:pPr>
      <w:r>
        <w:t xml:space="preserve">It was </w:t>
      </w:r>
      <w:r w:rsidR="00BF69DE">
        <w:t>accep</w:t>
      </w:r>
      <w:r w:rsidR="00881FA7">
        <w:t xml:space="preserve">ted as a very useful guidance </w:t>
      </w:r>
      <w:proofErr w:type="gramStart"/>
      <w:r w:rsidR="00881FA7">
        <w:t>document,</w:t>
      </w:r>
      <w:proofErr w:type="gramEnd"/>
      <w:r w:rsidR="00881FA7">
        <w:t xml:space="preserve"> </w:t>
      </w:r>
      <w:r w:rsidR="00B33FFA">
        <w:t xml:space="preserve">however </w:t>
      </w:r>
      <w:r w:rsidR="00881FA7">
        <w:t xml:space="preserve">there </w:t>
      </w:r>
      <w:r w:rsidR="00B33FFA">
        <w:t xml:space="preserve">were </w:t>
      </w:r>
      <w:r w:rsidR="00881FA7">
        <w:t xml:space="preserve">some issues in section 5 relating to changes being made to compulsory units. </w:t>
      </w:r>
      <w:r w:rsidR="00B33FFA">
        <w:t xml:space="preserve">It was argued that this should </w:t>
      </w:r>
      <w:r w:rsidR="00881FA7">
        <w:t xml:space="preserve">not </w:t>
      </w:r>
      <w:r w:rsidR="00B33FFA">
        <w:t xml:space="preserve">necessarily </w:t>
      </w:r>
      <w:r w:rsidR="00881FA7">
        <w:t xml:space="preserve">require </w:t>
      </w:r>
      <w:r w:rsidR="00B33FFA">
        <w:t xml:space="preserve">Faculty </w:t>
      </w:r>
      <w:r w:rsidR="00881FA7">
        <w:t xml:space="preserve">approval and </w:t>
      </w:r>
      <w:r w:rsidR="00BF69DE">
        <w:t xml:space="preserve">would need discussion on </w:t>
      </w:r>
      <w:r w:rsidR="00881FA7">
        <w:t xml:space="preserve">whether or </w:t>
      </w:r>
      <w:r w:rsidR="00BF69DE">
        <w:t xml:space="preserve">not </w:t>
      </w:r>
      <w:r w:rsidR="00881FA7">
        <w:t xml:space="preserve">it should </w:t>
      </w:r>
      <w:r w:rsidR="00347B29">
        <w:t xml:space="preserve">automatically </w:t>
      </w:r>
      <w:r w:rsidR="00881FA7">
        <w:t>be escalated</w:t>
      </w:r>
      <w:r w:rsidR="00347B29">
        <w:t xml:space="preserve"> to Faculty</w:t>
      </w:r>
      <w:r w:rsidR="00881FA7">
        <w:t>.</w:t>
      </w:r>
    </w:p>
    <w:p w:rsidR="00881FA7" w:rsidRDefault="00881FA7" w:rsidP="00881FA7">
      <w:pPr>
        <w:pStyle w:val="PlainText"/>
      </w:pPr>
    </w:p>
    <w:p w:rsidR="00881FA7" w:rsidRDefault="00881FA7" w:rsidP="00881FA7">
      <w:pPr>
        <w:pStyle w:val="PlainText"/>
      </w:pPr>
      <w:r w:rsidRPr="00BC2344">
        <w:rPr>
          <w:b/>
        </w:rPr>
        <w:t>Queried</w:t>
      </w:r>
      <w:r w:rsidR="00BC2344">
        <w:rPr>
          <w:b/>
        </w:rPr>
        <w:t>:</w:t>
      </w:r>
    </w:p>
    <w:p w:rsidR="00881FA7" w:rsidRDefault="00BC2344" w:rsidP="00BF69DE">
      <w:pPr>
        <w:pStyle w:val="PlainText"/>
      </w:pPr>
      <w:r>
        <w:t>The committee request</w:t>
      </w:r>
      <w:r w:rsidR="00B33FFA">
        <w:t>ed</w:t>
      </w:r>
      <w:r>
        <w:t xml:space="preserve"> that a check is done to see if</w:t>
      </w:r>
      <w:r w:rsidR="00881FA7">
        <w:t xml:space="preserve"> </w:t>
      </w:r>
      <w:r w:rsidR="00BF69DE">
        <w:t xml:space="preserve">the </w:t>
      </w:r>
      <w:r w:rsidR="00881FA7">
        <w:t xml:space="preserve">wording </w:t>
      </w:r>
      <w:r w:rsidR="00BF69DE">
        <w:t xml:space="preserve">(based on central T&amp;L policy) </w:t>
      </w:r>
      <w:r w:rsidR="00881FA7">
        <w:t xml:space="preserve">can be changed to be more explicit so that </w:t>
      </w:r>
      <w:r w:rsidR="00BF69DE">
        <w:t>amendments</w:t>
      </w:r>
      <w:r w:rsidR="00881FA7">
        <w:t xml:space="preserve"> will not automatically come to the </w:t>
      </w:r>
      <w:r w:rsidR="00BF69DE">
        <w:t>committee</w:t>
      </w:r>
      <w:r w:rsidR="00881FA7">
        <w:t xml:space="preserve">. </w:t>
      </w:r>
    </w:p>
    <w:p w:rsidR="00881FA7" w:rsidRDefault="00881FA7" w:rsidP="00881FA7">
      <w:pPr>
        <w:pStyle w:val="PlainText"/>
      </w:pPr>
    </w:p>
    <w:p w:rsidR="00881FA7" w:rsidRDefault="00881FA7" w:rsidP="00881FA7">
      <w:pPr>
        <w:pStyle w:val="PlainText"/>
      </w:pPr>
      <w:r w:rsidRPr="00BC2344">
        <w:rPr>
          <w:b/>
        </w:rPr>
        <w:t>Queried</w:t>
      </w:r>
      <w:r w:rsidR="00BC2344">
        <w:rPr>
          <w:b/>
        </w:rPr>
        <w:t>:</w:t>
      </w:r>
    </w:p>
    <w:p w:rsidR="00CC4F02" w:rsidRDefault="00881FA7" w:rsidP="00CC4F02">
      <w:pPr>
        <w:pStyle w:val="PlainText"/>
      </w:pPr>
      <w:proofErr w:type="gramStart"/>
      <w:r w:rsidRPr="00BC2344">
        <w:rPr>
          <w:b/>
        </w:rPr>
        <w:t>Section 6.</w:t>
      </w:r>
      <w:proofErr w:type="gramEnd"/>
      <w:r>
        <w:t xml:space="preserve"> Definitions of </w:t>
      </w:r>
      <w:r w:rsidR="00BF69DE">
        <w:t>’</w:t>
      </w:r>
      <w:r>
        <w:t>major elements for learning, teaching and assessment</w:t>
      </w:r>
      <w:r w:rsidR="00BF69DE">
        <w:t>’</w:t>
      </w:r>
      <w:r w:rsidR="001D44C1">
        <w:t xml:space="preserve"> </w:t>
      </w:r>
      <w:r w:rsidR="00347B29">
        <w:t>were</w:t>
      </w:r>
      <w:r>
        <w:t xml:space="preserve"> required</w:t>
      </w:r>
      <w:r w:rsidR="00BC2344">
        <w:t xml:space="preserve"> providing more detail</w:t>
      </w:r>
      <w:r>
        <w:t xml:space="preserve"> with different examples</w:t>
      </w:r>
      <w:r w:rsidR="00BC2344">
        <w:t xml:space="preserve"> as they are not uniform.</w:t>
      </w:r>
    </w:p>
    <w:p w:rsidR="00CC4F02" w:rsidRDefault="00CC4F02" w:rsidP="00CC4F02">
      <w:pPr>
        <w:pStyle w:val="PlainText"/>
      </w:pPr>
    </w:p>
    <w:p w:rsidR="00CC4F02" w:rsidRPr="00BC2344" w:rsidRDefault="00CC4F02" w:rsidP="00CC4F02">
      <w:pPr>
        <w:pStyle w:val="PlainText"/>
        <w:rPr>
          <w:b/>
        </w:rPr>
      </w:pPr>
      <w:r w:rsidRPr="00BC2344">
        <w:rPr>
          <w:b/>
        </w:rPr>
        <w:t>Action</w:t>
      </w:r>
      <w:r>
        <w:rPr>
          <w:b/>
        </w:rPr>
        <w:t>:</w:t>
      </w:r>
    </w:p>
    <w:p w:rsidR="00347B29" w:rsidRDefault="00CC4F02" w:rsidP="00881FA7">
      <w:pPr>
        <w:pStyle w:val="PlainText"/>
      </w:pPr>
      <w:r>
        <w:t>Different examples for</w:t>
      </w:r>
      <w:r w:rsidR="00812CDB">
        <w:t xml:space="preserve"> individual</w:t>
      </w:r>
      <w:r>
        <w:t xml:space="preserve"> learning, teaching and assessment to be sought and included in the guide</w:t>
      </w:r>
      <w:r w:rsidR="00347B29">
        <w:t>, as it was felt that more clarity was needed</w:t>
      </w:r>
      <w:r>
        <w:t>.</w:t>
      </w:r>
      <w:r w:rsidR="00347B29">
        <w:t xml:space="preserve">  </w:t>
      </w:r>
    </w:p>
    <w:p w:rsidR="00347B29" w:rsidRDefault="00347B29" w:rsidP="00881FA7">
      <w:pPr>
        <w:pStyle w:val="PlainText"/>
      </w:pPr>
    </w:p>
    <w:p w:rsidR="00881FA7" w:rsidRDefault="00CC4F02" w:rsidP="00881FA7">
      <w:pPr>
        <w:pStyle w:val="PlainText"/>
      </w:pPr>
      <w:r>
        <w:t xml:space="preserve">The </w:t>
      </w:r>
      <w:r w:rsidR="00347B29">
        <w:t>members</w:t>
      </w:r>
      <w:r w:rsidR="00B20F38">
        <w:t xml:space="preserve"> </w:t>
      </w:r>
      <w:r>
        <w:t xml:space="preserve"> </w:t>
      </w:r>
      <w:r w:rsidR="00B20F38">
        <w:t xml:space="preserve"> queried</w:t>
      </w:r>
      <w:r>
        <w:t xml:space="preserve"> the use of </w:t>
      </w:r>
      <w:r w:rsidR="00990883">
        <w:t>‘</w:t>
      </w:r>
      <w:r>
        <w:t>core</w:t>
      </w:r>
      <w:r w:rsidR="00990883">
        <w:t>’</w:t>
      </w:r>
      <w:r>
        <w:t xml:space="preserve"> Vs </w:t>
      </w:r>
      <w:r w:rsidR="00990883">
        <w:t>‘</w:t>
      </w:r>
      <w:r>
        <w:t>compulsory</w:t>
      </w:r>
      <w:r w:rsidR="00990883">
        <w:t>’</w:t>
      </w:r>
      <w:r>
        <w:t xml:space="preserve"> units</w:t>
      </w:r>
      <w:r w:rsidR="00347B29">
        <w:t>.</w:t>
      </w:r>
      <w:r>
        <w:t xml:space="preserve"> </w:t>
      </w:r>
      <w:r w:rsidR="00347B29">
        <w:t xml:space="preserve"> </w:t>
      </w:r>
      <w:r w:rsidR="00881FA7">
        <w:t xml:space="preserve">ES to circulate </w:t>
      </w:r>
      <w:r w:rsidR="00BC2344">
        <w:t>university definitions on core V</w:t>
      </w:r>
      <w:r w:rsidR="00881FA7">
        <w:t>s compulsory from the University glossary document</w:t>
      </w:r>
      <w:r w:rsidR="00783C54">
        <w:t>, with reference to dispensation previously emailed out to T&amp;L Directors by Nicola Lord, as this affected referrals</w:t>
      </w:r>
      <w:r w:rsidR="00881FA7">
        <w:t>.</w:t>
      </w:r>
      <w:r>
        <w:t xml:space="preserve"> </w:t>
      </w:r>
      <w:r w:rsidR="00783C54">
        <w:t xml:space="preserve">  </w:t>
      </w:r>
    </w:p>
    <w:p w:rsidR="00881FA7" w:rsidRDefault="00881FA7" w:rsidP="00881FA7">
      <w:pPr>
        <w:pStyle w:val="PlainText"/>
      </w:pPr>
    </w:p>
    <w:p w:rsidR="00756D6F" w:rsidRDefault="00756D6F" w:rsidP="00756D6F">
      <w:pPr>
        <w:pStyle w:val="PlainText"/>
      </w:pPr>
      <w:r w:rsidRPr="00BC2344">
        <w:rPr>
          <w:b/>
        </w:rPr>
        <w:t>Action</w:t>
      </w:r>
      <w:r>
        <w:rPr>
          <w:b/>
        </w:rPr>
        <w:t>:</w:t>
      </w:r>
    </w:p>
    <w:p w:rsidR="00756D6F" w:rsidRDefault="00756D6F" w:rsidP="00756D6F">
      <w:pPr>
        <w:pStyle w:val="PlainText"/>
      </w:pPr>
      <w:r>
        <w:t>ES to provide feedback on the proposed changes to the Guidance on the approval of programme amendments.</w:t>
      </w:r>
    </w:p>
    <w:p w:rsidR="00756D6F" w:rsidRDefault="00756D6F" w:rsidP="00881FA7">
      <w:pPr>
        <w:pStyle w:val="PlainText"/>
      </w:pPr>
    </w:p>
    <w:p w:rsidR="00881FA7" w:rsidRPr="008A71C9" w:rsidRDefault="00881FA7" w:rsidP="00881FA7">
      <w:pPr>
        <w:pStyle w:val="PlainText"/>
        <w:rPr>
          <w:b/>
        </w:rPr>
      </w:pPr>
      <w:r w:rsidRPr="008A71C9">
        <w:rPr>
          <w:b/>
        </w:rPr>
        <w:t>6. 2015-16 fee setting timetable</w:t>
      </w:r>
      <w:r w:rsidR="00347B29">
        <w:rPr>
          <w:b/>
        </w:rPr>
        <w:t xml:space="preserve"> </w:t>
      </w:r>
      <w:r w:rsidR="00347B29" w:rsidRPr="00347B29">
        <w:t>(HUGSC/1/13/6)</w:t>
      </w:r>
    </w:p>
    <w:p w:rsidR="00881FA7" w:rsidRDefault="00881FA7" w:rsidP="00881FA7">
      <w:pPr>
        <w:pStyle w:val="PlainText"/>
      </w:pPr>
    </w:p>
    <w:p w:rsidR="00CC4F02" w:rsidRPr="00CC4F02" w:rsidRDefault="00347B29" w:rsidP="00881FA7">
      <w:pPr>
        <w:pStyle w:val="PlainText"/>
        <w:rPr>
          <w:b/>
        </w:rPr>
      </w:pPr>
      <w:r>
        <w:rPr>
          <w:b/>
        </w:rPr>
        <w:t xml:space="preserve">Received: </w:t>
      </w:r>
    </w:p>
    <w:p w:rsidR="00881FA7" w:rsidRDefault="00CC4F02" w:rsidP="00881FA7">
      <w:pPr>
        <w:pStyle w:val="PlainText"/>
      </w:pPr>
      <w:r>
        <w:t>The t</w:t>
      </w:r>
      <w:r w:rsidR="00BC2344">
        <w:t xml:space="preserve">imetable </w:t>
      </w:r>
      <w:r>
        <w:t xml:space="preserve">was </w:t>
      </w:r>
      <w:r w:rsidR="00347B29">
        <w:t xml:space="preserve">received </w:t>
      </w:r>
      <w:r w:rsidR="00BC2344">
        <w:t>by</w:t>
      </w:r>
      <w:r>
        <w:t xml:space="preserve"> all</w:t>
      </w:r>
      <w:r w:rsidR="00BC2344">
        <w:t xml:space="preserve"> committee members</w:t>
      </w:r>
      <w:r w:rsidR="00347B29">
        <w:t xml:space="preserve"> for information</w:t>
      </w:r>
      <w:r w:rsidR="00BC2344">
        <w:t>.</w:t>
      </w:r>
    </w:p>
    <w:p w:rsidR="00881FA7" w:rsidRDefault="00881FA7" w:rsidP="00881FA7">
      <w:pPr>
        <w:pStyle w:val="PlainText"/>
      </w:pPr>
    </w:p>
    <w:p w:rsidR="00881FA7" w:rsidRPr="008A71C9" w:rsidRDefault="00881FA7" w:rsidP="00881FA7">
      <w:pPr>
        <w:pStyle w:val="PlainText"/>
        <w:rPr>
          <w:b/>
        </w:rPr>
      </w:pPr>
      <w:r w:rsidRPr="008A71C9">
        <w:rPr>
          <w:b/>
        </w:rPr>
        <w:t>7. School nominations to support programme approvals during 2013/14 and 2014/15</w:t>
      </w:r>
    </w:p>
    <w:p w:rsidR="00881FA7" w:rsidRDefault="00881FA7" w:rsidP="00881FA7">
      <w:pPr>
        <w:pStyle w:val="PlainText"/>
      </w:pPr>
    </w:p>
    <w:p w:rsidR="00BC2344" w:rsidRDefault="00881FA7" w:rsidP="00881FA7">
      <w:pPr>
        <w:pStyle w:val="PlainText"/>
        <w:rPr>
          <w:b/>
        </w:rPr>
      </w:pPr>
      <w:r w:rsidRPr="00BC2344">
        <w:rPr>
          <w:b/>
        </w:rPr>
        <w:t>Discussion</w:t>
      </w:r>
      <w:r w:rsidR="00BC2344">
        <w:rPr>
          <w:b/>
        </w:rPr>
        <w:t>:</w:t>
      </w:r>
    </w:p>
    <w:p w:rsidR="00881FA7" w:rsidRDefault="00C53050" w:rsidP="00C53050">
      <w:pPr>
        <w:pStyle w:val="PlainText"/>
      </w:pPr>
      <w:r>
        <w:t xml:space="preserve">Following portfolio review it was likely that there would be an increase in programme withdrawal/approval activity for this committee. Given that the number of Schools had fallen from 7 to 5, it was likely that the each member would be called upon more often to act as </w:t>
      </w:r>
      <w:proofErr w:type="gramStart"/>
      <w:r>
        <w:t>internal  advisor</w:t>
      </w:r>
      <w:proofErr w:type="gramEnd"/>
      <w:r>
        <w:t xml:space="preserve">. </w:t>
      </w:r>
    </w:p>
    <w:p w:rsidR="00881FA7" w:rsidRPr="00BC2344" w:rsidRDefault="00881FA7" w:rsidP="00881FA7">
      <w:pPr>
        <w:pStyle w:val="PlainText"/>
        <w:rPr>
          <w:b/>
        </w:rPr>
      </w:pPr>
      <w:r w:rsidRPr="00BC2344">
        <w:rPr>
          <w:b/>
        </w:rPr>
        <w:t>Agreed</w:t>
      </w:r>
      <w:r w:rsidR="00BC2344">
        <w:rPr>
          <w:b/>
        </w:rPr>
        <w:t>:</w:t>
      </w:r>
    </w:p>
    <w:p w:rsidR="00881FA7" w:rsidRDefault="00C53050" w:rsidP="00881FA7">
      <w:pPr>
        <w:pStyle w:val="PlainText"/>
      </w:pPr>
      <w:r>
        <w:t xml:space="preserve">It was agreed that Schools should be canvassed to provide the names of more individuals (such as ex-members of the committee and programme directors) who might be willing and able to act as internal advisors. </w:t>
      </w:r>
      <w:r w:rsidR="00881FA7">
        <w:t xml:space="preserve"> </w:t>
      </w:r>
    </w:p>
    <w:p w:rsidR="00881FA7" w:rsidRDefault="00881FA7" w:rsidP="00881FA7">
      <w:pPr>
        <w:pStyle w:val="PlainText"/>
      </w:pPr>
    </w:p>
    <w:p w:rsidR="00881FA7" w:rsidRPr="00BC2344" w:rsidRDefault="00881FA7" w:rsidP="00881FA7">
      <w:pPr>
        <w:pStyle w:val="PlainText"/>
        <w:rPr>
          <w:b/>
        </w:rPr>
      </w:pPr>
      <w:r w:rsidRPr="00BC2344">
        <w:rPr>
          <w:b/>
        </w:rPr>
        <w:t>Action</w:t>
      </w:r>
      <w:r w:rsidR="00BC2344" w:rsidRPr="00BC2344">
        <w:rPr>
          <w:b/>
        </w:rPr>
        <w:t>:</w:t>
      </w:r>
    </w:p>
    <w:p w:rsidR="00814470" w:rsidRPr="00BC2344" w:rsidRDefault="00814470" w:rsidP="00814470">
      <w:pPr>
        <w:pStyle w:val="PlainText"/>
        <w:rPr>
          <w:b/>
        </w:rPr>
      </w:pPr>
      <w:r w:rsidRPr="00BC2344">
        <w:rPr>
          <w:b/>
        </w:rPr>
        <w:lastRenderedPageBreak/>
        <w:t>Action:</w:t>
      </w:r>
    </w:p>
    <w:p w:rsidR="00881FA7" w:rsidRDefault="00881FA7" w:rsidP="00881FA7">
      <w:pPr>
        <w:pStyle w:val="PlainText"/>
      </w:pPr>
      <w:proofErr w:type="gramStart"/>
      <w:r>
        <w:t xml:space="preserve">ES </w:t>
      </w:r>
      <w:r w:rsidR="00756D6F">
        <w:t xml:space="preserve">to </w:t>
      </w:r>
      <w:r>
        <w:t xml:space="preserve">circulate the guidance on </w:t>
      </w:r>
      <w:r w:rsidR="00C53050">
        <w:t>i</w:t>
      </w:r>
      <w:r>
        <w:t xml:space="preserve">nternal </w:t>
      </w:r>
      <w:r w:rsidR="00C53050">
        <w:t>a</w:t>
      </w:r>
      <w:r>
        <w:t xml:space="preserve">dvisors with a deadline for identifying </w:t>
      </w:r>
      <w:r w:rsidR="00C53050">
        <w:t>one</w:t>
      </w:r>
      <w:r>
        <w:t xml:space="preserve"> additional representative per </w:t>
      </w:r>
      <w:r w:rsidR="00C53050">
        <w:t>S</w:t>
      </w:r>
      <w:r>
        <w:t>chool.</w:t>
      </w:r>
      <w:proofErr w:type="gramEnd"/>
    </w:p>
    <w:p w:rsidR="00881FA7" w:rsidRDefault="00881FA7" w:rsidP="00881FA7">
      <w:pPr>
        <w:pStyle w:val="PlainText"/>
      </w:pPr>
    </w:p>
    <w:p w:rsidR="00881FA7" w:rsidRDefault="00881FA7" w:rsidP="00881FA7">
      <w:pPr>
        <w:pStyle w:val="PlainText"/>
      </w:pPr>
      <w:r w:rsidRPr="008A71C9">
        <w:rPr>
          <w:b/>
        </w:rPr>
        <w:t>8. NPP1 Programme approvals in principle</w:t>
      </w:r>
    </w:p>
    <w:p w:rsidR="00881FA7" w:rsidRDefault="00881FA7" w:rsidP="00881FA7">
      <w:pPr>
        <w:pStyle w:val="PlainText"/>
      </w:pPr>
      <w:proofErr w:type="gramStart"/>
      <w:r>
        <w:t>None</w:t>
      </w:r>
      <w:r w:rsidR="00347B29">
        <w:t>.</w:t>
      </w:r>
      <w:proofErr w:type="gramEnd"/>
    </w:p>
    <w:p w:rsidR="00881FA7" w:rsidRDefault="00881FA7" w:rsidP="00881FA7">
      <w:pPr>
        <w:pStyle w:val="PlainText"/>
      </w:pPr>
    </w:p>
    <w:p w:rsidR="00881FA7" w:rsidRPr="008A71C9" w:rsidRDefault="00881FA7" w:rsidP="00881FA7">
      <w:pPr>
        <w:pStyle w:val="PlainText"/>
        <w:rPr>
          <w:b/>
        </w:rPr>
      </w:pPr>
      <w:r w:rsidRPr="008A71C9">
        <w:rPr>
          <w:b/>
        </w:rPr>
        <w:t>9. Programme amendments</w:t>
      </w:r>
    </w:p>
    <w:p w:rsidR="00881FA7" w:rsidRDefault="00881FA7" w:rsidP="00881FA7">
      <w:pPr>
        <w:pStyle w:val="PlainText"/>
      </w:pPr>
    </w:p>
    <w:p w:rsidR="00881FA7" w:rsidRDefault="00881FA7" w:rsidP="00881FA7">
      <w:pPr>
        <w:pStyle w:val="PlainText"/>
        <w:rPr>
          <w:b/>
        </w:rPr>
      </w:pPr>
      <w:r w:rsidRPr="008A71C9">
        <w:rPr>
          <w:b/>
        </w:rPr>
        <w:t xml:space="preserve">9.1 (BA </w:t>
      </w:r>
      <w:proofErr w:type="spellStart"/>
      <w:r w:rsidRPr="008A71C9">
        <w:rPr>
          <w:b/>
        </w:rPr>
        <w:t>Hons</w:t>
      </w:r>
      <w:proofErr w:type="spellEnd"/>
      <w:r w:rsidRPr="008A71C9">
        <w:rPr>
          <w:b/>
        </w:rPr>
        <w:t>) Social Sciences - new pathway</w:t>
      </w:r>
      <w:r w:rsidR="00903A15">
        <w:rPr>
          <w:b/>
        </w:rPr>
        <w:t xml:space="preserve">s: </w:t>
      </w:r>
    </w:p>
    <w:p w:rsidR="00903A15" w:rsidRDefault="00903A15" w:rsidP="00881FA7">
      <w:pPr>
        <w:pStyle w:val="PlainText"/>
        <w:rPr>
          <w:b/>
        </w:rPr>
      </w:pPr>
    </w:p>
    <w:p w:rsidR="00903A15" w:rsidRDefault="00903A15" w:rsidP="00881FA7">
      <w:pPr>
        <w:pStyle w:val="PlainText"/>
        <w:rPr>
          <w:b/>
        </w:rPr>
      </w:pPr>
      <w:r>
        <w:rPr>
          <w:b/>
        </w:rPr>
        <w:tab/>
        <w:t>(Sociology and Quantitative Methods)</w:t>
      </w:r>
    </w:p>
    <w:p w:rsidR="00903A15" w:rsidRDefault="00903A15" w:rsidP="00881FA7">
      <w:pPr>
        <w:pStyle w:val="PlainText"/>
        <w:rPr>
          <w:b/>
        </w:rPr>
      </w:pPr>
      <w:r>
        <w:rPr>
          <w:b/>
        </w:rPr>
        <w:tab/>
        <w:t>(Politics and Quantitative Methods)</w:t>
      </w:r>
    </w:p>
    <w:p w:rsidR="00903A15" w:rsidRDefault="00903A15" w:rsidP="00881FA7">
      <w:pPr>
        <w:pStyle w:val="PlainText"/>
        <w:rPr>
          <w:b/>
        </w:rPr>
      </w:pPr>
      <w:r>
        <w:rPr>
          <w:b/>
        </w:rPr>
        <w:tab/>
        <w:t>(Social Anthropology and Quantitative Methods)</w:t>
      </w:r>
    </w:p>
    <w:p w:rsidR="00903A15" w:rsidRPr="008A71C9" w:rsidRDefault="00903A15" w:rsidP="00881FA7">
      <w:pPr>
        <w:pStyle w:val="PlainText"/>
        <w:rPr>
          <w:b/>
        </w:rPr>
      </w:pPr>
      <w:r>
        <w:rPr>
          <w:b/>
        </w:rPr>
        <w:tab/>
        <w:t>(Philosophy and Quantitative Methods)</w:t>
      </w:r>
    </w:p>
    <w:p w:rsidR="00881FA7" w:rsidRPr="00903A15" w:rsidRDefault="00903A15" w:rsidP="00881FA7">
      <w:pPr>
        <w:pStyle w:val="PlainText"/>
        <w:rPr>
          <w:b/>
        </w:rPr>
      </w:pPr>
      <w:r w:rsidRPr="00903A15">
        <w:rPr>
          <w:b/>
        </w:rPr>
        <w:tab/>
        <w:t>(Criminology and Quantitative Methods)</w:t>
      </w:r>
    </w:p>
    <w:p w:rsidR="00903A15" w:rsidRDefault="00903A15" w:rsidP="00881FA7">
      <w:pPr>
        <w:pStyle w:val="PlainText"/>
      </w:pPr>
    </w:p>
    <w:p w:rsidR="00CC4F02" w:rsidRDefault="00881FA7" w:rsidP="00881FA7">
      <w:pPr>
        <w:pStyle w:val="PlainText"/>
        <w:rPr>
          <w:b/>
        </w:rPr>
      </w:pPr>
      <w:r w:rsidRPr="00CC4F02">
        <w:rPr>
          <w:b/>
        </w:rPr>
        <w:t>Discussion</w:t>
      </w:r>
      <w:r w:rsidR="00CC4F02" w:rsidRPr="00CC4F02">
        <w:rPr>
          <w:b/>
        </w:rPr>
        <w:t>:</w:t>
      </w:r>
    </w:p>
    <w:p w:rsidR="00052E0B" w:rsidRDefault="00881FA7" w:rsidP="00881FA7">
      <w:pPr>
        <w:pStyle w:val="PlainText"/>
      </w:pPr>
      <w:r>
        <w:t>TC presented the new pathway</w:t>
      </w:r>
      <w:r w:rsidR="00052E0B">
        <w:t>s</w:t>
      </w:r>
      <w:r>
        <w:t xml:space="preserve"> for BASS and Quantitative Methods (QM)</w:t>
      </w:r>
      <w:r w:rsidR="00347B29">
        <w:t>.</w:t>
      </w:r>
      <w:r>
        <w:t xml:space="preserve"> </w:t>
      </w:r>
    </w:p>
    <w:p w:rsidR="00052E0B" w:rsidRDefault="00052E0B" w:rsidP="00881FA7">
      <w:pPr>
        <w:pStyle w:val="PlainText"/>
      </w:pPr>
    </w:p>
    <w:p w:rsidR="00052E0B" w:rsidRDefault="00052E0B" w:rsidP="00881FA7">
      <w:pPr>
        <w:pStyle w:val="PlainText"/>
      </w:pPr>
      <w:r>
        <w:t xml:space="preserve">The proposal came out of a successful bid to the Nuffield Foundation for Q-Step funding.  </w:t>
      </w:r>
      <w:r>
        <w:rPr>
          <w:color w:val="000000"/>
        </w:rPr>
        <w:t>Q-Step is a £19.5 million programme designed to promote a step-change in quantitative social science training. Over a five-year period from 2013, fifteen universities across the UK are delivering specialist undergraduate programmes, including new courses, work placements and pathways to postgraduate study.</w:t>
      </w:r>
    </w:p>
    <w:p w:rsidR="00052E0B" w:rsidRDefault="00052E0B" w:rsidP="00881FA7">
      <w:pPr>
        <w:pStyle w:val="PlainText"/>
      </w:pPr>
    </w:p>
    <w:p w:rsidR="00881FA7" w:rsidRPr="00CC4F02" w:rsidRDefault="00881FA7" w:rsidP="00881FA7">
      <w:pPr>
        <w:pStyle w:val="PlainText"/>
        <w:rPr>
          <w:b/>
        </w:rPr>
      </w:pPr>
      <w:r>
        <w:t xml:space="preserve">It was discussed how pathways should all be referred to as </w:t>
      </w:r>
      <w:r w:rsidR="00C53050">
        <w:t>‘</w:t>
      </w:r>
      <w:r>
        <w:t>BASS and discipline</w:t>
      </w:r>
      <w:r w:rsidR="00C53050">
        <w:t>’</w:t>
      </w:r>
      <w:r>
        <w:t xml:space="preserve"> (not </w:t>
      </w:r>
      <w:r w:rsidR="00C53050">
        <w:t>‘</w:t>
      </w:r>
      <w:r>
        <w:t>with</w:t>
      </w:r>
      <w:r w:rsidR="00C53050">
        <w:t>’</w:t>
      </w:r>
      <w:r>
        <w:t xml:space="preserve"> or </w:t>
      </w:r>
      <w:r w:rsidR="00C53050">
        <w:t>‘</w:t>
      </w:r>
      <w:r>
        <w:t>plus</w:t>
      </w:r>
      <w:r w:rsidR="00C53050">
        <w:t>’</w:t>
      </w:r>
      <w:r>
        <w:t xml:space="preserve"> as mentioned in some of the documentation.) It was noted that changes </w:t>
      </w:r>
      <w:r w:rsidR="007F4465">
        <w:t>might be</w:t>
      </w:r>
      <w:r w:rsidR="00347B29">
        <w:t xml:space="preserve"> </w:t>
      </w:r>
      <w:r>
        <w:t>required to the credit balance</w:t>
      </w:r>
      <w:r w:rsidR="00347B29">
        <w:t xml:space="preserve"> </w:t>
      </w:r>
      <w:r w:rsidR="00E82158">
        <w:t xml:space="preserve">between </w:t>
      </w:r>
      <w:r w:rsidR="007F4465">
        <w:t xml:space="preserve">the two subjects, </w:t>
      </w:r>
      <w:r w:rsidR="00347B29">
        <w:t>to fit with the requirements regarding degree titles set out in the Guide to the Taught Regulations</w:t>
      </w:r>
      <w:r>
        <w:t>.</w:t>
      </w:r>
    </w:p>
    <w:p w:rsidR="00CC4F02" w:rsidRDefault="00CC4F02" w:rsidP="00881FA7">
      <w:pPr>
        <w:pStyle w:val="PlainText"/>
      </w:pPr>
    </w:p>
    <w:p w:rsidR="00BB2295" w:rsidRPr="00BB2295" w:rsidRDefault="00BB2295" w:rsidP="00881FA7">
      <w:pPr>
        <w:pStyle w:val="PlainText"/>
        <w:rPr>
          <w:i/>
          <w:u w:val="single"/>
        </w:rPr>
      </w:pPr>
      <w:r w:rsidRPr="00BB2295">
        <w:rPr>
          <w:i/>
          <w:u w:val="single"/>
        </w:rPr>
        <w:t xml:space="preserve">Secretary’s Note: </w:t>
      </w:r>
    </w:p>
    <w:p w:rsidR="00BB2295" w:rsidRDefault="00BB2295" w:rsidP="00881FA7">
      <w:pPr>
        <w:pStyle w:val="PlainText"/>
      </w:pPr>
    </w:p>
    <w:p w:rsidR="00BB2295" w:rsidRPr="00BB2295" w:rsidRDefault="00BB2295" w:rsidP="007B29BE">
      <w:pPr>
        <w:rPr>
          <w:i/>
        </w:rPr>
      </w:pPr>
      <w:r w:rsidRPr="00BB2295">
        <w:rPr>
          <w:i/>
        </w:rPr>
        <w:t>On following this up it emerge</w:t>
      </w:r>
      <w:r>
        <w:rPr>
          <w:i/>
        </w:rPr>
        <w:t xml:space="preserve">d </w:t>
      </w:r>
      <w:r w:rsidRPr="00BB2295">
        <w:rPr>
          <w:i/>
        </w:rPr>
        <w:t xml:space="preserve">that the number of credits required for ‘and’ in the degree title </w:t>
      </w:r>
      <w:r>
        <w:rPr>
          <w:i/>
        </w:rPr>
        <w:t>wa</w:t>
      </w:r>
      <w:r w:rsidRPr="00BB2295">
        <w:rPr>
          <w:i/>
        </w:rPr>
        <w:t xml:space="preserve">s moot. The title of the BASS is </w:t>
      </w:r>
      <w:r>
        <w:rPr>
          <w:i/>
        </w:rPr>
        <w:t>“</w:t>
      </w:r>
      <w:r w:rsidRPr="00BB2295">
        <w:rPr>
          <w:i/>
        </w:rPr>
        <w:t>BA in Social Sciences</w:t>
      </w:r>
      <w:r>
        <w:rPr>
          <w:i/>
        </w:rPr>
        <w:t xml:space="preserve"> (specialism)”</w:t>
      </w:r>
      <w:r w:rsidRPr="00BB2295">
        <w:rPr>
          <w:i/>
        </w:rPr>
        <w:t xml:space="preserve"> and not, for example </w:t>
      </w:r>
      <w:r>
        <w:rPr>
          <w:i/>
        </w:rPr>
        <w:t>“</w:t>
      </w:r>
      <w:r w:rsidRPr="00BB2295">
        <w:rPr>
          <w:i/>
        </w:rPr>
        <w:t>BA in Sociology and Quantitative Methods.</w:t>
      </w:r>
      <w:r>
        <w:rPr>
          <w:i/>
        </w:rPr>
        <w:t>”</w:t>
      </w:r>
      <w:r w:rsidRPr="00BB2295">
        <w:rPr>
          <w:i/>
        </w:rPr>
        <w:t xml:space="preserve"> Therefore, the </w:t>
      </w:r>
      <w:r>
        <w:rPr>
          <w:i/>
        </w:rPr>
        <w:t xml:space="preserve">subject balance requirements for degree titles do not apply, and the original </w:t>
      </w:r>
      <w:r w:rsidRPr="00BB2295">
        <w:rPr>
          <w:i/>
        </w:rPr>
        <w:t xml:space="preserve">number of </w:t>
      </w:r>
      <w:r>
        <w:rPr>
          <w:i/>
        </w:rPr>
        <w:t xml:space="preserve">QM </w:t>
      </w:r>
      <w:r w:rsidRPr="00BB2295">
        <w:rPr>
          <w:i/>
        </w:rPr>
        <w:t xml:space="preserve">credits and balance of 20/40/60 </w:t>
      </w:r>
      <w:r>
        <w:rPr>
          <w:i/>
        </w:rPr>
        <w:t>wa</w:t>
      </w:r>
      <w:r w:rsidRPr="00BB2295">
        <w:rPr>
          <w:i/>
        </w:rPr>
        <w:t>s perfectly fine.</w:t>
      </w:r>
    </w:p>
    <w:p w:rsidR="00881FA7" w:rsidRDefault="00CC4F02" w:rsidP="00881FA7">
      <w:pPr>
        <w:pStyle w:val="PlainText"/>
      </w:pPr>
      <w:r>
        <w:t>T</w:t>
      </w:r>
      <w:r w:rsidR="00881FA7">
        <w:t xml:space="preserve">here may be a perceived potential conflict of interest if </w:t>
      </w:r>
      <w:r w:rsidR="007F4465">
        <w:t>C</w:t>
      </w:r>
      <w:r w:rsidR="00881FA7">
        <w:t>riminology students opt</w:t>
      </w:r>
      <w:r w:rsidR="00347B29">
        <w:t>ed</w:t>
      </w:r>
      <w:r w:rsidR="00881FA7">
        <w:t xml:space="preserve"> to </w:t>
      </w:r>
      <w:r w:rsidR="00347B29">
        <w:t xml:space="preserve">apply for </w:t>
      </w:r>
      <w:r w:rsidR="00881FA7">
        <w:t xml:space="preserve">the BASS pathway instead. This was agreed to be monitored once the intake begins but at this stage NH </w:t>
      </w:r>
      <w:r w:rsidR="00347B29">
        <w:t>noted that Dave Gadd, Head of Criminology, had given his consent to the proposal</w:t>
      </w:r>
      <w:r w:rsidR="00881FA7">
        <w:t>.</w:t>
      </w:r>
    </w:p>
    <w:p w:rsidR="00052E0B" w:rsidRDefault="00052E0B" w:rsidP="00052E0B">
      <w:pPr>
        <w:pStyle w:val="PlainText"/>
      </w:pPr>
      <w:r>
        <w:t xml:space="preserve">Projected intakes for the first three years were small: 05/10/15.  These numbers were for all the pathways combined, so some pathways would have 0 students in some years.  It was acknowledged that the market was tiny, but that was why Q-Step had been launched in the first place.  Should the initiative fail, then the consequences for </w:t>
      </w:r>
      <w:proofErr w:type="spellStart"/>
      <w:r>
        <w:t>SoSS</w:t>
      </w:r>
      <w:proofErr w:type="spellEnd"/>
      <w:r>
        <w:t xml:space="preserve"> would be minimised by the incorporation of the pathways </w:t>
      </w:r>
      <w:r w:rsidR="007F4465">
        <w:t>under</w:t>
      </w:r>
      <w:r>
        <w:t xml:space="preserve"> the BASS umbrella.</w:t>
      </w:r>
      <w:r w:rsidR="004556D3">
        <w:t xml:space="preserve">  The only extra cost – the creation of QM modules – would be funded by Nuffield.  The grant funded whole or partial new posts in </w:t>
      </w:r>
      <w:proofErr w:type="spellStart"/>
      <w:r w:rsidR="004556D3">
        <w:t>SoSS</w:t>
      </w:r>
      <w:proofErr w:type="spellEnd"/>
      <w:r w:rsidR="004556D3">
        <w:t xml:space="preserve">, Law (10% </w:t>
      </w:r>
      <w:r w:rsidR="007F4465">
        <w:t>FTE</w:t>
      </w:r>
      <w:r w:rsidR="004556D3">
        <w:t xml:space="preserve">) and ALC.    It was noted that </w:t>
      </w:r>
      <w:proofErr w:type="spellStart"/>
      <w:r w:rsidR="004556D3">
        <w:t>SoSS</w:t>
      </w:r>
      <w:proofErr w:type="spellEnd"/>
      <w:r w:rsidR="004556D3">
        <w:t xml:space="preserve"> expected some students from other programmes both within and without </w:t>
      </w:r>
      <w:proofErr w:type="spellStart"/>
      <w:r w:rsidR="004556D3">
        <w:t>SoSS</w:t>
      </w:r>
      <w:proofErr w:type="spellEnd"/>
      <w:r w:rsidR="004556D3">
        <w:t xml:space="preserve"> to take the QM units.</w:t>
      </w:r>
    </w:p>
    <w:p w:rsidR="00052E0B" w:rsidRDefault="00052E0B" w:rsidP="00881FA7">
      <w:pPr>
        <w:pStyle w:val="PlainText"/>
      </w:pPr>
    </w:p>
    <w:p w:rsidR="00052E0B" w:rsidRDefault="00052E0B" w:rsidP="00881FA7">
      <w:pPr>
        <w:pStyle w:val="PlainText"/>
      </w:pPr>
      <w:r>
        <w:lastRenderedPageBreak/>
        <w:t xml:space="preserve">Concerns were raised about student identity on such small cohorts.  However, </w:t>
      </w:r>
      <w:proofErr w:type="spellStart"/>
      <w:r>
        <w:t>SoSS</w:t>
      </w:r>
      <w:proofErr w:type="spellEnd"/>
      <w:r>
        <w:t xml:space="preserve"> has a successful and long-established model of cohort identity across interdisciplinary pathways in the BA Econ.</w:t>
      </w:r>
    </w:p>
    <w:p w:rsidR="00052E0B" w:rsidRDefault="00052E0B" w:rsidP="00881FA7">
      <w:pPr>
        <w:pStyle w:val="PlainText"/>
      </w:pPr>
    </w:p>
    <w:p w:rsidR="00881FA7" w:rsidRDefault="008C5BCE" w:rsidP="00881FA7">
      <w:pPr>
        <w:pStyle w:val="PlainText"/>
      </w:pPr>
      <w:proofErr w:type="spellStart"/>
      <w:r>
        <w:t>SoSS</w:t>
      </w:r>
      <w:proofErr w:type="spellEnd"/>
      <w:r>
        <w:t xml:space="preserve"> informed the committee that placements would be supported by an administrator (Nuffield would fund 50% of a Grade 8) plus Social Stats academic staff.  </w:t>
      </w:r>
      <w:proofErr w:type="spellStart"/>
      <w:r>
        <w:t>SoSS</w:t>
      </w:r>
      <w:proofErr w:type="spellEnd"/>
      <w:r>
        <w:t xml:space="preserve"> were advised to contact CED for additional support.  </w:t>
      </w:r>
      <w:r w:rsidR="00881FA7">
        <w:t xml:space="preserve">It was also raised that the actual timing of the internship being during the summer of the students' second year </w:t>
      </w:r>
      <w:r w:rsidR="00347B29">
        <w:t xml:space="preserve">was </w:t>
      </w:r>
      <w:r w:rsidR="00881FA7">
        <w:t>not clear within the document.</w:t>
      </w:r>
      <w:r>
        <w:t xml:space="preserve">  The pathways guaranteed students an </w:t>
      </w:r>
      <w:r w:rsidRPr="008C5BCE">
        <w:rPr>
          <w:i/>
        </w:rPr>
        <w:t>interview</w:t>
      </w:r>
      <w:r>
        <w:t xml:space="preserve"> with a placement provider, provided they achieved at least 65%.  However, it was up to the employer whether to offer the placement or not.  This would have to be carefully worded in marketing and publicity materials.</w:t>
      </w:r>
    </w:p>
    <w:p w:rsidR="00881FA7" w:rsidRDefault="00881FA7" w:rsidP="00881FA7">
      <w:pPr>
        <w:pStyle w:val="PlainText"/>
      </w:pPr>
    </w:p>
    <w:p w:rsidR="00881FA7" w:rsidRDefault="00881FA7" w:rsidP="00881FA7">
      <w:pPr>
        <w:pStyle w:val="PlainText"/>
      </w:pPr>
      <w:r>
        <w:t xml:space="preserve">External Advisor comments </w:t>
      </w:r>
      <w:r w:rsidR="00347B29">
        <w:t xml:space="preserve">had </w:t>
      </w:r>
      <w:r>
        <w:t>been received</w:t>
      </w:r>
      <w:r w:rsidR="00C214DD">
        <w:t xml:space="preserve"> from Nikos </w:t>
      </w:r>
      <w:proofErr w:type="spellStart"/>
      <w:r w:rsidR="00C214DD">
        <w:t>Tzavidis</w:t>
      </w:r>
      <w:proofErr w:type="spellEnd"/>
      <w:r w:rsidR="00C214DD">
        <w:t xml:space="preserve"> (Southampton)</w:t>
      </w:r>
      <w:r>
        <w:t xml:space="preserve"> suggesting a potential reconfiguration of the second year modules into the first year</w:t>
      </w:r>
      <w:r w:rsidR="008C5BCE">
        <w:t>, and vice versa</w:t>
      </w:r>
      <w:r>
        <w:t xml:space="preserve">. Whilst taking the External comments into consideration it </w:t>
      </w:r>
      <w:r w:rsidR="00347B29">
        <w:t xml:space="preserve">had </w:t>
      </w:r>
      <w:r>
        <w:t xml:space="preserve">been decided by SOSS not to follow this suggested model. It </w:t>
      </w:r>
      <w:r w:rsidR="00347B29">
        <w:t xml:space="preserve">was </w:t>
      </w:r>
      <w:r>
        <w:t xml:space="preserve">thought that including </w:t>
      </w:r>
      <w:r w:rsidR="00347B29">
        <w:t>challenging</w:t>
      </w:r>
      <w:r>
        <w:t xml:space="preserve"> </w:t>
      </w:r>
      <w:r w:rsidR="007F4465">
        <w:t>S</w:t>
      </w:r>
      <w:r>
        <w:t xml:space="preserve">tatistics models within the first year may deter students. Therefore the first year </w:t>
      </w:r>
      <w:r w:rsidR="00347B29">
        <w:t>had</w:t>
      </w:r>
      <w:r w:rsidR="00BB2295">
        <w:t xml:space="preserve"> </w:t>
      </w:r>
      <w:r>
        <w:t xml:space="preserve">been carefully planned to include the required methodological skills. Other feedback from the external advisor </w:t>
      </w:r>
      <w:r w:rsidR="00347B29">
        <w:t xml:space="preserve">would </w:t>
      </w:r>
      <w:r>
        <w:t>happily be adopted.</w:t>
      </w:r>
    </w:p>
    <w:p w:rsidR="00881FA7" w:rsidRDefault="00881FA7" w:rsidP="00881FA7">
      <w:pPr>
        <w:pStyle w:val="PlainText"/>
      </w:pPr>
    </w:p>
    <w:p w:rsidR="00881FA7" w:rsidRDefault="00881FA7" w:rsidP="00881FA7">
      <w:pPr>
        <w:pStyle w:val="PlainText"/>
      </w:pPr>
      <w:r>
        <w:t xml:space="preserve">Core and compulsory units </w:t>
      </w:r>
      <w:r w:rsidR="00347B29">
        <w:t xml:space="preserve">would </w:t>
      </w:r>
      <w:r>
        <w:t>need to be confirmed with some changes needing to go to Faculty.</w:t>
      </w:r>
    </w:p>
    <w:p w:rsidR="00D242AF" w:rsidRDefault="00D242AF" w:rsidP="00881FA7">
      <w:pPr>
        <w:pStyle w:val="PlainText"/>
      </w:pPr>
    </w:p>
    <w:p w:rsidR="00881FA7" w:rsidRDefault="00881FA7" w:rsidP="00881FA7">
      <w:pPr>
        <w:pStyle w:val="PlainText"/>
      </w:pPr>
      <w:r w:rsidRPr="00CC4F02">
        <w:rPr>
          <w:b/>
        </w:rPr>
        <w:t>Actions</w:t>
      </w:r>
      <w:r w:rsidR="00CC4F02">
        <w:rPr>
          <w:b/>
        </w:rPr>
        <w:t>:</w:t>
      </w:r>
    </w:p>
    <w:p w:rsidR="00BB2295" w:rsidRDefault="00BB2295" w:rsidP="005A3E15">
      <w:pPr>
        <w:pStyle w:val="PlainText"/>
        <w:numPr>
          <w:ilvl w:val="0"/>
          <w:numId w:val="4"/>
        </w:numPr>
      </w:pPr>
      <w:proofErr w:type="spellStart"/>
      <w:r>
        <w:t>Prog</w:t>
      </w:r>
      <w:proofErr w:type="spellEnd"/>
      <w:r>
        <w:t xml:space="preserve"> Spec p</w:t>
      </w:r>
      <w:r w:rsidR="007F4465">
        <w:t>.</w:t>
      </w:r>
      <w:r>
        <w:t xml:space="preserve">5 – </w:t>
      </w:r>
      <w:proofErr w:type="spellStart"/>
      <w:r>
        <w:t>SoSS</w:t>
      </w:r>
      <w:proofErr w:type="spellEnd"/>
      <w:r>
        <w:t xml:space="preserve"> to confirm that these pathways follow same structure and rules as previously-approved BASS pathways.</w:t>
      </w:r>
    </w:p>
    <w:p w:rsidR="005A3E15" w:rsidRDefault="00BB2295" w:rsidP="005A3E15">
      <w:pPr>
        <w:pStyle w:val="ListParagraph"/>
        <w:numPr>
          <w:ilvl w:val="0"/>
          <w:numId w:val="4"/>
        </w:numPr>
        <w:spacing w:after="0" w:line="240" w:lineRule="auto"/>
      </w:pPr>
      <w:proofErr w:type="spellStart"/>
      <w:r>
        <w:t>Prog</w:t>
      </w:r>
      <w:proofErr w:type="spellEnd"/>
      <w:r>
        <w:t xml:space="preserve"> Spec p</w:t>
      </w:r>
      <w:r w:rsidR="007F4465">
        <w:t>.</w:t>
      </w:r>
      <w:r>
        <w:t xml:space="preserve">13 – </w:t>
      </w:r>
      <w:proofErr w:type="spellStart"/>
      <w:r>
        <w:t>SoSS</w:t>
      </w:r>
      <w:proofErr w:type="spellEnd"/>
      <w:r>
        <w:t xml:space="preserve"> to </w:t>
      </w:r>
      <w:r w:rsidR="005A3E15">
        <w:t xml:space="preserve">note that what were termed ‘compulsory’ modules would need to be called ‘core’ modules, because technically no referrals were permitted for compulsory modules under the new UG exam regulations.  </w:t>
      </w:r>
    </w:p>
    <w:p w:rsidR="005A3E15" w:rsidRDefault="00881FA7" w:rsidP="005A3E15">
      <w:pPr>
        <w:pStyle w:val="PlainText"/>
        <w:numPr>
          <w:ilvl w:val="0"/>
          <w:numId w:val="4"/>
        </w:numPr>
      </w:pPr>
      <w:r>
        <w:t xml:space="preserve">SOSS to clarify in programme amendment forms </w:t>
      </w:r>
      <w:r w:rsidR="008C5BCE">
        <w:t xml:space="preserve">and publicity and marketing material </w:t>
      </w:r>
      <w:r>
        <w:t>that internships are to take place in the summer break during the students second year</w:t>
      </w:r>
      <w:r w:rsidR="008C5BCE">
        <w:t>, and that interviews are guaranteed subject to achieving good grades, rather than actual placements/internships being guaranteed</w:t>
      </w:r>
      <w:r>
        <w:t xml:space="preserve">.TC will respond to </w:t>
      </w:r>
      <w:r w:rsidR="00347B29">
        <w:t>the E</w:t>
      </w:r>
      <w:r>
        <w:t xml:space="preserve">xternal </w:t>
      </w:r>
      <w:r w:rsidR="00347B29">
        <w:t>A</w:t>
      </w:r>
      <w:r>
        <w:t>dvisor and provide copies of the correspondence to the</w:t>
      </w:r>
      <w:r w:rsidR="00347B29">
        <w:t xml:space="preserve"> Chair</w:t>
      </w:r>
      <w:r w:rsidR="007B29BE">
        <w:t xml:space="preserve"> </w:t>
      </w:r>
      <w:r w:rsidR="00F43AF6">
        <w:t>via Emma Rose</w:t>
      </w:r>
      <w:r>
        <w:t>.  Cath Dyson's signature to be obtained for approval.</w:t>
      </w:r>
    </w:p>
    <w:p w:rsidR="005A3E15" w:rsidRDefault="005A3E15" w:rsidP="005A3E15">
      <w:pPr>
        <w:pStyle w:val="PlainText"/>
        <w:numPr>
          <w:ilvl w:val="0"/>
          <w:numId w:val="4"/>
        </w:numPr>
      </w:pPr>
      <w:proofErr w:type="spellStart"/>
      <w:r>
        <w:t>SoSS</w:t>
      </w:r>
      <w:proofErr w:type="spellEnd"/>
      <w:r>
        <w:t xml:space="preserve"> UG Director</w:t>
      </w:r>
      <w:r w:rsidR="001D44C1">
        <w:t>’s</w:t>
      </w:r>
      <w:r>
        <w:t xml:space="preserve"> signature is required</w:t>
      </w:r>
      <w:r w:rsidR="00D242AF">
        <w:t>.</w:t>
      </w:r>
    </w:p>
    <w:p w:rsidR="00D242AF" w:rsidRDefault="00D242AF" w:rsidP="005A3E15">
      <w:pPr>
        <w:pStyle w:val="PlainText"/>
        <w:numPr>
          <w:ilvl w:val="0"/>
          <w:numId w:val="4"/>
        </w:numPr>
      </w:pPr>
      <w:r>
        <w:t xml:space="preserve">Monitor to see whether a conflict of interest develops between Criminology and </w:t>
      </w:r>
      <w:proofErr w:type="spellStart"/>
      <w:r>
        <w:t>SoSS</w:t>
      </w:r>
      <w:proofErr w:type="spellEnd"/>
      <w:r>
        <w:t xml:space="preserve"> </w:t>
      </w:r>
      <w:r w:rsidR="00C65868">
        <w:t xml:space="preserve">- </w:t>
      </w:r>
      <w:r>
        <w:t>enter into a discussion about it</w:t>
      </w:r>
      <w:r w:rsidR="00C65868">
        <w:t xml:space="preserve"> if necessary</w:t>
      </w:r>
      <w:r>
        <w:t>.</w:t>
      </w:r>
    </w:p>
    <w:p w:rsidR="00881FA7" w:rsidRPr="008A71C9" w:rsidRDefault="00881FA7" w:rsidP="00881FA7">
      <w:pPr>
        <w:pStyle w:val="PlainText"/>
        <w:rPr>
          <w:b/>
        </w:rPr>
      </w:pPr>
    </w:p>
    <w:p w:rsidR="00881FA7" w:rsidRPr="008A71C9" w:rsidRDefault="00881FA7" w:rsidP="00881FA7">
      <w:pPr>
        <w:pStyle w:val="PlainText"/>
        <w:rPr>
          <w:b/>
        </w:rPr>
      </w:pPr>
      <w:r w:rsidRPr="008A71C9">
        <w:rPr>
          <w:b/>
        </w:rPr>
        <w:t>9.2 Art Museums, Galleries and Curating (Sotheby's London</w:t>
      </w:r>
      <w:r w:rsidR="00DE136E">
        <w:rPr>
          <w:b/>
        </w:rPr>
        <w:t>,</w:t>
      </w:r>
      <w:r w:rsidRPr="008A71C9">
        <w:rPr>
          <w:b/>
        </w:rPr>
        <w:t xml:space="preserve"> validated by SALC)</w:t>
      </w:r>
    </w:p>
    <w:p w:rsidR="00881FA7" w:rsidRDefault="00881FA7" w:rsidP="00881FA7">
      <w:pPr>
        <w:pStyle w:val="PlainText"/>
      </w:pPr>
    </w:p>
    <w:p w:rsidR="00881FA7" w:rsidRPr="00CC4F02" w:rsidRDefault="00881FA7" w:rsidP="00881FA7">
      <w:pPr>
        <w:pStyle w:val="PlainText"/>
        <w:rPr>
          <w:b/>
        </w:rPr>
      </w:pPr>
      <w:r w:rsidRPr="00CC4F02">
        <w:rPr>
          <w:b/>
        </w:rPr>
        <w:t>Discussion</w:t>
      </w:r>
      <w:r w:rsidR="00CC4F02" w:rsidRPr="00CC4F02">
        <w:rPr>
          <w:b/>
        </w:rPr>
        <w:t>:</w:t>
      </w:r>
    </w:p>
    <w:p w:rsidR="00881FA7" w:rsidRDefault="00CC4F02" w:rsidP="00881FA7">
      <w:pPr>
        <w:pStyle w:val="PlainText"/>
      </w:pPr>
      <w:r>
        <w:t>T</w:t>
      </w:r>
      <w:r w:rsidR="00881FA7">
        <w:t>he</w:t>
      </w:r>
      <w:r>
        <w:t xml:space="preserve"> committee identified that the</w:t>
      </w:r>
      <w:r w:rsidR="00881FA7">
        <w:t xml:space="preserve">re may be potential entry requirement issues as the Programme Amendment form for this 60 credit programme </w:t>
      </w:r>
      <w:r w:rsidR="00347B29">
        <w:t xml:space="preserve">articulated </w:t>
      </w:r>
      <w:r w:rsidR="00881FA7">
        <w:t xml:space="preserve">that </w:t>
      </w:r>
      <w:r w:rsidR="007F4465">
        <w:t>‘</w:t>
      </w:r>
      <w:r w:rsidR="00881FA7">
        <w:t>students successfully completing this course would be well equipped to proceed to the Institute</w:t>
      </w:r>
      <w:r w:rsidR="007F4465">
        <w:t>’</w:t>
      </w:r>
      <w:r w:rsidR="00881FA7">
        <w:t>s MA in Fine and Decorative Arts, Contemporary Art, Contemporary Design, Photography and East Asian Art.</w:t>
      </w:r>
      <w:r w:rsidR="007F4465">
        <w:t>’</w:t>
      </w:r>
      <w:r w:rsidR="00881FA7">
        <w:t xml:space="preserve"> This </w:t>
      </w:r>
      <w:r w:rsidR="00347B29">
        <w:t xml:space="preserve">did </w:t>
      </w:r>
      <w:r w:rsidR="00881FA7">
        <w:t>not specify that these students must already have a first degree. The group believe</w:t>
      </w:r>
      <w:r w:rsidR="00347B29">
        <w:t>d</w:t>
      </w:r>
      <w:r w:rsidR="00881FA7">
        <w:t xml:space="preserve"> that this may be assumed but would like it to be clarified.</w:t>
      </w:r>
    </w:p>
    <w:p w:rsidR="00881FA7" w:rsidRDefault="00881FA7" w:rsidP="00881FA7">
      <w:pPr>
        <w:pStyle w:val="PlainText"/>
      </w:pPr>
    </w:p>
    <w:p w:rsidR="00881FA7" w:rsidRPr="00CC4F02" w:rsidRDefault="00881FA7" w:rsidP="00881FA7">
      <w:pPr>
        <w:pStyle w:val="PlainText"/>
        <w:rPr>
          <w:b/>
        </w:rPr>
      </w:pPr>
      <w:r w:rsidRPr="00CC4F02">
        <w:rPr>
          <w:b/>
        </w:rPr>
        <w:t>Action</w:t>
      </w:r>
      <w:r w:rsidR="00CC4F02" w:rsidRPr="00CC4F02">
        <w:rPr>
          <w:b/>
        </w:rPr>
        <w:t>:</w:t>
      </w:r>
    </w:p>
    <w:p w:rsidR="00881FA7" w:rsidRDefault="00881FA7" w:rsidP="00881FA7">
      <w:pPr>
        <w:pStyle w:val="PlainText"/>
      </w:pPr>
      <w:r>
        <w:t>ES to confirm Sotheby's entry criteria and have</w:t>
      </w:r>
      <w:r w:rsidR="00347B29">
        <w:t xml:space="preserve"> the marketing material</w:t>
      </w:r>
      <w:r w:rsidR="007F4465">
        <w:t xml:space="preserve"> clarified</w:t>
      </w:r>
      <w:r>
        <w:t>.</w:t>
      </w:r>
    </w:p>
    <w:p w:rsidR="00881FA7" w:rsidRDefault="00881FA7" w:rsidP="00881FA7">
      <w:pPr>
        <w:pStyle w:val="PlainText"/>
      </w:pPr>
    </w:p>
    <w:p w:rsidR="00881FA7" w:rsidRPr="008A71C9" w:rsidRDefault="00881FA7" w:rsidP="00881FA7">
      <w:pPr>
        <w:pStyle w:val="PlainText"/>
        <w:rPr>
          <w:b/>
        </w:rPr>
      </w:pPr>
      <w:r w:rsidRPr="008A71C9">
        <w:rPr>
          <w:b/>
        </w:rPr>
        <w:t xml:space="preserve">9.3 Arts of Asia and their Markets (Sotheby's London </w:t>
      </w:r>
      <w:r w:rsidRPr="00B579B9">
        <w:rPr>
          <w:b/>
        </w:rPr>
        <w:t>validated by SALC</w:t>
      </w:r>
      <w:r w:rsidR="00B579B9" w:rsidRPr="00B579B9">
        <w:rPr>
          <w:b/>
        </w:rPr>
        <w:t>)</w:t>
      </w:r>
    </w:p>
    <w:p w:rsidR="00881FA7" w:rsidRDefault="00881FA7" w:rsidP="00881FA7">
      <w:pPr>
        <w:pStyle w:val="PlainText"/>
      </w:pPr>
      <w:bookmarkStart w:id="0" w:name="_GoBack"/>
      <w:bookmarkEnd w:id="0"/>
    </w:p>
    <w:p w:rsidR="00881FA7" w:rsidRDefault="00881FA7" w:rsidP="00881FA7">
      <w:pPr>
        <w:pStyle w:val="PlainText"/>
      </w:pPr>
      <w:r w:rsidRPr="00CC4F02">
        <w:rPr>
          <w:b/>
        </w:rPr>
        <w:lastRenderedPageBreak/>
        <w:t>Discussion</w:t>
      </w:r>
      <w:r w:rsidR="00CC4F02">
        <w:rPr>
          <w:b/>
        </w:rPr>
        <w:t>:</w:t>
      </w:r>
    </w:p>
    <w:p w:rsidR="00881FA7" w:rsidRDefault="00CC4F02" w:rsidP="00881FA7">
      <w:pPr>
        <w:pStyle w:val="PlainText"/>
      </w:pPr>
      <w:r>
        <w:t>T</w:t>
      </w:r>
      <w:r w:rsidR="00881FA7">
        <w:t>his programme amendment form articulate</w:t>
      </w:r>
      <w:r w:rsidR="00347B29">
        <w:t>d</w:t>
      </w:r>
      <w:r w:rsidR="00881FA7">
        <w:t xml:space="preserve"> that </w:t>
      </w:r>
      <w:r w:rsidR="007F4465">
        <w:t>‘</w:t>
      </w:r>
      <w:r w:rsidR="00881FA7">
        <w:t>approximately 50% of students attending this course over the last five years have progressed to the MA in East Asian Art.</w:t>
      </w:r>
      <w:r w:rsidR="007F4465">
        <w:t>’</w:t>
      </w:r>
      <w:r w:rsidR="00881FA7">
        <w:t xml:space="preserve"> As above this </w:t>
      </w:r>
      <w:r w:rsidR="00347B29">
        <w:t xml:space="preserve">did </w:t>
      </w:r>
      <w:r w:rsidR="00881FA7">
        <w:t>not specify that these students must already have a first degree. The group believe</w:t>
      </w:r>
      <w:r w:rsidR="00347B29">
        <w:t>d</w:t>
      </w:r>
      <w:r w:rsidR="00881FA7">
        <w:t xml:space="preserve"> that this may be assumed but would like it to be clarified.</w:t>
      </w:r>
    </w:p>
    <w:p w:rsidR="00881FA7" w:rsidRDefault="00881FA7" w:rsidP="00881FA7">
      <w:pPr>
        <w:pStyle w:val="PlainText"/>
      </w:pPr>
    </w:p>
    <w:p w:rsidR="00CC4F02" w:rsidRDefault="00CC4F02" w:rsidP="00881FA7">
      <w:pPr>
        <w:pStyle w:val="PlainText"/>
      </w:pPr>
      <w:r w:rsidRPr="00CC4F02">
        <w:rPr>
          <w:b/>
        </w:rPr>
        <w:t>Action</w:t>
      </w:r>
      <w:r>
        <w:t>:</w:t>
      </w:r>
    </w:p>
    <w:p w:rsidR="00881FA7" w:rsidRDefault="00881FA7" w:rsidP="00881FA7">
      <w:pPr>
        <w:pStyle w:val="PlainText"/>
      </w:pPr>
      <w:r>
        <w:t>ES to confirm Sotheby's entry criteria and have</w:t>
      </w:r>
      <w:r w:rsidR="00347B29">
        <w:t xml:space="preserve"> the marketing material</w:t>
      </w:r>
      <w:r w:rsidR="007F4465">
        <w:t xml:space="preserve"> clarified</w:t>
      </w:r>
      <w:r>
        <w:t>.</w:t>
      </w:r>
    </w:p>
    <w:p w:rsidR="00881FA7" w:rsidRDefault="00881FA7" w:rsidP="00881FA7">
      <w:pPr>
        <w:pStyle w:val="PlainText"/>
      </w:pPr>
    </w:p>
    <w:p w:rsidR="00881FA7" w:rsidRDefault="00881FA7" w:rsidP="00881FA7">
      <w:pPr>
        <w:pStyle w:val="PlainText"/>
      </w:pPr>
      <w:r w:rsidRPr="008A71C9">
        <w:rPr>
          <w:b/>
        </w:rPr>
        <w:t>10. Programmes suspensions</w:t>
      </w:r>
    </w:p>
    <w:p w:rsidR="008A71C9" w:rsidRDefault="00881FA7" w:rsidP="00881FA7">
      <w:pPr>
        <w:pStyle w:val="PlainText"/>
      </w:pPr>
      <w:proofErr w:type="gramStart"/>
      <w:r>
        <w:t>None</w:t>
      </w:r>
      <w:r w:rsidR="00DE136E">
        <w:t>.</w:t>
      </w:r>
      <w:proofErr w:type="gramEnd"/>
      <w:r w:rsidR="00DE136E">
        <w:t xml:space="preserve"> </w:t>
      </w:r>
    </w:p>
    <w:p w:rsidR="008A71C9" w:rsidRDefault="008A71C9" w:rsidP="00881FA7">
      <w:pPr>
        <w:pStyle w:val="PlainText"/>
      </w:pPr>
    </w:p>
    <w:p w:rsidR="00881FA7" w:rsidRPr="008A71C9" w:rsidRDefault="00881FA7" w:rsidP="00881FA7">
      <w:pPr>
        <w:pStyle w:val="PlainText"/>
        <w:rPr>
          <w:b/>
        </w:rPr>
      </w:pPr>
      <w:r w:rsidRPr="008A71C9">
        <w:rPr>
          <w:b/>
        </w:rPr>
        <w:t>11. Programme withdrawals</w:t>
      </w:r>
    </w:p>
    <w:p w:rsidR="00881FA7" w:rsidRDefault="00881FA7" w:rsidP="00881FA7">
      <w:pPr>
        <w:pStyle w:val="PlainText"/>
      </w:pPr>
      <w:proofErr w:type="gramStart"/>
      <w:r>
        <w:t>None</w:t>
      </w:r>
      <w:r w:rsidR="00DE136E">
        <w:t>.</w:t>
      </w:r>
      <w:proofErr w:type="gramEnd"/>
    </w:p>
    <w:p w:rsidR="00881FA7" w:rsidRDefault="00881FA7" w:rsidP="00881FA7">
      <w:pPr>
        <w:pStyle w:val="PlainText"/>
      </w:pPr>
    </w:p>
    <w:p w:rsidR="00881FA7" w:rsidRDefault="00881FA7" w:rsidP="00881FA7">
      <w:pPr>
        <w:pStyle w:val="PlainText"/>
      </w:pPr>
      <w:r w:rsidRPr="008A71C9">
        <w:rPr>
          <w:b/>
        </w:rPr>
        <w:t>12. Chair's action</w:t>
      </w:r>
      <w:r w:rsidR="00403F80">
        <w:rPr>
          <w:b/>
        </w:rPr>
        <w:t xml:space="preserve"> </w:t>
      </w:r>
      <w:r w:rsidR="00CC4F02">
        <w:t>[HUGSC/1/13/12]</w:t>
      </w:r>
    </w:p>
    <w:p w:rsidR="00CC4F02" w:rsidRDefault="00CC4F02" w:rsidP="00881FA7">
      <w:pPr>
        <w:pStyle w:val="PlainText"/>
      </w:pPr>
    </w:p>
    <w:p w:rsidR="00CC4F02" w:rsidRPr="00CC4F02" w:rsidRDefault="00CC4F02" w:rsidP="00881FA7">
      <w:pPr>
        <w:pStyle w:val="PlainText"/>
        <w:rPr>
          <w:b/>
        </w:rPr>
      </w:pPr>
      <w:r w:rsidRPr="00CC4F02">
        <w:rPr>
          <w:b/>
        </w:rPr>
        <w:t>Received:</w:t>
      </w:r>
    </w:p>
    <w:p w:rsidR="00CC4F02" w:rsidRDefault="00CC4F02" w:rsidP="00881FA7">
      <w:pPr>
        <w:pStyle w:val="PlainText"/>
      </w:pPr>
      <w:proofErr w:type="gramStart"/>
      <w:r>
        <w:t>A list of Programme Approvals, Amendments, Suspensions and Withdrawals approved by the Chair’s Action since 22</w:t>
      </w:r>
      <w:r w:rsidRPr="00CC4F02">
        <w:rPr>
          <w:vertAlign w:val="superscript"/>
        </w:rPr>
        <w:t>nd</w:t>
      </w:r>
      <w:r>
        <w:t xml:space="preserve"> May 2013.</w:t>
      </w:r>
      <w:proofErr w:type="gramEnd"/>
    </w:p>
    <w:p w:rsidR="00881FA7" w:rsidRPr="008A71C9" w:rsidRDefault="00881FA7" w:rsidP="00881FA7">
      <w:pPr>
        <w:pStyle w:val="PlainText"/>
        <w:rPr>
          <w:b/>
        </w:rPr>
      </w:pPr>
    </w:p>
    <w:p w:rsidR="00881FA7" w:rsidRPr="008A71C9" w:rsidRDefault="00881FA7" w:rsidP="00881FA7">
      <w:pPr>
        <w:pStyle w:val="PlainText"/>
        <w:rPr>
          <w:b/>
        </w:rPr>
      </w:pPr>
      <w:r w:rsidRPr="008A71C9">
        <w:rPr>
          <w:b/>
        </w:rPr>
        <w:t>13. External examiner appointments</w:t>
      </w:r>
      <w:r w:rsidR="00DE136E">
        <w:rPr>
          <w:b/>
        </w:rPr>
        <w:t xml:space="preserve"> </w:t>
      </w:r>
      <w:r w:rsidR="00DE136E" w:rsidRPr="00DE136E">
        <w:t>[HUGSC</w:t>
      </w:r>
      <w:r w:rsidR="00DE136E">
        <w:t>/1/13/13]</w:t>
      </w:r>
    </w:p>
    <w:p w:rsidR="00881FA7" w:rsidRDefault="00881FA7" w:rsidP="00881FA7">
      <w:pPr>
        <w:pStyle w:val="PlainText"/>
      </w:pPr>
    </w:p>
    <w:p w:rsidR="00DE136E" w:rsidRPr="00CC4F02" w:rsidRDefault="00DE136E" w:rsidP="00DE136E">
      <w:pPr>
        <w:pStyle w:val="PlainText"/>
        <w:rPr>
          <w:b/>
        </w:rPr>
      </w:pPr>
      <w:r w:rsidRPr="00CC4F02">
        <w:rPr>
          <w:b/>
        </w:rPr>
        <w:t>Received:</w:t>
      </w:r>
    </w:p>
    <w:p w:rsidR="00DE136E" w:rsidRDefault="00DE136E" w:rsidP="00DE136E">
      <w:pPr>
        <w:pStyle w:val="PlainText"/>
      </w:pPr>
      <w:r>
        <w:t>A list of External Examiner appointments approved since 22</w:t>
      </w:r>
      <w:r w:rsidRPr="00CC4F02">
        <w:rPr>
          <w:vertAlign w:val="superscript"/>
        </w:rPr>
        <w:t>nd</w:t>
      </w:r>
      <w:r>
        <w:t xml:space="preserve"> May 2013.</w:t>
      </w:r>
    </w:p>
    <w:p w:rsidR="00881FA7" w:rsidRDefault="00881FA7" w:rsidP="00881FA7">
      <w:pPr>
        <w:pStyle w:val="PlainText"/>
      </w:pPr>
    </w:p>
    <w:p w:rsidR="00881FA7" w:rsidRPr="008A71C9" w:rsidRDefault="00881FA7" w:rsidP="00881FA7">
      <w:pPr>
        <w:pStyle w:val="PlainText"/>
        <w:rPr>
          <w:b/>
        </w:rPr>
      </w:pPr>
      <w:r w:rsidRPr="008A71C9">
        <w:rPr>
          <w:b/>
        </w:rPr>
        <w:t>14. Any other business</w:t>
      </w:r>
    </w:p>
    <w:p w:rsidR="00881FA7" w:rsidRDefault="00881FA7" w:rsidP="00881FA7">
      <w:pPr>
        <w:pStyle w:val="PlainText"/>
      </w:pPr>
      <w:proofErr w:type="gramStart"/>
      <w:r>
        <w:t>None</w:t>
      </w:r>
      <w:r w:rsidR="00DE136E">
        <w:t>.</w:t>
      </w:r>
      <w:proofErr w:type="gramEnd"/>
    </w:p>
    <w:p w:rsidR="00353CFC" w:rsidRDefault="00353CFC" w:rsidP="00881FA7">
      <w:pPr>
        <w:pStyle w:val="PlainText"/>
      </w:pPr>
    </w:p>
    <w:p w:rsidR="00347B29" w:rsidRDefault="00347B29" w:rsidP="00347B29">
      <w:pPr>
        <w:pStyle w:val="PlainText"/>
        <w:rPr>
          <w:b/>
        </w:rPr>
      </w:pPr>
      <w:r w:rsidRPr="008A71C9">
        <w:rPr>
          <w:b/>
        </w:rPr>
        <w:t>1</w:t>
      </w:r>
      <w:r>
        <w:rPr>
          <w:b/>
        </w:rPr>
        <w:t>5</w:t>
      </w:r>
      <w:r w:rsidRPr="008A71C9">
        <w:rPr>
          <w:b/>
        </w:rPr>
        <w:t xml:space="preserve">. </w:t>
      </w:r>
      <w:r>
        <w:rPr>
          <w:b/>
        </w:rPr>
        <w:t>Date of next meeting</w:t>
      </w:r>
    </w:p>
    <w:p w:rsidR="00347B29" w:rsidRDefault="00347B29" w:rsidP="00347B29">
      <w:pPr>
        <w:pStyle w:val="PlainText"/>
        <w:rPr>
          <w:b/>
        </w:rPr>
      </w:pPr>
    </w:p>
    <w:p w:rsidR="00347B29" w:rsidRPr="008C7B1A" w:rsidRDefault="00347B29" w:rsidP="00347B29">
      <w:pPr>
        <w:pStyle w:val="PlainText"/>
      </w:pPr>
      <w:r w:rsidRPr="008C7B1A">
        <w:t xml:space="preserve">Wednesday </w:t>
      </w:r>
      <w:r w:rsidR="008C7B1A" w:rsidRPr="008C7B1A">
        <w:t>12</w:t>
      </w:r>
      <w:r w:rsidR="008C7B1A" w:rsidRPr="008C7B1A">
        <w:rPr>
          <w:vertAlign w:val="superscript"/>
        </w:rPr>
        <w:t>th</w:t>
      </w:r>
      <w:r w:rsidR="008C7B1A" w:rsidRPr="008C7B1A">
        <w:t xml:space="preserve"> February 2014, 2-4pm, Keeper’s Room, Whitworth Building</w:t>
      </w:r>
    </w:p>
    <w:p w:rsidR="00347B29" w:rsidRPr="008A71C9" w:rsidRDefault="00347B29" w:rsidP="00347B29">
      <w:pPr>
        <w:pStyle w:val="PlainText"/>
        <w:rPr>
          <w:b/>
        </w:rPr>
      </w:pPr>
    </w:p>
    <w:p w:rsidR="00D92C8A" w:rsidRPr="00931923" w:rsidRDefault="00D92C8A" w:rsidP="00D92C8A">
      <w:pPr>
        <w:tabs>
          <w:tab w:val="left" w:pos="720"/>
        </w:tabs>
        <w:rPr>
          <w:rFonts w:cs="Arial"/>
          <w:b/>
          <w:bCs/>
        </w:rPr>
      </w:pPr>
      <w:r w:rsidRPr="00931923">
        <w:rPr>
          <w:rFonts w:cs="Arial"/>
          <w:b/>
          <w:bCs/>
        </w:rPr>
        <w:t>HUMANITIES UG SUB-COMMITTEE ACTIONS LIST: 13</w:t>
      </w:r>
      <w:r w:rsidRPr="00931923">
        <w:rPr>
          <w:rFonts w:cs="Arial"/>
          <w:b/>
          <w:bCs/>
          <w:vertAlign w:val="superscript"/>
        </w:rPr>
        <w:t>th</w:t>
      </w:r>
      <w:r w:rsidRPr="00931923">
        <w:rPr>
          <w:rFonts w:cs="Arial"/>
          <w:b/>
          <w:bCs/>
        </w:rPr>
        <w:t xml:space="preserve"> November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111"/>
        <w:gridCol w:w="2693"/>
      </w:tblGrid>
      <w:tr w:rsidR="00D92C8A" w:rsidRPr="00931923" w:rsidTr="001F7245">
        <w:tc>
          <w:tcPr>
            <w:tcW w:w="2093" w:type="dxa"/>
          </w:tcPr>
          <w:p w:rsidR="00D92C8A" w:rsidRPr="00931923" w:rsidRDefault="00D92C8A" w:rsidP="005D3A12">
            <w:pPr>
              <w:rPr>
                <w:rFonts w:cs="Arial"/>
                <w:b/>
                <w:bCs/>
              </w:rPr>
            </w:pPr>
            <w:r w:rsidRPr="00931923">
              <w:rPr>
                <w:rFonts w:cs="Arial"/>
                <w:b/>
                <w:bCs/>
              </w:rPr>
              <w:t>Who</w:t>
            </w:r>
          </w:p>
        </w:tc>
        <w:tc>
          <w:tcPr>
            <w:tcW w:w="4111" w:type="dxa"/>
          </w:tcPr>
          <w:p w:rsidR="00D92C8A" w:rsidRPr="00931923" w:rsidRDefault="00D92C8A" w:rsidP="005D3A12">
            <w:pPr>
              <w:tabs>
                <w:tab w:val="left" w:pos="720"/>
              </w:tabs>
              <w:rPr>
                <w:rFonts w:cs="Arial"/>
                <w:b/>
                <w:bCs/>
              </w:rPr>
            </w:pPr>
            <w:r w:rsidRPr="00931923">
              <w:rPr>
                <w:rFonts w:cs="Arial"/>
                <w:b/>
                <w:bCs/>
              </w:rPr>
              <w:t>Action</w:t>
            </w:r>
          </w:p>
        </w:tc>
        <w:tc>
          <w:tcPr>
            <w:tcW w:w="2693" w:type="dxa"/>
          </w:tcPr>
          <w:p w:rsidR="00D92C8A" w:rsidRPr="00931923" w:rsidRDefault="00D92C8A" w:rsidP="005D3A12">
            <w:pPr>
              <w:tabs>
                <w:tab w:val="left" w:pos="720"/>
              </w:tabs>
              <w:rPr>
                <w:rFonts w:cs="Arial"/>
                <w:b/>
                <w:bCs/>
              </w:rPr>
            </w:pPr>
            <w:r w:rsidRPr="00931923">
              <w:rPr>
                <w:rFonts w:cs="Arial"/>
                <w:b/>
                <w:bCs/>
              </w:rPr>
              <w:t xml:space="preserve">Outcome </w:t>
            </w:r>
          </w:p>
        </w:tc>
      </w:tr>
      <w:tr w:rsidR="00D92C8A" w:rsidRPr="00931923" w:rsidTr="001F7245">
        <w:tc>
          <w:tcPr>
            <w:tcW w:w="2093" w:type="dxa"/>
          </w:tcPr>
          <w:p w:rsidR="00D92C8A" w:rsidRPr="00931923" w:rsidRDefault="00D92C8A" w:rsidP="00D92C8A">
            <w:pPr>
              <w:pStyle w:val="PlainText"/>
              <w:rPr>
                <w:rFonts w:asciiTheme="minorHAnsi" w:hAnsiTheme="minorHAnsi" w:cs="Arial"/>
                <w:b/>
                <w:bCs/>
                <w:szCs w:val="22"/>
              </w:rPr>
            </w:pPr>
            <w:r w:rsidRPr="00931923">
              <w:rPr>
                <w:rFonts w:asciiTheme="minorHAnsi" w:hAnsiTheme="minorHAnsi" w:cs="Arial"/>
                <w:b/>
                <w:bCs/>
                <w:szCs w:val="22"/>
              </w:rPr>
              <w:t>Action:</w:t>
            </w:r>
            <w:r w:rsidRPr="00931923">
              <w:rPr>
                <w:rFonts w:asciiTheme="minorHAnsi" w:hAnsiTheme="minorHAnsi" w:cs="Arial"/>
                <w:bCs/>
                <w:szCs w:val="22"/>
              </w:rPr>
              <w:t xml:space="preserve"> SH</w:t>
            </w:r>
          </w:p>
        </w:tc>
        <w:tc>
          <w:tcPr>
            <w:tcW w:w="4111" w:type="dxa"/>
          </w:tcPr>
          <w:p w:rsidR="00D92C8A" w:rsidRPr="00931923" w:rsidRDefault="00D92C8A" w:rsidP="00D92C8A">
            <w:pPr>
              <w:pStyle w:val="PlainText"/>
              <w:rPr>
                <w:rFonts w:asciiTheme="minorHAnsi" w:hAnsiTheme="minorHAnsi" w:cs="Arial"/>
                <w:bCs/>
                <w:szCs w:val="22"/>
              </w:rPr>
            </w:pPr>
            <w:r w:rsidRPr="00931923">
              <w:rPr>
                <w:rFonts w:asciiTheme="minorHAnsi" w:hAnsiTheme="minorHAnsi" w:cs="Arial"/>
                <w:bCs/>
                <w:szCs w:val="22"/>
              </w:rPr>
              <w:t>Corrections required to the roles of Norma Hird and Fiona Smyth as described on the Agenda.</w:t>
            </w:r>
          </w:p>
        </w:tc>
        <w:tc>
          <w:tcPr>
            <w:tcW w:w="2693" w:type="dxa"/>
          </w:tcPr>
          <w:p w:rsidR="00D92C8A" w:rsidRPr="00931923" w:rsidRDefault="00D92C8A" w:rsidP="00D92C8A">
            <w:pPr>
              <w:pStyle w:val="PlainText"/>
              <w:rPr>
                <w:rFonts w:asciiTheme="minorHAnsi" w:hAnsiTheme="minorHAnsi" w:cs="Arial"/>
                <w:b/>
                <w:bCs/>
                <w:szCs w:val="22"/>
              </w:rPr>
            </w:pPr>
          </w:p>
        </w:tc>
      </w:tr>
      <w:tr w:rsidR="00D92C8A" w:rsidRPr="00931923" w:rsidTr="001F7245">
        <w:tc>
          <w:tcPr>
            <w:tcW w:w="2093" w:type="dxa"/>
          </w:tcPr>
          <w:p w:rsidR="00D92C8A" w:rsidRPr="00931923" w:rsidRDefault="00D92C8A" w:rsidP="00D92C8A">
            <w:pPr>
              <w:pStyle w:val="PlainText"/>
              <w:rPr>
                <w:rFonts w:asciiTheme="minorHAnsi" w:hAnsiTheme="minorHAnsi" w:cs="Arial"/>
                <w:b/>
                <w:bCs/>
                <w:szCs w:val="22"/>
              </w:rPr>
            </w:pPr>
            <w:r w:rsidRPr="00931923">
              <w:rPr>
                <w:rFonts w:asciiTheme="minorHAnsi" w:hAnsiTheme="minorHAnsi" w:cs="Arial"/>
                <w:b/>
                <w:bCs/>
                <w:szCs w:val="22"/>
              </w:rPr>
              <w:t xml:space="preserve">Action: </w:t>
            </w:r>
            <w:r w:rsidRPr="00931923">
              <w:rPr>
                <w:rFonts w:asciiTheme="minorHAnsi" w:hAnsiTheme="minorHAnsi" w:cs="Arial"/>
                <w:bCs/>
                <w:szCs w:val="22"/>
              </w:rPr>
              <w:t xml:space="preserve">ES </w:t>
            </w:r>
          </w:p>
        </w:tc>
        <w:tc>
          <w:tcPr>
            <w:tcW w:w="4111" w:type="dxa"/>
          </w:tcPr>
          <w:p w:rsidR="00D92C8A" w:rsidRPr="00931923" w:rsidRDefault="00D92C8A" w:rsidP="00D92C8A">
            <w:pPr>
              <w:pStyle w:val="PlainText"/>
              <w:rPr>
                <w:rFonts w:asciiTheme="minorHAnsi" w:hAnsiTheme="minorHAnsi" w:cs="Arial"/>
                <w:szCs w:val="22"/>
              </w:rPr>
            </w:pPr>
            <w:r w:rsidRPr="00931923">
              <w:rPr>
                <w:rFonts w:asciiTheme="minorHAnsi" w:hAnsiTheme="minorHAnsi"/>
                <w:szCs w:val="22"/>
              </w:rPr>
              <w:t>Provide feedback on the proposed changes to the Guidance on the approval of programme amendments.</w:t>
            </w:r>
          </w:p>
        </w:tc>
        <w:tc>
          <w:tcPr>
            <w:tcW w:w="2693" w:type="dxa"/>
          </w:tcPr>
          <w:p w:rsidR="00D92C8A" w:rsidRPr="00931923" w:rsidRDefault="00D92C8A" w:rsidP="005D3A12">
            <w:pPr>
              <w:tabs>
                <w:tab w:val="left" w:pos="720"/>
              </w:tabs>
              <w:rPr>
                <w:rFonts w:cs="Arial"/>
              </w:rPr>
            </w:pPr>
          </w:p>
        </w:tc>
      </w:tr>
      <w:tr w:rsidR="00D92C8A" w:rsidRPr="00931923" w:rsidTr="001F7245">
        <w:tc>
          <w:tcPr>
            <w:tcW w:w="2093" w:type="dxa"/>
          </w:tcPr>
          <w:p w:rsidR="00D92C8A" w:rsidRPr="00931923" w:rsidRDefault="00756D6F" w:rsidP="005D3A12">
            <w:pPr>
              <w:rPr>
                <w:rFonts w:cs="Arial"/>
                <w:b/>
                <w:bCs/>
              </w:rPr>
            </w:pPr>
            <w:r w:rsidRPr="00931923">
              <w:rPr>
                <w:rFonts w:cs="Arial"/>
                <w:b/>
                <w:bCs/>
              </w:rPr>
              <w:t xml:space="preserve">Action: </w:t>
            </w:r>
            <w:r w:rsidRPr="00931923">
              <w:rPr>
                <w:rFonts w:cs="Arial"/>
                <w:bCs/>
              </w:rPr>
              <w:t>ES</w:t>
            </w:r>
          </w:p>
        </w:tc>
        <w:tc>
          <w:tcPr>
            <w:tcW w:w="4111" w:type="dxa"/>
          </w:tcPr>
          <w:p w:rsidR="00D92C8A" w:rsidRPr="00931923" w:rsidRDefault="00756D6F" w:rsidP="00756D6F">
            <w:pPr>
              <w:pStyle w:val="PlainText"/>
              <w:rPr>
                <w:rFonts w:asciiTheme="minorHAnsi" w:hAnsiTheme="minorHAnsi" w:cs="Arial"/>
                <w:szCs w:val="22"/>
              </w:rPr>
            </w:pPr>
            <w:r>
              <w:t xml:space="preserve">Circulate the guidance on Internal Advisors with a deadline for identifying </w:t>
            </w:r>
            <w:r w:rsidR="007F4465">
              <w:t>an</w:t>
            </w:r>
            <w:r>
              <w:t xml:space="preserve"> additional representative per school.</w:t>
            </w:r>
          </w:p>
        </w:tc>
        <w:tc>
          <w:tcPr>
            <w:tcW w:w="2693" w:type="dxa"/>
          </w:tcPr>
          <w:p w:rsidR="00D92C8A" w:rsidRPr="00931923" w:rsidRDefault="00D92C8A" w:rsidP="005D3A12">
            <w:pPr>
              <w:tabs>
                <w:tab w:val="left" w:pos="720"/>
              </w:tabs>
              <w:rPr>
                <w:rFonts w:cs="Arial"/>
              </w:rPr>
            </w:pPr>
          </w:p>
        </w:tc>
      </w:tr>
      <w:tr w:rsidR="00D92C8A" w:rsidRPr="00931923" w:rsidTr="001F7245">
        <w:tc>
          <w:tcPr>
            <w:tcW w:w="2093" w:type="dxa"/>
          </w:tcPr>
          <w:p w:rsidR="00D92C8A" w:rsidRPr="00931923" w:rsidRDefault="00B22394" w:rsidP="005D3A12">
            <w:pPr>
              <w:rPr>
                <w:rFonts w:cs="Arial"/>
                <w:b/>
                <w:bCs/>
              </w:rPr>
            </w:pPr>
            <w:r w:rsidRPr="00931923">
              <w:rPr>
                <w:rFonts w:cs="Arial"/>
                <w:b/>
                <w:bCs/>
              </w:rPr>
              <w:t xml:space="preserve">Action: </w:t>
            </w:r>
            <w:proofErr w:type="spellStart"/>
            <w:r>
              <w:rPr>
                <w:rFonts w:cs="Arial"/>
                <w:bCs/>
              </w:rPr>
              <w:t>SoS</w:t>
            </w:r>
            <w:r w:rsidRPr="00931923">
              <w:rPr>
                <w:rFonts w:cs="Arial"/>
                <w:bCs/>
              </w:rPr>
              <w:t>S</w:t>
            </w:r>
            <w:proofErr w:type="spellEnd"/>
          </w:p>
        </w:tc>
        <w:tc>
          <w:tcPr>
            <w:tcW w:w="4111" w:type="dxa"/>
          </w:tcPr>
          <w:p w:rsidR="00B22394" w:rsidRDefault="00B22394" w:rsidP="00B22394">
            <w:pPr>
              <w:pStyle w:val="PlainText"/>
              <w:numPr>
                <w:ilvl w:val="0"/>
                <w:numId w:val="4"/>
              </w:numPr>
            </w:pPr>
            <w:proofErr w:type="spellStart"/>
            <w:r>
              <w:t>Prog</w:t>
            </w:r>
            <w:proofErr w:type="spellEnd"/>
            <w:r>
              <w:t xml:space="preserve"> Spec p</w:t>
            </w:r>
            <w:r w:rsidR="007F4465">
              <w:t>.</w:t>
            </w:r>
            <w:r>
              <w:t xml:space="preserve"> 5 – </w:t>
            </w:r>
            <w:proofErr w:type="spellStart"/>
            <w:r>
              <w:t>SoSS</w:t>
            </w:r>
            <w:proofErr w:type="spellEnd"/>
            <w:r>
              <w:t xml:space="preserve"> to confirm that these pathways follow same structure and rules as previously-approved BASS pathways.</w:t>
            </w:r>
          </w:p>
          <w:p w:rsidR="00B22394" w:rsidRDefault="00B22394" w:rsidP="00B22394">
            <w:pPr>
              <w:pStyle w:val="ListParagraph"/>
              <w:numPr>
                <w:ilvl w:val="0"/>
                <w:numId w:val="4"/>
              </w:numPr>
              <w:spacing w:after="0" w:line="240" w:lineRule="auto"/>
            </w:pPr>
            <w:proofErr w:type="spellStart"/>
            <w:r>
              <w:t>Prog</w:t>
            </w:r>
            <w:proofErr w:type="spellEnd"/>
            <w:r>
              <w:t xml:space="preserve"> Spec p</w:t>
            </w:r>
            <w:r w:rsidR="007F4465">
              <w:t>.</w:t>
            </w:r>
            <w:r>
              <w:t xml:space="preserve">13 – </w:t>
            </w:r>
            <w:proofErr w:type="spellStart"/>
            <w:r>
              <w:t>SoSS</w:t>
            </w:r>
            <w:proofErr w:type="spellEnd"/>
            <w:r>
              <w:t xml:space="preserve"> to note that </w:t>
            </w:r>
            <w:r>
              <w:lastRenderedPageBreak/>
              <w:t xml:space="preserve">what were termed ‘compulsory’ modules would need to be called ‘core’ modules, because technically no referrals were permitted for compulsory modules under the new UG exam regulations.  </w:t>
            </w:r>
          </w:p>
          <w:p w:rsidR="00B22394" w:rsidRDefault="00B22394" w:rsidP="00B22394">
            <w:pPr>
              <w:pStyle w:val="PlainText"/>
              <w:numPr>
                <w:ilvl w:val="0"/>
                <w:numId w:val="4"/>
              </w:numPr>
            </w:pPr>
            <w:r>
              <w:t>SOSS to clarify in programme amendment forms and publicity and marketing material that internships are to take place in the summer break during the students second year, and that interviews are guaranteed subject to achieving good grades, rather than actual placements/internships being guaranteed.TC will respond to the External Advisor and provide copies of the correspondence to the Chair</w:t>
            </w:r>
            <w:r w:rsidR="00353CFC">
              <w:t xml:space="preserve"> </w:t>
            </w:r>
            <w:r>
              <w:t>via Emma Rose.  Cath Dyson's signature to be obtained for approval.</w:t>
            </w:r>
          </w:p>
          <w:p w:rsidR="00B22394" w:rsidRDefault="00B22394" w:rsidP="00B22394">
            <w:pPr>
              <w:pStyle w:val="PlainText"/>
              <w:numPr>
                <w:ilvl w:val="0"/>
                <w:numId w:val="4"/>
              </w:numPr>
            </w:pPr>
            <w:proofErr w:type="spellStart"/>
            <w:r>
              <w:t>SoSS</w:t>
            </w:r>
            <w:proofErr w:type="spellEnd"/>
            <w:r>
              <w:t xml:space="preserve"> UG Director</w:t>
            </w:r>
            <w:r w:rsidR="001D44C1">
              <w:t>’s</w:t>
            </w:r>
            <w:r>
              <w:t xml:space="preserve"> signature is required.</w:t>
            </w:r>
          </w:p>
          <w:p w:rsidR="00D92C8A" w:rsidRPr="00931923" w:rsidRDefault="00B22394" w:rsidP="003767A1">
            <w:pPr>
              <w:pStyle w:val="PlainText"/>
              <w:numPr>
                <w:ilvl w:val="0"/>
                <w:numId w:val="4"/>
              </w:numPr>
              <w:rPr>
                <w:rFonts w:asciiTheme="minorHAnsi" w:eastAsia="Arial Unicode MS" w:hAnsiTheme="minorHAnsi" w:cs="Arial"/>
                <w:szCs w:val="22"/>
              </w:rPr>
            </w:pPr>
            <w:r>
              <w:t xml:space="preserve">Monitor to see whether a conflict of interest develops between Criminology and </w:t>
            </w:r>
            <w:proofErr w:type="spellStart"/>
            <w:r>
              <w:t>SoSS</w:t>
            </w:r>
            <w:proofErr w:type="spellEnd"/>
            <w:r>
              <w:t xml:space="preserve"> - enter into a discussion about it if necessary.</w:t>
            </w:r>
          </w:p>
        </w:tc>
        <w:tc>
          <w:tcPr>
            <w:tcW w:w="2693" w:type="dxa"/>
          </w:tcPr>
          <w:p w:rsidR="00D92C8A" w:rsidRPr="00931923" w:rsidRDefault="00D92C8A" w:rsidP="005D3A12">
            <w:pPr>
              <w:tabs>
                <w:tab w:val="left" w:pos="720"/>
              </w:tabs>
              <w:rPr>
                <w:rFonts w:eastAsia="Arial Unicode MS" w:cs="Arial"/>
              </w:rPr>
            </w:pPr>
          </w:p>
        </w:tc>
      </w:tr>
      <w:tr w:rsidR="00D92C8A" w:rsidRPr="00931923" w:rsidTr="001F7245">
        <w:tc>
          <w:tcPr>
            <w:tcW w:w="2093" w:type="dxa"/>
          </w:tcPr>
          <w:p w:rsidR="00D92C8A" w:rsidRPr="00931923" w:rsidRDefault="003767A1" w:rsidP="005D3A12">
            <w:pPr>
              <w:rPr>
                <w:rFonts w:cs="Arial"/>
                <w:b/>
                <w:bCs/>
              </w:rPr>
            </w:pPr>
            <w:r>
              <w:rPr>
                <w:rFonts w:cs="Arial"/>
                <w:b/>
                <w:bCs/>
              </w:rPr>
              <w:lastRenderedPageBreak/>
              <w:t xml:space="preserve">Action: </w:t>
            </w:r>
            <w:r w:rsidRPr="003767A1">
              <w:rPr>
                <w:rFonts w:cs="Arial"/>
                <w:bCs/>
              </w:rPr>
              <w:t>ES</w:t>
            </w:r>
          </w:p>
        </w:tc>
        <w:tc>
          <w:tcPr>
            <w:tcW w:w="4111" w:type="dxa"/>
          </w:tcPr>
          <w:p w:rsidR="00D92C8A" w:rsidRPr="00931923" w:rsidRDefault="003767A1" w:rsidP="003767A1">
            <w:pPr>
              <w:pStyle w:val="PlainText"/>
              <w:rPr>
                <w:rFonts w:asciiTheme="minorHAnsi" w:hAnsiTheme="minorHAnsi" w:cs="Arial"/>
                <w:szCs w:val="22"/>
              </w:rPr>
            </w:pPr>
            <w:r>
              <w:t>Confirm Sotheby's entry criteria and have the marketing material</w:t>
            </w:r>
            <w:r w:rsidR="007F4465">
              <w:t xml:space="preserve"> clarified</w:t>
            </w:r>
            <w:r>
              <w:t>.</w:t>
            </w:r>
          </w:p>
        </w:tc>
        <w:tc>
          <w:tcPr>
            <w:tcW w:w="2693" w:type="dxa"/>
          </w:tcPr>
          <w:p w:rsidR="00D92C8A" w:rsidRPr="00931923" w:rsidRDefault="00D92C8A" w:rsidP="005D3A12">
            <w:pPr>
              <w:tabs>
                <w:tab w:val="left" w:pos="720"/>
              </w:tabs>
              <w:rPr>
                <w:rFonts w:cs="Arial"/>
              </w:rPr>
            </w:pPr>
          </w:p>
        </w:tc>
      </w:tr>
    </w:tbl>
    <w:p w:rsidR="00D92C8A" w:rsidRPr="00B25C47" w:rsidRDefault="00D92C8A" w:rsidP="00D92C8A">
      <w:pPr>
        <w:tabs>
          <w:tab w:val="left" w:pos="720"/>
        </w:tabs>
        <w:rPr>
          <w:rFonts w:ascii="Arial" w:hAnsi="Arial" w:cs="Arial"/>
          <w:sz w:val="16"/>
          <w:szCs w:val="16"/>
        </w:rPr>
      </w:pPr>
    </w:p>
    <w:p w:rsidR="003A2A7E" w:rsidRDefault="00B579B9" w:rsidP="00347B29"/>
    <w:sectPr w:rsidR="003A2A7E" w:rsidSect="00A42B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C2D"/>
    <w:multiLevelType w:val="hybridMultilevel"/>
    <w:tmpl w:val="5D04F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5D1AEA"/>
    <w:multiLevelType w:val="hybridMultilevel"/>
    <w:tmpl w:val="65723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EC3647"/>
    <w:multiLevelType w:val="hybridMultilevel"/>
    <w:tmpl w:val="5D04F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4CF2F43"/>
    <w:multiLevelType w:val="hybridMultilevel"/>
    <w:tmpl w:val="DB7CC9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6334335"/>
    <w:multiLevelType w:val="hybridMultilevel"/>
    <w:tmpl w:val="BA224328"/>
    <w:lvl w:ilvl="0" w:tplc="2C0C213C">
      <w:start w:val="1"/>
      <w:numFmt w:val="decimal"/>
      <w:lvlText w:val="%1."/>
      <w:lvlJc w:val="left"/>
      <w:pPr>
        <w:tabs>
          <w:tab w:val="num" w:pos="900"/>
        </w:tabs>
        <w:ind w:left="900" w:hanging="360"/>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781C28EF"/>
    <w:multiLevelType w:val="hybridMultilevel"/>
    <w:tmpl w:val="64849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A7"/>
    <w:rsid w:val="00052E0B"/>
    <w:rsid w:val="000A6582"/>
    <w:rsid w:val="000D5368"/>
    <w:rsid w:val="00115A82"/>
    <w:rsid w:val="00157108"/>
    <w:rsid w:val="00191ED2"/>
    <w:rsid w:val="001B1F29"/>
    <w:rsid w:val="001D44C1"/>
    <w:rsid w:val="001F7245"/>
    <w:rsid w:val="00222599"/>
    <w:rsid w:val="00347B29"/>
    <w:rsid w:val="00353CFC"/>
    <w:rsid w:val="003767A1"/>
    <w:rsid w:val="00392069"/>
    <w:rsid w:val="003E7440"/>
    <w:rsid w:val="00403F80"/>
    <w:rsid w:val="004110AA"/>
    <w:rsid w:val="004556D3"/>
    <w:rsid w:val="004D008A"/>
    <w:rsid w:val="004F41D4"/>
    <w:rsid w:val="005105F9"/>
    <w:rsid w:val="005A3E15"/>
    <w:rsid w:val="0064690E"/>
    <w:rsid w:val="006F1C47"/>
    <w:rsid w:val="00756D6F"/>
    <w:rsid w:val="00783C54"/>
    <w:rsid w:val="007B29BE"/>
    <w:rsid w:val="007F4465"/>
    <w:rsid w:val="00812CDB"/>
    <w:rsid w:val="00814470"/>
    <w:rsid w:val="00830EB7"/>
    <w:rsid w:val="00881FA7"/>
    <w:rsid w:val="008A71C9"/>
    <w:rsid w:val="008C5BCE"/>
    <w:rsid w:val="008C7B1A"/>
    <w:rsid w:val="00903A15"/>
    <w:rsid w:val="00903F57"/>
    <w:rsid w:val="00931923"/>
    <w:rsid w:val="00933A83"/>
    <w:rsid w:val="00990883"/>
    <w:rsid w:val="009E385D"/>
    <w:rsid w:val="00A42BB0"/>
    <w:rsid w:val="00AD33BE"/>
    <w:rsid w:val="00B20F38"/>
    <w:rsid w:val="00B22394"/>
    <w:rsid w:val="00B33FFA"/>
    <w:rsid w:val="00B579B9"/>
    <w:rsid w:val="00BB1A7E"/>
    <w:rsid w:val="00BB2295"/>
    <w:rsid w:val="00BC2344"/>
    <w:rsid w:val="00BD7DF5"/>
    <w:rsid w:val="00BE4394"/>
    <w:rsid w:val="00BF69DE"/>
    <w:rsid w:val="00C214DD"/>
    <w:rsid w:val="00C53050"/>
    <w:rsid w:val="00C53FEC"/>
    <w:rsid w:val="00C65868"/>
    <w:rsid w:val="00C73BC3"/>
    <w:rsid w:val="00CC4F02"/>
    <w:rsid w:val="00D242AF"/>
    <w:rsid w:val="00D92C8A"/>
    <w:rsid w:val="00DE136E"/>
    <w:rsid w:val="00E82158"/>
    <w:rsid w:val="00E854DF"/>
    <w:rsid w:val="00F43AF6"/>
    <w:rsid w:val="00F67E9C"/>
    <w:rsid w:val="00F97305"/>
    <w:rsid w:val="00FA7A43"/>
    <w:rsid w:val="00FB16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81FA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81FA7"/>
    <w:rPr>
      <w:rFonts w:ascii="Calibri" w:hAnsi="Calibri"/>
      <w:szCs w:val="21"/>
    </w:rPr>
  </w:style>
  <w:style w:type="character" w:styleId="CommentReference">
    <w:name w:val="annotation reference"/>
    <w:basedOn w:val="DefaultParagraphFont"/>
    <w:uiPriority w:val="99"/>
    <w:semiHidden/>
    <w:unhideWhenUsed/>
    <w:rsid w:val="00AD33BE"/>
    <w:rPr>
      <w:sz w:val="16"/>
      <w:szCs w:val="16"/>
    </w:rPr>
  </w:style>
  <w:style w:type="paragraph" w:styleId="CommentText">
    <w:name w:val="annotation text"/>
    <w:basedOn w:val="Normal"/>
    <w:link w:val="CommentTextChar"/>
    <w:uiPriority w:val="99"/>
    <w:semiHidden/>
    <w:unhideWhenUsed/>
    <w:rsid w:val="00AD33BE"/>
    <w:pPr>
      <w:spacing w:line="240" w:lineRule="auto"/>
    </w:pPr>
    <w:rPr>
      <w:sz w:val="20"/>
      <w:szCs w:val="20"/>
    </w:rPr>
  </w:style>
  <w:style w:type="character" w:customStyle="1" w:styleId="CommentTextChar">
    <w:name w:val="Comment Text Char"/>
    <w:basedOn w:val="DefaultParagraphFont"/>
    <w:link w:val="CommentText"/>
    <w:uiPriority w:val="99"/>
    <w:semiHidden/>
    <w:rsid w:val="00AD33BE"/>
    <w:rPr>
      <w:sz w:val="20"/>
      <w:szCs w:val="20"/>
    </w:rPr>
  </w:style>
  <w:style w:type="paragraph" w:styleId="CommentSubject">
    <w:name w:val="annotation subject"/>
    <w:basedOn w:val="CommentText"/>
    <w:next w:val="CommentText"/>
    <w:link w:val="CommentSubjectChar"/>
    <w:uiPriority w:val="99"/>
    <w:semiHidden/>
    <w:unhideWhenUsed/>
    <w:rsid w:val="00AD33BE"/>
    <w:rPr>
      <w:b/>
      <w:bCs/>
    </w:rPr>
  </w:style>
  <w:style w:type="character" w:customStyle="1" w:styleId="CommentSubjectChar">
    <w:name w:val="Comment Subject Char"/>
    <w:basedOn w:val="CommentTextChar"/>
    <w:link w:val="CommentSubject"/>
    <w:uiPriority w:val="99"/>
    <w:semiHidden/>
    <w:rsid w:val="00AD33BE"/>
    <w:rPr>
      <w:b/>
      <w:bCs/>
      <w:sz w:val="20"/>
      <w:szCs w:val="20"/>
    </w:rPr>
  </w:style>
  <w:style w:type="paragraph" w:styleId="BalloonText">
    <w:name w:val="Balloon Text"/>
    <w:basedOn w:val="Normal"/>
    <w:link w:val="BalloonTextChar"/>
    <w:uiPriority w:val="99"/>
    <w:semiHidden/>
    <w:unhideWhenUsed/>
    <w:rsid w:val="00AD3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3BE"/>
    <w:rPr>
      <w:rFonts w:ascii="Tahoma" w:hAnsi="Tahoma" w:cs="Tahoma"/>
      <w:sz w:val="16"/>
      <w:szCs w:val="16"/>
    </w:rPr>
  </w:style>
  <w:style w:type="paragraph" w:styleId="ListParagraph">
    <w:name w:val="List Paragraph"/>
    <w:basedOn w:val="Normal"/>
    <w:uiPriority w:val="34"/>
    <w:qFormat/>
    <w:rsid w:val="005A3E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81FA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81FA7"/>
    <w:rPr>
      <w:rFonts w:ascii="Calibri" w:hAnsi="Calibri"/>
      <w:szCs w:val="21"/>
    </w:rPr>
  </w:style>
  <w:style w:type="character" w:styleId="CommentReference">
    <w:name w:val="annotation reference"/>
    <w:basedOn w:val="DefaultParagraphFont"/>
    <w:uiPriority w:val="99"/>
    <w:semiHidden/>
    <w:unhideWhenUsed/>
    <w:rsid w:val="00AD33BE"/>
    <w:rPr>
      <w:sz w:val="16"/>
      <w:szCs w:val="16"/>
    </w:rPr>
  </w:style>
  <w:style w:type="paragraph" w:styleId="CommentText">
    <w:name w:val="annotation text"/>
    <w:basedOn w:val="Normal"/>
    <w:link w:val="CommentTextChar"/>
    <w:uiPriority w:val="99"/>
    <w:semiHidden/>
    <w:unhideWhenUsed/>
    <w:rsid w:val="00AD33BE"/>
    <w:pPr>
      <w:spacing w:line="240" w:lineRule="auto"/>
    </w:pPr>
    <w:rPr>
      <w:sz w:val="20"/>
      <w:szCs w:val="20"/>
    </w:rPr>
  </w:style>
  <w:style w:type="character" w:customStyle="1" w:styleId="CommentTextChar">
    <w:name w:val="Comment Text Char"/>
    <w:basedOn w:val="DefaultParagraphFont"/>
    <w:link w:val="CommentText"/>
    <w:uiPriority w:val="99"/>
    <w:semiHidden/>
    <w:rsid w:val="00AD33BE"/>
    <w:rPr>
      <w:sz w:val="20"/>
      <w:szCs w:val="20"/>
    </w:rPr>
  </w:style>
  <w:style w:type="paragraph" w:styleId="CommentSubject">
    <w:name w:val="annotation subject"/>
    <w:basedOn w:val="CommentText"/>
    <w:next w:val="CommentText"/>
    <w:link w:val="CommentSubjectChar"/>
    <w:uiPriority w:val="99"/>
    <w:semiHidden/>
    <w:unhideWhenUsed/>
    <w:rsid w:val="00AD33BE"/>
    <w:rPr>
      <w:b/>
      <w:bCs/>
    </w:rPr>
  </w:style>
  <w:style w:type="character" w:customStyle="1" w:styleId="CommentSubjectChar">
    <w:name w:val="Comment Subject Char"/>
    <w:basedOn w:val="CommentTextChar"/>
    <w:link w:val="CommentSubject"/>
    <w:uiPriority w:val="99"/>
    <w:semiHidden/>
    <w:rsid w:val="00AD33BE"/>
    <w:rPr>
      <w:b/>
      <w:bCs/>
      <w:sz w:val="20"/>
      <w:szCs w:val="20"/>
    </w:rPr>
  </w:style>
  <w:style w:type="paragraph" w:styleId="BalloonText">
    <w:name w:val="Balloon Text"/>
    <w:basedOn w:val="Normal"/>
    <w:link w:val="BalloonTextChar"/>
    <w:uiPriority w:val="99"/>
    <w:semiHidden/>
    <w:unhideWhenUsed/>
    <w:rsid w:val="00AD3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3BE"/>
    <w:rPr>
      <w:rFonts w:ascii="Tahoma" w:hAnsi="Tahoma" w:cs="Tahoma"/>
      <w:sz w:val="16"/>
      <w:szCs w:val="16"/>
    </w:rPr>
  </w:style>
  <w:style w:type="paragraph" w:styleId="ListParagraph">
    <w:name w:val="List Paragraph"/>
    <w:basedOn w:val="Normal"/>
    <w:uiPriority w:val="34"/>
    <w:qFormat/>
    <w:rsid w:val="005A3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28735">
      <w:bodyDiv w:val="1"/>
      <w:marLeft w:val="0"/>
      <w:marRight w:val="0"/>
      <w:marTop w:val="0"/>
      <w:marBottom w:val="0"/>
      <w:divBdr>
        <w:top w:val="none" w:sz="0" w:space="0" w:color="auto"/>
        <w:left w:val="none" w:sz="0" w:space="0" w:color="auto"/>
        <w:bottom w:val="none" w:sz="0" w:space="0" w:color="auto"/>
        <w:right w:val="none" w:sz="0" w:space="0" w:color="auto"/>
      </w:divBdr>
    </w:div>
    <w:div w:id="1130588689">
      <w:bodyDiv w:val="1"/>
      <w:marLeft w:val="0"/>
      <w:marRight w:val="0"/>
      <w:marTop w:val="0"/>
      <w:marBottom w:val="0"/>
      <w:divBdr>
        <w:top w:val="none" w:sz="0" w:space="0" w:color="auto"/>
        <w:left w:val="none" w:sz="0" w:space="0" w:color="auto"/>
        <w:bottom w:val="none" w:sz="0" w:space="0" w:color="auto"/>
        <w:right w:val="none" w:sz="0" w:space="0" w:color="auto"/>
      </w:divBdr>
    </w:div>
    <w:div w:id="115437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57FE2-FA12-4B6A-AA0A-137654F96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Helsby</dc:creator>
  <cp:lastModifiedBy>Emma Sanders</cp:lastModifiedBy>
  <cp:revision>4</cp:revision>
  <cp:lastPrinted>2013-11-26T09:36:00Z</cp:lastPrinted>
  <dcterms:created xsi:type="dcterms:W3CDTF">2013-11-26T09:47:00Z</dcterms:created>
  <dcterms:modified xsi:type="dcterms:W3CDTF">2014-04-10T10:43:00Z</dcterms:modified>
</cp:coreProperties>
</file>