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23" w:rsidRDefault="00A44923" w:rsidP="00A44923">
      <w:pPr>
        <w:spacing w:after="0"/>
        <w:jc w:val="center"/>
        <w:rPr>
          <w:rFonts w:ascii="Arial" w:hAnsi="Arial"/>
          <w:b/>
          <w:bCs/>
          <w:u w:val="single"/>
        </w:rPr>
      </w:pPr>
      <w:bookmarkStart w:id="0" w:name="_GoBack"/>
      <w:bookmarkEnd w:id="0"/>
      <w:r>
        <w:rPr>
          <w:rFonts w:ascii="Arial" w:hAnsi="Arial"/>
          <w:b/>
          <w:bCs/>
          <w:u w:val="single"/>
        </w:rPr>
        <w:t>Graduate Destinations</w:t>
      </w:r>
      <w:r w:rsidR="00BE6C75">
        <w:rPr>
          <w:rFonts w:ascii="Arial" w:hAnsi="Arial"/>
          <w:b/>
          <w:bCs/>
          <w:u w:val="single"/>
        </w:rPr>
        <w:t xml:space="preserve"> – Information Sheet</w:t>
      </w:r>
    </w:p>
    <w:p w:rsidR="00A44923" w:rsidRDefault="00A44923" w:rsidP="00A44923">
      <w:pPr>
        <w:spacing w:after="0"/>
        <w:jc w:val="both"/>
        <w:rPr>
          <w:rFonts w:ascii="Arial" w:hAnsi="Arial"/>
        </w:rPr>
      </w:pPr>
    </w:p>
    <w:p w:rsidR="00A44923" w:rsidRDefault="00A44923" w:rsidP="00A44923">
      <w:pPr>
        <w:spacing w:after="0"/>
        <w:jc w:val="both"/>
        <w:rPr>
          <w:rFonts w:ascii="Arial" w:hAnsi="Arial"/>
          <w:b/>
          <w:bCs/>
        </w:rPr>
      </w:pPr>
      <w:r>
        <w:rPr>
          <w:rFonts w:ascii="Arial" w:hAnsi="Arial"/>
          <w:b/>
          <w:bCs/>
        </w:rPr>
        <w:t>Introduction</w:t>
      </w:r>
    </w:p>
    <w:p w:rsidR="00A44923" w:rsidRDefault="00A44923" w:rsidP="00A44923">
      <w:pPr>
        <w:spacing w:after="0"/>
        <w:jc w:val="both"/>
        <w:rPr>
          <w:rFonts w:ascii="Arial" w:hAnsi="Arial"/>
          <w:b/>
          <w:bCs/>
        </w:rPr>
      </w:pPr>
    </w:p>
    <w:p w:rsidR="00A44923" w:rsidRDefault="00A44923" w:rsidP="00A44923">
      <w:pPr>
        <w:spacing w:after="0"/>
        <w:jc w:val="both"/>
        <w:rPr>
          <w:rFonts w:ascii="Arial" w:hAnsi="Arial"/>
        </w:rPr>
      </w:pPr>
      <w:r>
        <w:rPr>
          <w:rFonts w:ascii="Arial" w:hAnsi="Arial"/>
        </w:rPr>
        <w:t>In the University’s Strategic Plan</w:t>
      </w:r>
      <w:r w:rsidR="00347BAF">
        <w:rPr>
          <w:rFonts w:ascii="Arial" w:hAnsi="Arial"/>
        </w:rPr>
        <w:t xml:space="preserve"> 2020</w:t>
      </w:r>
      <w:r>
        <w:rPr>
          <w:rFonts w:ascii="Arial" w:hAnsi="Arial"/>
        </w:rPr>
        <w:t>, one of the high-level targets</w:t>
      </w:r>
      <w:r w:rsidR="000F46D1">
        <w:rPr>
          <w:rFonts w:ascii="Arial" w:hAnsi="Arial"/>
        </w:rPr>
        <w:t xml:space="preserve"> / KPIs</w:t>
      </w:r>
      <w:r>
        <w:rPr>
          <w:rFonts w:ascii="Arial" w:hAnsi="Arial"/>
        </w:rPr>
        <w:t xml:space="preserve"> relates to Graduate Destinations:</w:t>
      </w:r>
    </w:p>
    <w:p w:rsidR="00A44923" w:rsidRDefault="00A44923" w:rsidP="00A44923">
      <w:pPr>
        <w:spacing w:after="0"/>
        <w:jc w:val="both"/>
        <w:rPr>
          <w:rFonts w:ascii="Arial" w:hAnsi="Arial"/>
        </w:rPr>
      </w:pPr>
    </w:p>
    <w:p w:rsidR="00A44923" w:rsidRDefault="00A44923" w:rsidP="00A44923">
      <w:pPr>
        <w:spacing w:after="0"/>
        <w:jc w:val="both"/>
        <w:rPr>
          <w:rFonts w:ascii="Arial" w:hAnsi="Arial"/>
          <w:i/>
          <w:iCs/>
        </w:rPr>
      </w:pPr>
      <w:r>
        <w:rPr>
          <w:rFonts w:ascii="Arial" w:hAnsi="Arial"/>
          <w:i/>
          <w:iCs/>
        </w:rPr>
        <w:t>“By 2020, to achieve a positive graduate destinations rate of at least 85% (as measured six months after graduation in the Destinations of Leavers from Higher Education Survey), ensuring that the University is ranked in the upper quartile of the Russell Group institutions on this measure.”</w:t>
      </w:r>
    </w:p>
    <w:p w:rsidR="000F46D1" w:rsidRDefault="000F46D1" w:rsidP="00A44923">
      <w:pPr>
        <w:spacing w:after="0"/>
        <w:jc w:val="both"/>
        <w:rPr>
          <w:rFonts w:ascii="Arial" w:hAnsi="Arial"/>
          <w:i/>
          <w:iCs/>
        </w:rPr>
      </w:pPr>
    </w:p>
    <w:p w:rsidR="000F46D1" w:rsidRDefault="000F46D1" w:rsidP="000F46D1">
      <w:pPr>
        <w:spacing w:after="0"/>
        <w:jc w:val="both"/>
        <w:rPr>
          <w:rFonts w:ascii="Arial" w:hAnsi="Arial"/>
          <w:iCs/>
        </w:rPr>
      </w:pPr>
      <w:r w:rsidRPr="00054CB2">
        <w:rPr>
          <w:rFonts w:ascii="Arial" w:hAnsi="Arial"/>
          <w:iCs/>
        </w:rPr>
        <w:t>This target relates to full time, first degree UK students (including students from the Channel Islands and the Isle of Man).</w:t>
      </w:r>
      <w:r>
        <w:rPr>
          <w:rFonts w:ascii="Arial" w:hAnsi="Arial"/>
          <w:iCs/>
        </w:rPr>
        <w:t xml:space="preserve"> Destinations data is also collected on EU and PGT graduates.</w:t>
      </w:r>
    </w:p>
    <w:p w:rsidR="000F46D1" w:rsidRDefault="000F46D1" w:rsidP="000F46D1">
      <w:pPr>
        <w:spacing w:after="0"/>
        <w:jc w:val="both"/>
        <w:rPr>
          <w:rFonts w:ascii="Arial" w:hAnsi="Arial"/>
          <w:iCs/>
        </w:rPr>
      </w:pPr>
      <w:r>
        <w:rPr>
          <w:rFonts w:ascii="Arial" w:hAnsi="Arial"/>
          <w:iCs/>
        </w:rPr>
        <w:t xml:space="preserve">Data on international students was collected from 2011/12 as a pilot, but response rates were very low. </w:t>
      </w:r>
    </w:p>
    <w:p w:rsidR="000F46D1" w:rsidRDefault="000F46D1" w:rsidP="000F46D1">
      <w:pPr>
        <w:spacing w:after="0"/>
        <w:jc w:val="both"/>
        <w:rPr>
          <w:rFonts w:ascii="Arial" w:hAnsi="Arial"/>
          <w:iCs/>
        </w:rPr>
      </w:pPr>
    </w:p>
    <w:p w:rsidR="000F46D1" w:rsidRDefault="000F46D1" w:rsidP="000F46D1">
      <w:pPr>
        <w:spacing w:after="0"/>
        <w:jc w:val="both"/>
        <w:rPr>
          <w:rFonts w:ascii="Arial" w:hAnsi="Arial"/>
        </w:rPr>
      </w:pPr>
      <w:r>
        <w:rPr>
          <w:rFonts w:ascii="Arial" w:hAnsi="Arial"/>
        </w:rPr>
        <w:t xml:space="preserve">In May 2013, the University submitted its DLHE return, reporting on the destinations of 2011/12 graduates. This paper summarises data in this return which will be used to measure progress against the KPI for 2012/13, and the process of collection. </w:t>
      </w:r>
    </w:p>
    <w:p w:rsidR="000F46D1" w:rsidRDefault="000F46D1" w:rsidP="000F46D1">
      <w:pPr>
        <w:spacing w:after="0"/>
        <w:jc w:val="both"/>
        <w:rPr>
          <w:rFonts w:ascii="Arial" w:hAnsi="Arial"/>
          <w:iCs/>
        </w:rPr>
      </w:pPr>
    </w:p>
    <w:p w:rsidR="000F46D1" w:rsidRDefault="000F46D1" w:rsidP="000F46D1">
      <w:pPr>
        <w:spacing w:after="0"/>
        <w:jc w:val="both"/>
        <w:rPr>
          <w:rFonts w:ascii="Arial" w:hAnsi="Arial"/>
          <w:b/>
          <w:bCs/>
        </w:rPr>
      </w:pPr>
      <w:r>
        <w:rPr>
          <w:rFonts w:ascii="Arial" w:hAnsi="Arial"/>
          <w:b/>
          <w:bCs/>
        </w:rPr>
        <w:t>Changes in methodology for DLHE 2011/12</w:t>
      </w:r>
      <w:r w:rsidR="009D2392">
        <w:rPr>
          <w:rFonts w:ascii="Arial" w:hAnsi="Arial"/>
          <w:b/>
          <w:bCs/>
        </w:rPr>
        <w:t xml:space="preserve"> collection</w:t>
      </w:r>
    </w:p>
    <w:p w:rsidR="000F46D1" w:rsidRDefault="000F46D1" w:rsidP="000F46D1">
      <w:pPr>
        <w:spacing w:after="0"/>
        <w:jc w:val="both"/>
        <w:rPr>
          <w:rFonts w:ascii="Arial" w:hAnsi="Arial"/>
          <w:b/>
          <w:bCs/>
        </w:rPr>
      </w:pPr>
    </w:p>
    <w:p w:rsidR="000F46D1" w:rsidRDefault="00DB2C7A" w:rsidP="000F46D1">
      <w:pPr>
        <w:spacing w:after="0"/>
        <w:jc w:val="both"/>
        <w:rPr>
          <w:rFonts w:ascii="Arial" w:hAnsi="Arial"/>
        </w:rPr>
      </w:pPr>
      <w:r>
        <w:rPr>
          <w:rFonts w:ascii="Arial" w:hAnsi="Arial"/>
        </w:rPr>
        <w:t>Prior to the 2011/12 collect</w:t>
      </w:r>
      <w:r w:rsidR="000F46D1">
        <w:rPr>
          <w:rFonts w:ascii="Arial" w:hAnsi="Arial"/>
        </w:rPr>
        <w:t xml:space="preserve">ion, progress against the Graduate Destinations target was measured using methodology devised by The Times Good University Guide, based on the Elias &amp; Purcell model for identifying graduate level jobs, using Standard Occupational Classification (SOC) codes. However, the SOC codes have since been updated to include new occupations and to re-classify existing job roles which means that we cannot currently replicate the Elias and Purcell model. </w:t>
      </w:r>
    </w:p>
    <w:p w:rsidR="000F46D1" w:rsidRDefault="000F46D1" w:rsidP="000F46D1">
      <w:pPr>
        <w:spacing w:after="0"/>
        <w:jc w:val="both"/>
        <w:rPr>
          <w:rFonts w:ascii="Arial" w:hAnsi="Arial"/>
        </w:rPr>
      </w:pPr>
    </w:p>
    <w:p w:rsidR="000F46D1" w:rsidRDefault="000F46D1" w:rsidP="00413CA7">
      <w:pPr>
        <w:spacing w:after="0"/>
        <w:jc w:val="both"/>
        <w:rPr>
          <w:rFonts w:ascii="Arial" w:hAnsi="Arial"/>
        </w:rPr>
      </w:pPr>
      <w:r>
        <w:rPr>
          <w:rFonts w:ascii="Arial" w:hAnsi="Arial"/>
        </w:rPr>
        <w:t xml:space="preserve">Instead, </w:t>
      </w:r>
      <w:r w:rsidR="00413CA7">
        <w:rPr>
          <w:rFonts w:ascii="Arial" w:hAnsi="Arial"/>
        </w:rPr>
        <w:t xml:space="preserve">the University is now adopting the nationally agreed methodology defining positive graduate destinations as professional managerial careers </w:t>
      </w:r>
      <w:proofErr w:type="spellStart"/>
      <w:r w:rsidR="00413CA7">
        <w:rPr>
          <w:rFonts w:ascii="Arial" w:hAnsi="Arial"/>
        </w:rPr>
        <w:t>ie</w:t>
      </w:r>
      <w:proofErr w:type="spellEnd"/>
      <w:r w:rsidR="00413CA7">
        <w:rPr>
          <w:rFonts w:ascii="Arial" w:hAnsi="Arial"/>
        </w:rPr>
        <w:t xml:space="preserve"> </w:t>
      </w:r>
      <w:r>
        <w:rPr>
          <w:rFonts w:ascii="Arial" w:hAnsi="Arial"/>
        </w:rPr>
        <w:t xml:space="preserve">SOC Major Groups 1-3. </w:t>
      </w:r>
      <w:r w:rsidR="00413CA7">
        <w:rPr>
          <w:rFonts w:ascii="Arial" w:hAnsi="Arial"/>
        </w:rPr>
        <w:t xml:space="preserve">This method is being used in KIS and The Times League Table. </w:t>
      </w:r>
      <w:r>
        <w:rPr>
          <w:rFonts w:ascii="Arial" w:hAnsi="Arial"/>
        </w:rPr>
        <w:t xml:space="preserve">This methodology can be applied to previous DLHE datasets so that we have some trend data. Progression to graduate level further study is also part of the definition of an overall positive graduate destination and the definition of this remains unchanged. </w:t>
      </w:r>
    </w:p>
    <w:p w:rsidR="00054CB2" w:rsidRDefault="00054CB2" w:rsidP="00A44923">
      <w:pPr>
        <w:spacing w:after="0"/>
        <w:jc w:val="both"/>
        <w:rPr>
          <w:rFonts w:ascii="Arial" w:hAnsi="Arial"/>
          <w:i/>
          <w:iCs/>
        </w:rPr>
      </w:pPr>
    </w:p>
    <w:p w:rsidR="00A44923" w:rsidRDefault="00A44923" w:rsidP="00A44923">
      <w:pPr>
        <w:spacing w:after="0"/>
        <w:jc w:val="both"/>
        <w:rPr>
          <w:rFonts w:ascii="Arial" w:hAnsi="Arial"/>
          <w:b/>
        </w:rPr>
      </w:pPr>
      <w:r w:rsidRPr="00A44923">
        <w:rPr>
          <w:rFonts w:ascii="Arial" w:hAnsi="Arial"/>
          <w:b/>
        </w:rPr>
        <w:t>What is a positive destination?</w:t>
      </w:r>
    </w:p>
    <w:p w:rsidR="00A44923" w:rsidRPr="00A44923" w:rsidRDefault="00A44923" w:rsidP="00A44923">
      <w:pPr>
        <w:spacing w:after="0"/>
        <w:jc w:val="both"/>
        <w:rPr>
          <w:rFonts w:ascii="Arial" w:hAnsi="Arial"/>
          <w:b/>
        </w:rPr>
      </w:pPr>
    </w:p>
    <w:p w:rsidR="00A44923" w:rsidRDefault="00A44923" w:rsidP="00A44923">
      <w:pPr>
        <w:spacing w:after="0"/>
        <w:jc w:val="both"/>
        <w:rPr>
          <w:rFonts w:ascii="Arial" w:hAnsi="Arial"/>
        </w:rPr>
      </w:pPr>
      <w:r>
        <w:rPr>
          <w:rFonts w:ascii="Arial" w:hAnsi="Arial"/>
        </w:rPr>
        <w:t>The SOC codes which will be used for the 2012/13 collection can be found on the HESA website at:</w:t>
      </w:r>
    </w:p>
    <w:p w:rsidR="00A44923" w:rsidRDefault="00494EF7" w:rsidP="00A44923">
      <w:pPr>
        <w:spacing w:after="0"/>
        <w:jc w:val="both"/>
        <w:rPr>
          <w:rFonts w:ascii="Arial" w:hAnsi="Arial"/>
        </w:rPr>
      </w:pPr>
      <w:hyperlink r:id="rId7" w:history="1">
        <w:r w:rsidR="00A44923" w:rsidRPr="00BB78AC">
          <w:rPr>
            <w:rStyle w:val="Hyperlink"/>
            <w:rFonts w:ascii="Arial" w:hAnsi="Arial"/>
          </w:rPr>
          <w:t>http://www.hesa.ac.uk/index.php?option=com_studrec&amp;Itemid=232&amp;mnl=12018</w:t>
        </w:r>
      </w:hyperlink>
    </w:p>
    <w:p w:rsidR="00A44923" w:rsidRDefault="00A44923" w:rsidP="00A44923">
      <w:pPr>
        <w:spacing w:after="0"/>
        <w:jc w:val="both"/>
        <w:rPr>
          <w:rFonts w:ascii="Arial" w:hAnsi="Arial"/>
        </w:rPr>
      </w:pPr>
    </w:p>
    <w:p w:rsidR="00A44923" w:rsidRPr="00A44923" w:rsidRDefault="00A44923" w:rsidP="00A44923">
      <w:pPr>
        <w:spacing w:after="0"/>
        <w:jc w:val="both"/>
        <w:rPr>
          <w:rFonts w:ascii="Arial" w:hAnsi="Arial"/>
        </w:rPr>
      </w:pPr>
      <w:r w:rsidRPr="00A44923">
        <w:rPr>
          <w:rFonts w:ascii="Arial" w:hAnsi="Arial"/>
        </w:rPr>
        <w:t xml:space="preserve">The </w:t>
      </w:r>
      <w:r>
        <w:rPr>
          <w:rFonts w:ascii="Arial" w:hAnsi="Arial"/>
        </w:rPr>
        <w:t>‘</w:t>
      </w:r>
      <w:hyperlink r:id="rId8" w:history="1">
        <w:r w:rsidRPr="00A44923">
          <w:rPr>
            <w:rFonts w:ascii="Arial" w:hAnsi="Arial"/>
          </w:rPr>
          <w:t>Standard Occupational Classification (2010) for the Destinations of Leavers from Higher Education Institutions: SOC 2010 (DLHE)</w:t>
        </w:r>
        <w:r>
          <w:rPr>
            <w:rFonts w:ascii="Arial" w:hAnsi="Arial"/>
          </w:rPr>
          <w:t>’</w:t>
        </w:r>
      </w:hyperlink>
      <w:r>
        <w:rPr>
          <w:rFonts w:ascii="Arial" w:hAnsi="Arial"/>
        </w:rPr>
        <w:t xml:space="preserve"> document can be downloaded directly from:</w:t>
      </w:r>
    </w:p>
    <w:p w:rsidR="00A44923" w:rsidRDefault="00494EF7" w:rsidP="00A44923">
      <w:pPr>
        <w:spacing w:after="0"/>
        <w:jc w:val="both"/>
        <w:rPr>
          <w:rFonts w:ascii="Arial" w:hAnsi="Arial"/>
        </w:rPr>
      </w:pPr>
      <w:hyperlink r:id="rId9" w:history="1">
        <w:r w:rsidR="00A44923" w:rsidRPr="00BB78AC">
          <w:rPr>
            <w:rStyle w:val="Hyperlink"/>
            <w:rFonts w:ascii="Arial" w:hAnsi="Arial"/>
          </w:rPr>
          <w:t>http://www.hesa.ac.uk/includes/C12018_resources/SOC2010DLHE.pdf?v=1.2</w:t>
        </w:r>
      </w:hyperlink>
    </w:p>
    <w:p w:rsidR="00A44923" w:rsidRDefault="00A44923" w:rsidP="00A44923">
      <w:pPr>
        <w:spacing w:after="0"/>
        <w:jc w:val="both"/>
        <w:rPr>
          <w:rFonts w:ascii="Arial" w:hAnsi="Arial"/>
        </w:rPr>
      </w:pPr>
    </w:p>
    <w:p w:rsidR="00975848" w:rsidRDefault="00A44923" w:rsidP="00A44923">
      <w:pPr>
        <w:spacing w:after="0"/>
        <w:jc w:val="both"/>
        <w:rPr>
          <w:rFonts w:ascii="Arial" w:hAnsi="Arial"/>
        </w:rPr>
      </w:pPr>
      <w:r>
        <w:rPr>
          <w:rFonts w:ascii="Arial" w:hAnsi="Arial"/>
        </w:rPr>
        <w:lastRenderedPageBreak/>
        <w:t xml:space="preserve">Pages 8-17 of this document list the SOC codes. Any occupations which have a SOC code starting with a number 1-3 are classed as a positive destination. </w:t>
      </w:r>
    </w:p>
    <w:p w:rsidR="00A44923" w:rsidRDefault="00A44923" w:rsidP="00A44923">
      <w:pPr>
        <w:spacing w:after="0"/>
        <w:jc w:val="both"/>
        <w:rPr>
          <w:rFonts w:ascii="Arial" w:hAnsi="Arial"/>
        </w:rPr>
      </w:pPr>
      <w:r w:rsidRPr="00975848">
        <w:rPr>
          <w:rFonts w:ascii="Arial" w:hAnsi="Arial"/>
          <w:u w:val="single"/>
        </w:rPr>
        <w:t>However</w:t>
      </w:r>
      <w:r>
        <w:rPr>
          <w:rFonts w:ascii="Arial" w:hAnsi="Arial"/>
        </w:rPr>
        <w:t xml:space="preserve">, </w:t>
      </w:r>
      <w:r w:rsidR="00975848">
        <w:rPr>
          <w:rFonts w:ascii="Arial" w:hAnsi="Arial"/>
        </w:rPr>
        <w:t xml:space="preserve">the DLHE form also </w:t>
      </w:r>
      <w:r w:rsidR="00BC36FE">
        <w:rPr>
          <w:rFonts w:ascii="Arial" w:hAnsi="Arial"/>
        </w:rPr>
        <w:t xml:space="preserve">asks leavers about their duties within that role, and those duties may be used to reclassify a respondent accordingly. </w:t>
      </w:r>
      <w:r w:rsidR="00F72230">
        <w:rPr>
          <w:rFonts w:ascii="Arial" w:hAnsi="Arial"/>
        </w:rPr>
        <w:t xml:space="preserve">The DLHE collection team at the University will contact students to clarify information as appropriate. </w:t>
      </w:r>
    </w:p>
    <w:p w:rsidR="00BC36FE" w:rsidRDefault="00BC36FE" w:rsidP="00A44923">
      <w:pPr>
        <w:spacing w:after="0"/>
        <w:jc w:val="both"/>
        <w:rPr>
          <w:rFonts w:ascii="Arial" w:hAnsi="Arial"/>
        </w:rPr>
      </w:pPr>
    </w:p>
    <w:p w:rsidR="00BC36FE" w:rsidRDefault="00BC36FE" w:rsidP="00A44923">
      <w:pPr>
        <w:spacing w:after="0"/>
        <w:jc w:val="both"/>
        <w:rPr>
          <w:rFonts w:ascii="Arial" w:hAnsi="Arial"/>
        </w:rPr>
      </w:pPr>
      <w:r>
        <w:rPr>
          <w:rFonts w:ascii="Arial" w:hAnsi="Arial"/>
        </w:rPr>
        <w:t>Further study is also counted as a positive destination. The following categories count:</w:t>
      </w:r>
    </w:p>
    <w:p w:rsidR="00BC36FE" w:rsidRDefault="00BC36FE" w:rsidP="00BC36FE">
      <w:pPr>
        <w:pStyle w:val="ListParagraph"/>
        <w:numPr>
          <w:ilvl w:val="0"/>
          <w:numId w:val="1"/>
        </w:numPr>
        <w:autoSpaceDE w:val="0"/>
        <w:autoSpaceDN w:val="0"/>
        <w:adjustRightInd w:val="0"/>
        <w:spacing w:after="0" w:line="240" w:lineRule="auto"/>
        <w:rPr>
          <w:rFonts w:ascii="ZurichBT-Roman" w:eastAsiaTheme="minorHAnsi" w:hAnsi="ZurichBT-Roman" w:cs="ZurichBT-Roman"/>
          <w:lang w:eastAsia="en-US"/>
        </w:rPr>
      </w:pPr>
      <w:r w:rsidRPr="00BC36FE">
        <w:rPr>
          <w:rFonts w:ascii="Arial" w:eastAsiaTheme="minorHAnsi" w:hAnsi="Arial"/>
          <w:lang w:eastAsia="en-US"/>
        </w:rPr>
        <w:t xml:space="preserve">Higher degree, mainly by research (e.g. PhD, DPhil, MPhil) </w:t>
      </w:r>
      <w:r w:rsidRPr="00F72230">
        <w:rPr>
          <w:rFonts w:ascii="ZurichBT-Roman" w:eastAsiaTheme="minorHAnsi" w:hAnsi="ZurichBT-Roman" w:cs="ZurichBT-Roman"/>
          <w:b/>
          <w:lang w:eastAsia="en-US"/>
        </w:rPr>
        <w:t>(Category ‘01’ on the DLHE form)</w:t>
      </w:r>
      <w:r w:rsidRPr="00BC36FE">
        <w:rPr>
          <w:rFonts w:ascii="ZurichBT-Roman" w:eastAsiaTheme="minorHAnsi" w:hAnsi="ZurichBT-Roman" w:cs="ZurichBT-Roman"/>
          <w:lang w:eastAsia="en-US"/>
        </w:rPr>
        <w:t xml:space="preserve"> </w:t>
      </w:r>
    </w:p>
    <w:p w:rsidR="00BC36FE" w:rsidRPr="00BC36FE" w:rsidRDefault="00BC36FE" w:rsidP="00BC36FE">
      <w:pPr>
        <w:pStyle w:val="ListParagraph"/>
        <w:numPr>
          <w:ilvl w:val="0"/>
          <w:numId w:val="1"/>
        </w:numPr>
        <w:autoSpaceDE w:val="0"/>
        <w:autoSpaceDN w:val="0"/>
        <w:adjustRightInd w:val="0"/>
        <w:spacing w:after="0" w:line="240" w:lineRule="auto"/>
        <w:rPr>
          <w:rFonts w:ascii="ZurichBT-Roman" w:eastAsiaTheme="minorHAnsi" w:hAnsi="ZurichBT-Roman" w:cs="ZurichBT-Roman"/>
          <w:lang w:eastAsia="en-US"/>
        </w:rPr>
      </w:pPr>
      <w:r w:rsidRPr="00BC36FE">
        <w:rPr>
          <w:rFonts w:ascii="Arial" w:eastAsiaTheme="minorHAnsi" w:hAnsi="Arial"/>
          <w:lang w:eastAsia="en-US"/>
        </w:rPr>
        <w:t xml:space="preserve">Higher degree, mainly by taught course (e.g. MA, MSc) </w:t>
      </w:r>
      <w:r w:rsidRPr="00F72230">
        <w:rPr>
          <w:rFonts w:ascii="ZurichBT-Roman" w:eastAsiaTheme="minorHAnsi" w:hAnsi="ZurichBT-Roman" w:cs="ZurichBT-Roman"/>
          <w:b/>
          <w:lang w:eastAsia="en-US"/>
        </w:rPr>
        <w:t>(02)</w:t>
      </w:r>
      <w:r w:rsidRPr="00BC36FE">
        <w:rPr>
          <w:rFonts w:ascii="ZurichBT-Roman" w:eastAsiaTheme="minorHAnsi" w:hAnsi="ZurichBT-Roman" w:cs="ZurichBT-Roman"/>
          <w:lang w:eastAsia="en-US"/>
        </w:rPr>
        <w:t xml:space="preserve"> </w:t>
      </w:r>
    </w:p>
    <w:p w:rsidR="00BC36FE" w:rsidRPr="00F72230" w:rsidRDefault="00BC36FE" w:rsidP="00BC36FE">
      <w:pPr>
        <w:pStyle w:val="ListParagraph"/>
        <w:numPr>
          <w:ilvl w:val="0"/>
          <w:numId w:val="1"/>
        </w:numPr>
        <w:autoSpaceDE w:val="0"/>
        <w:autoSpaceDN w:val="0"/>
        <w:adjustRightInd w:val="0"/>
        <w:spacing w:after="0" w:line="240" w:lineRule="auto"/>
        <w:rPr>
          <w:rFonts w:ascii="ZurichBT-Roman" w:eastAsiaTheme="minorHAnsi" w:hAnsi="ZurichBT-Roman" w:cs="ZurichBT-Roman"/>
          <w:b/>
          <w:lang w:eastAsia="en-US"/>
        </w:rPr>
      </w:pPr>
      <w:r w:rsidRPr="00BC36FE">
        <w:rPr>
          <w:rFonts w:ascii="Arial" w:eastAsiaTheme="minorHAnsi" w:hAnsi="Arial"/>
          <w:lang w:eastAsia="en-US"/>
        </w:rPr>
        <w:t xml:space="preserve">Postgraduate diploma or certificate (including PGCE) </w:t>
      </w:r>
      <w:r w:rsidRPr="00F72230">
        <w:rPr>
          <w:rFonts w:ascii="ZurichBT-Roman" w:eastAsiaTheme="minorHAnsi" w:hAnsi="ZurichBT-Roman" w:cs="ZurichBT-Roman"/>
          <w:b/>
          <w:lang w:eastAsia="en-US"/>
        </w:rPr>
        <w:t xml:space="preserve">(03) </w:t>
      </w:r>
    </w:p>
    <w:p w:rsidR="00BC36FE" w:rsidRPr="00F72230" w:rsidRDefault="00BC36FE" w:rsidP="00BC36FE">
      <w:pPr>
        <w:pStyle w:val="ListParagraph"/>
        <w:numPr>
          <w:ilvl w:val="0"/>
          <w:numId w:val="1"/>
        </w:numPr>
        <w:autoSpaceDE w:val="0"/>
        <w:autoSpaceDN w:val="0"/>
        <w:adjustRightInd w:val="0"/>
        <w:spacing w:after="0" w:line="240" w:lineRule="auto"/>
        <w:rPr>
          <w:rFonts w:ascii="ZurichBT-Roman" w:eastAsiaTheme="minorHAnsi" w:hAnsi="ZurichBT-Roman" w:cs="ZurichBT-Roman"/>
          <w:b/>
          <w:lang w:eastAsia="en-US"/>
        </w:rPr>
      </w:pPr>
      <w:r w:rsidRPr="00BC36FE">
        <w:rPr>
          <w:rFonts w:ascii="Arial" w:eastAsiaTheme="minorHAnsi" w:hAnsi="Arial"/>
          <w:lang w:eastAsia="en-US"/>
        </w:rPr>
        <w:t xml:space="preserve">First degree (e.g. BA, BSc, MEng) </w:t>
      </w:r>
      <w:r w:rsidRPr="00F72230">
        <w:rPr>
          <w:rFonts w:ascii="ZurichBT-Roman" w:eastAsiaTheme="minorHAnsi" w:hAnsi="ZurichBT-Roman" w:cs="ZurichBT-Roman"/>
          <w:b/>
          <w:lang w:eastAsia="en-US"/>
        </w:rPr>
        <w:t>(04)</w:t>
      </w:r>
    </w:p>
    <w:p w:rsidR="00BC36FE" w:rsidRDefault="00BC36FE" w:rsidP="00BC36FE">
      <w:pPr>
        <w:pStyle w:val="ListParagraph"/>
        <w:numPr>
          <w:ilvl w:val="0"/>
          <w:numId w:val="1"/>
        </w:numPr>
        <w:autoSpaceDE w:val="0"/>
        <w:autoSpaceDN w:val="0"/>
        <w:adjustRightInd w:val="0"/>
        <w:spacing w:after="0" w:line="240" w:lineRule="auto"/>
        <w:jc w:val="both"/>
        <w:rPr>
          <w:rFonts w:ascii="ZurichBT-Roman" w:eastAsiaTheme="minorHAnsi" w:hAnsi="ZurichBT-Roman" w:cs="ZurichBT-Roman"/>
          <w:lang w:eastAsia="en-US"/>
        </w:rPr>
      </w:pPr>
      <w:r w:rsidRPr="00BC36FE">
        <w:rPr>
          <w:rFonts w:ascii="Arial" w:eastAsiaTheme="minorHAnsi" w:hAnsi="Arial"/>
          <w:lang w:eastAsia="en-US"/>
        </w:rPr>
        <w:t>Professional qualification (e.g. Legal Practice Course, Chartered Institute of Marketing)</w:t>
      </w:r>
      <w:r>
        <w:rPr>
          <w:rFonts w:ascii="Arial" w:eastAsiaTheme="minorHAnsi" w:hAnsi="Arial"/>
          <w:lang w:eastAsia="en-US"/>
        </w:rPr>
        <w:t xml:space="preserve"> </w:t>
      </w:r>
      <w:r w:rsidRPr="00F72230">
        <w:rPr>
          <w:rFonts w:ascii="ZurichBT-Roman" w:eastAsiaTheme="minorHAnsi" w:hAnsi="ZurichBT-Roman" w:cs="ZurichBT-Roman"/>
          <w:b/>
          <w:lang w:eastAsia="en-US"/>
        </w:rPr>
        <w:t>(06)</w:t>
      </w:r>
      <w:r w:rsidRPr="00BC36FE">
        <w:rPr>
          <w:rFonts w:ascii="ZurichBT-Roman" w:eastAsiaTheme="minorHAnsi" w:hAnsi="ZurichBT-Roman" w:cs="ZurichBT-Roman"/>
          <w:lang w:eastAsia="en-US"/>
        </w:rPr>
        <w:t xml:space="preserve"> </w:t>
      </w:r>
    </w:p>
    <w:p w:rsidR="00F72230" w:rsidRDefault="00F72230" w:rsidP="00F72230">
      <w:pPr>
        <w:autoSpaceDE w:val="0"/>
        <w:autoSpaceDN w:val="0"/>
        <w:adjustRightInd w:val="0"/>
        <w:spacing w:after="0" w:line="240" w:lineRule="auto"/>
        <w:jc w:val="both"/>
        <w:rPr>
          <w:rFonts w:ascii="ZurichBT-Roman" w:eastAsiaTheme="minorHAnsi" w:hAnsi="ZurichBT-Roman" w:cs="ZurichBT-Roman"/>
          <w:lang w:eastAsia="en-US"/>
        </w:rPr>
      </w:pPr>
    </w:p>
    <w:p w:rsidR="00F72230" w:rsidRPr="00F72230" w:rsidRDefault="00F72230" w:rsidP="00F72230">
      <w:pPr>
        <w:autoSpaceDE w:val="0"/>
        <w:autoSpaceDN w:val="0"/>
        <w:adjustRightInd w:val="0"/>
        <w:spacing w:after="0" w:line="240" w:lineRule="auto"/>
        <w:jc w:val="both"/>
        <w:rPr>
          <w:rFonts w:ascii="ZurichBT-Roman" w:eastAsiaTheme="minorHAnsi" w:hAnsi="ZurichBT-Roman" w:cs="ZurichBT-Roman"/>
          <w:lang w:eastAsia="en-US"/>
        </w:rPr>
      </w:pPr>
      <w:r>
        <w:rPr>
          <w:rFonts w:ascii="ZurichBT-Roman" w:eastAsiaTheme="minorHAnsi" w:hAnsi="ZurichBT-Roman" w:cs="ZurichBT-Roman"/>
          <w:lang w:eastAsia="en-US"/>
        </w:rPr>
        <w:t xml:space="preserve">The following are not positive destinations (aka ‘negative’ destination). </w:t>
      </w:r>
    </w:p>
    <w:p w:rsidR="00F72230" w:rsidRPr="00F72230" w:rsidRDefault="00F72230" w:rsidP="00F72230">
      <w:pPr>
        <w:autoSpaceDE w:val="0"/>
        <w:autoSpaceDN w:val="0"/>
        <w:adjustRightInd w:val="0"/>
        <w:spacing w:after="0" w:line="240" w:lineRule="auto"/>
        <w:jc w:val="both"/>
        <w:rPr>
          <w:rFonts w:ascii="ZurichBT-Roman" w:eastAsiaTheme="minorHAnsi" w:hAnsi="ZurichBT-Roman" w:cs="ZurichBT-Roman"/>
          <w:lang w:eastAsia="en-US"/>
        </w:rPr>
      </w:pPr>
    </w:p>
    <w:p w:rsidR="00F72230" w:rsidRPr="00F72230" w:rsidRDefault="00F72230" w:rsidP="00BC36FE">
      <w:pPr>
        <w:pStyle w:val="ListParagraph"/>
        <w:numPr>
          <w:ilvl w:val="0"/>
          <w:numId w:val="1"/>
        </w:numPr>
        <w:autoSpaceDE w:val="0"/>
        <w:autoSpaceDN w:val="0"/>
        <w:adjustRightInd w:val="0"/>
        <w:spacing w:after="0" w:line="240" w:lineRule="auto"/>
        <w:jc w:val="both"/>
        <w:rPr>
          <w:rFonts w:ascii="ZurichBT-Roman" w:eastAsiaTheme="minorHAnsi" w:hAnsi="ZurichBT-Roman" w:cs="ZurichBT-Roman"/>
          <w:b/>
          <w:lang w:eastAsia="en-US"/>
        </w:rPr>
      </w:pPr>
      <w:r w:rsidRPr="00BC36FE">
        <w:rPr>
          <w:rFonts w:ascii="ZurichBT-Roman" w:eastAsiaTheme="minorHAnsi" w:hAnsi="ZurichBT-Roman" w:cs="ZurichBT-Roman"/>
          <w:lang w:eastAsia="en-US"/>
        </w:rPr>
        <w:t>O</w:t>
      </w:r>
      <w:r w:rsidRPr="00BC36FE">
        <w:rPr>
          <w:rFonts w:ascii="Arial" w:eastAsiaTheme="minorHAnsi" w:hAnsi="Arial"/>
          <w:lang w:eastAsia="en-US"/>
        </w:rPr>
        <w:t xml:space="preserve">ther diploma or certificate </w:t>
      </w:r>
      <w:r w:rsidRPr="00F72230">
        <w:rPr>
          <w:rFonts w:ascii="ZurichBT-Roman" w:eastAsiaTheme="minorHAnsi" w:hAnsi="ZurichBT-Roman" w:cs="ZurichBT-Roman"/>
          <w:b/>
          <w:lang w:eastAsia="en-US"/>
        </w:rPr>
        <w:t>(05)</w:t>
      </w:r>
    </w:p>
    <w:p w:rsidR="00BC36FE" w:rsidRPr="00F72230" w:rsidRDefault="00BC36FE" w:rsidP="00BC36FE">
      <w:pPr>
        <w:pStyle w:val="ListParagraph"/>
        <w:numPr>
          <w:ilvl w:val="0"/>
          <w:numId w:val="1"/>
        </w:numPr>
        <w:autoSpaceDE w:val="0"/>
        <w:autoSpaceDN w:val="0"/>
        <w:adjustRightInd w:val="0"/>
        <w:spacing w:after="0" w:line="240" w:lineRule="auto"/>
        <w:jc w:val="both"/>
        <w:rPr>
          <w:rFonts w:ascii="ZurichBT-Roman" w:eastAsiaTheme="minorHAnsi" w:hAnsi="ZurichBT-Roman" w:cs="ZurichBT-Roman"/>
          <w:b/>
          <w:lang w:eastAsia="en-US"/>
        </w:rPr>
      </w:pPr>
      <w:r w:rsidRPr="00F72230">
        <w:rPr>
          <w:rFonts w:ascii="Arial" w:eastAsiaTheme="minorHAnsi" w:hAnsi="Arial"/>
          <w:lang w:eastAsia="en-US"/>
        </w:rPr>
        <w:t xml:space="preserve">Other qualification </w:t>
      </w:r>
      <w:r w:rsidRPr="00F72230">
        <w:rPr>
          <w:rFonts w:ascii="ZurichBT-Roman" w:eastAsiaTheme="minorHAnsi" w:hAnsi="ZurichBT-Roman" w:cs="ZurichBT-Roman"/>
          <w:b/>
          <w:lang w:eastAsia="en-US"/>
        </w:rPr>
        <w:t>(07)</w:t>
      </w:r>
    </w:p>
    <w:p w:rsidR="00BC36FE" w:rsidRPr="00BC36FE" w:rsidRDefault="00BC36FE" w:rsidP="00BC36FE">
      <w:pPr>
        <w:pStyle w:val="ListParagraph"/>
        <w:numPr>
          <w:ilvl w:val="0"/>
          <w:numId w:val="1"/>
        </w:numPr>
        <w:autoSpaceDE w:val="0"/>
        <w:autoSpaceDN w:val="0"/>
        <w:adjustRightInd w:val="0"/>
        <w:spacing w:after="0" w:line="240" w:lineRule="auto"/>
        <w:rPr>
          <w:rFonts w:ascii="ZurichBT-Roman" w:eastAsiaTheme="minorHAnsi" w:hAnsi="ZurichBT-Roman" w:cs="ZurichBT-Roman"/>
          <w:lang w:eastAsia="en-US"/>
        </w:rPr>
      </w:pPr>
      <w:r w:rsidRPr="00BC36FE">
        <w:rPr>
          <w:rFonts w:ascii="Arial" w:eastAsiaTheme="minorHAnsi" w:hAnsi="Arial"/>
          <w:lang w:eastAsia="en-US"/>
        </w:rPr>
        <w:t xml:space="preserve">Not aiming for a formal qualification </w:t>
      </w:r>
      <w:r w:rsidRPr="00F72230">
        <w:rPr>
          <w:rFonts w:ascii="ZurichBT-Roman" w:eastAsiaTheme="minorHAnsi" w:hAnsi="ZurichBT-Roman" w:cs="ZurichBT-Roman"/>
          <w:b/>
          <w:lang w:eastAsia="en-US"/>
        </w:rPr>
        <w:t>(98)</w:t>
      </w:r>
    </w:p>
    <w:p w:rsidR="00BC36FE" w:rsidRDefault="00BC36FE" w:rsidP="00A44923">
      <w:pPr>
        <w:spacing w:after="0"/>
        <w:jc w:val="both"/>
        <w:rPr>
          <w:rFonts w:ascii="Arial" w:hAnsi="Arial"/>
        </w:rPr>
      </w:pPr>
    </w:p>
    <w:p w:rsidR="00975848" w:rsidRDefault="00975848" w:rsidP="00A44923">
      <w:pPr>
        <w:spacing w:after="0"/>
        <w:jc w:val="both"/>
        <w:rPr>
          <w:rFonts w:ascii="Arial" w:hAnsi="Arial"/>
        </w:rPr>
      </w:pPr>
      <w:r>
        <w:rPr>
          <w:rFonts w:ascii="Arial" w:hAnsi="Arial"/>
        </w:rPr>
        <w:t xml:space="preserve">The DLHE form which leavers will be asked to complete in 2012/13 can also be found on the HESA website at: </w:t>
      </w:r>
    </w:p>
    <w:p w:rsidR="00A44923" w:rsidRDefault="00494EF7" w:rsidP="00A44923">
      <w:pPr>
        <w:spacing w:after="0"/>
        <w:jc w:val="both"/>
        <w:rPr>
          <w:rFonts w:ascii="Arial" w:hAnsi="Arial"/>
        </w:rPr>
      </w:pPr>
      <w:hyperlink r:id="rId10" w:history="1">
        <w:r w:rsidR="00975848" w:rsidRPr="00BB78AC">
          <w:rPr>
            <w:rStyle w:val="Hyperlink"/>
            <w:rFonts w:ascii="Arial" w:hAnsi="Arial"/>
          </w:rPr>
          <w:t>http://www.hesa.ac.uk/component/option,com_studrec/task,show_file/Itemid,233/mnl,12018/href,Questionnaires.html/</w:t>
        </w:r>
      </w:hyperlink>
    </w:p>
    <w:p w:rsidR="00975848" w:rsidRDefault="00975848" w:rsidP="00A44923">
      <w:pPr>
        <w:spacing w:after="0"/>
        <w:jc w:val="both"/>
        <w:rPr>
          <w:rFonts w:ascii="Arial" w:hAnsi="Arial"/>
        </w:rPr>
      </w:pPr>
    </w:p>
    <w:p w:rsidR="00A44923" w:rsidRDefault="00A44923" w:rsidP="00A44923">
      <w:pPr>
        <w:spacing w:after="0"/>
        <w:jc w:val="both"/>
        <w:rPr>
          <w:rFonts w:ascii="Arial" w:hAnsi="Arial"/>
          <w:b/>
        </w:rPr>
      </w:pPr>
      <w:r w:rsidRPr="00975848">
        <w:rPr>
          <w:rFonts w:ascii="Arial" w:hAnsi="Arial"/>
          <w:b/>
        </w:rPr>
        <w:t>Implications of the change</w:t>
      </w:r>
      <w:r w:rsidR="00F72230">
        <w:rPr>
          <w:rFonts w:ascii="Arial" w:hAnsi="Arial"/>
          <w:b/>
        </w:rPr>
        <w:t xml:space="preserve"> in occupational coding</w:t>
      </w:r>
    </w:p>
    <w:p w:rsidR="00D2564B" w:rsidRPr="00975848" w:rsidRDefault="00D2564B" w:rsidP="00A44923">
      <w:pPr>
        <w:spacing w:after="0"/>
        <w:jc w:val="both"/>
        <w:rPr>
          <w:rFonts w:ascii="Arial" w:hAnsi="Arial"/>
          <w:b/>
        </w:rPr>
      </w:pPr>
    </w:p>
    <w:p w:rsidR="00DB2C7A" w:rsidRDefault="00A44923" w:rsidP="00DB2C7A">
      <w:pPr>
        <w:spacing w:after="0"/>
        <w:jc w:val="both"/>
        <w:rPr>
          <w:rFonts w:ascii="Arial" w:hAnsi="Arial"/>
        </w:rPr>
      </w:pPr>
      <w:r>
        <w:rPr>
          <w:rFonts w:ascii="Arial" w:hAnsi="Arial"/>
        </w:rPr>
        <w:t>The change in methodology does not impact greatly on the data, Applying the new methodology to last year’s data gives</w:t>
      </w:r>
      <w:r w:rsidR="000B6597">
        <w:rPr>
          <w:rFonts w:ascii="Arial" w:hAnsi="Arial"/>
        </w:rPr>
        <w:t xml:space="preserve"> the University</w:t>
      </w:r>
      <w:r>
        <w:rPr>
          <w:rFonts w:ascii="Arial" w:hAnsi="Arial"/>
        </w:rPr>
        <w:t xml:space="preserve"> a positive gradu</w:t>
      </w:r>
      <w:r w:rsidR="000B6597">
        <w:rPr>
          <w:rFonts w:ascii="Arial" w:hAnsi="Arial"/>
        </w:rPr>
        <w:t>ate destinations rate of 71.9%,</w:t>
      </w:r>
      <w:r>
        <w:rPr>
          <w:rFonts w:ascii="Arial" w:hAnsi="Arial"/>
        </w:rPr>
        <w:t xml:space="preserve"> broadly comparable to the previous Elias and Purcell results of 72.0%. Within the sect</w:t>
      </w:r>
      <w:r w:rsidR="000B6597">
        <w:rPr>
          <w:rFonts w:ascii="Arial" w:hAnsi="Arial"/>
        </w:rPr>
        <w:t>or, the new methodology placed the University</w:t>
      </w:r>
      <w:r>
        <w:rPr>
          <w:rFonts w:ascii="Arial" w:hAnsi="Arial"/>
        </w:rPr>
        <w:t xml:space="preserve"> at 21</w:t>
      </w:r>
      <w:r>
        <w:rPr>
          <w:rFonts w:ascii="Arial" w:hAnsi="Arial"/>
          <w:vertAlign w:val="superscript"/>
        </w:rPr>
        <w:t>st</w:t>
      </w:r>
      <w:r>
        <w:rPr>
          <w:rFonts w:ascii="Arial" w:hAnsi="Arial"/>
        </w:rPr>
        <w:t xml:space="preserve"> within the Russell Group compared with 20</w:t>
      </w:r>
      <w:r>
        <w:rPr>
          <w:rFonts w:ascii="Arial" w:hAnsi="Arial"/>
          <w:vertAlign w:val="superscript"/>
        </w:rPr>
        <w:t>th</w:t>
      </w:r>
      <w:r>
        <w:rPr>
          <w:rFonts w:ascii="Arial" w:hAnsi="Arial"/>
        </w:rPr>
        <w:t xml:space="preserve"> under the old methodology. There is greater variation at School level but no more than a 2% difference between the methodologies. </w:t>
      </w:r>
    </w:p>
    <w:p w:rsidR="00964018" w:rsidRDefault="00964018" w:rsidP="00DB2C7A">
      <w:pPr>
        <w:spacing w:after="0"/>
        <w:jc w:val="both"/>
        <w:rPr>
          <w:rFonts w:ascii="Arial" w:hAnsi="Arial"/>
        </w:rPr>
      </w:pPr>
    </w:p>
    <w:p w:rsidR="00964018" w:rsidRDefault="00964018" w:rsidP="00DB2C7A">
      <w:pPr>
        <w:spacing w:after="0"/>
        <w:jc w:val="both"/>
        <w:rPr>
          <w:rFonts w:ascii="Arial" w:hAnsi="Arial"/>
          <w:b/>
        </w:rPr>
      </w:pPr>
      <w:r w:rsidRPr="00964018">
        <w:rPr>
          <w:rFonts w:ascii="Arial" w:hAnsi="Arial"/>
          <w:b/>
        </w:rPr>
        <w:t xml:space="preserve">Humanities performance </w:t>
      </w:r>
    </w:p>
    <w:p w:rsidR="00964018" w:rsidRPr="00964018" w:rsidRDefault="00964018" w:rsidP="00DB2C7A">
      <w:pPr>
        <w:spacing w:after="0"/>
        <w:jc w:val="both"/>
        <w:rPr>
          <w:rFonts w:ascii="Arial" w:hAnsi="Arial"/>
          <w:b/>
        </w:rPr>
      </w:pPr>
    </w:p>
    <w:p w:rsidR="00964018" w:rsidRPr="00964018" w:rsidRDefault="00964018" w:rsidP="00964018">
      <w:pPr>
        <w:spacing w:after="0"/>
        <w:jc w:val="both"/>
        <w:rPr>
          <w:rFonts w:ascii="Arial" w:hAnsi="Arial"/>
          <w:i/>
          <w:iCs/>
        </w:rPr>
      </w:pPr>
      <w:r w:rsidRPr="00964018">
        <w:rPr>
          <w:rFonts w:ascii="Arial" w:hAnsi="Arial"/>
          <w:i/>
          <w:iCs/>
        </w:rPr>
        <w:t>Humanities Faculty and School positive destinations targets to 2020 (revised June 2013), and 2011-12 positive destinations data</w:t>
      </w:r>
    </w:p>
    <w:tbl>
      <w:tblPr>
        <w:tblW w:w="15713" w:type="dxa"/>
        <w:tblLook w:val="04A0" w:firstRow="1" w:lastRow="0" w:firstColumn="1" w:lastColumn="0" w:noHBand="0" w:noVBand="1"/>
      </w:tblPr>
      <w:tblGrid>
        <w:gridCol w:w="93"/>
        <w:gridCol w:w="3891"/>
        <w:gridCol w:w="1653"/>
        <w:gridCol w:w="436"/>
        <w:gridCol w:w="414"/>
        <w:gridCol w:w="526"/>
        <w:gridCol w:w="325"/>
        <w:gridCol w:w="635"/>
        <w:gridCol w:w="215"/>
        <w:gridCol w:w="685"/>
        <w:gridCol w:w="166"/>
        <w:gridCol w:w="794"/>
        <w:gridCol w:w="340"/>
        <w:gridCol w:w="960"/>
        <w:gridCol w:w="960"/>
        <w:gridCol w:w="960"/>
        <w:gridCol w:w="1040"/>
        <w:gridCol w:w="300"/>
        <w:gridCol w:w="1320"/>
      </w:tblGrid>
      <w:tr w:rsidR="00964018" w:rsidRPr="00964018" w:rsidTr="00964018">
        <w:trPr>
          <w:gridAfter w:val="8"/>
          <w:wAfter w:w="6674" w:type="dxa"/>
          <w:trHeight w:val="855"/>
        </w:trPr>
        <w:tc>
          <w:tcPr>
            <w:tcW w:w="398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964018" w:rsidRPr="00964018" w:rsidRDefault="00964018" w:rsidP="00964018">
            <w:pPr>
              <w:spacing w:after="0" w:line="240" w:lineRule="auto"/>
              <w:rPr>
                <w:rFonts w:ascii="Arial" w:eastAsia="Times New Roman" w:hAnsi="Arial"/>
                <w:sz w:val="20"/>
                <w:szCs w:val="20"/>
                <w:lang w:eastAsia="en-GB"/>
              </w:rPr>
            </w:pPr>
            <w:r w:rsidRPr="00964018">
              <w:rPr>
                <w:rFonts w:ascii="Arial" w:eastAsia="Times New Roman" w:hAnsi="Arial"/>
                <w:sz w:val="20"/>
                <w:szCs w:val="20"/>
                <w:lang w:eastAsia="en-GB"/>
              </w:rPr>
              <w:t> </w:t>
            </w:r>
          </w:p>
        </w:tc>
        <w:tc>
          <w:tcPr>
            <w:tcW w:w="1653" w:type="dxa"/>
            <w:tcBorders>
              <w:top w:val="single" w:sz="4" w:space="0" w:color="auto"/>
              <w:left w:val="nil"/>
              <w:bottom w:val="single" w:sz="4" w:space="0" w:color="auto"/>
              <w:right w:val="single" w:sz="4" w:space="0" w:color="auto"/>
            </w:tcBorders>
            <w:shd w:val="clear" w:color="auto" w:fill="FFFFFF" w:themeFill="background1"/>
            <w:vAlign w:val="bottom"/>
          </w:tcPr>
          <w:p w:rsidR="00964018" w:rsidRPr="00964018" w:rsidRDefault="00964018" w:rsidP="00964018">
            <w:pPr>
              <w:spacing w:after="0" w:line="240" w:lineRule="auto"/>
              <w:jc w:val="center"/>
              <w:rPr>
                <w:rFonts w:eastAsia="Times New Roman" w:cs="Times New Roman"/>
                <w:b/>
                <w:bCs/>
                <w:color w:val="000000"/>
                <w:sz w:val="20"/>
                <w:szCs w:val="20"/>
                <w:lang w:eastAsia="en-GB"/>
              </w:rPr>
            </w:pPr>
            <w:r w:rsidRPr="00964018">
              <w:rPr>
                <w:rFonts w:eastAsia="Times New Roman" w:cs="Times New Roman"/>
                <w:b/>
                <w:bCs/>
                <w:color w:val="000000"/>
                <w:sz w:val="20"/>
                <w:szCs w:val="20"/>
                <w:lang w:eastAsia="en-GB"/>
              </w:rPr>
              <w:t>2011-12 data published 2012-13 (UK FT, First degree)</w:t>
            </w:r>
            <w:r w:rsidR="003C5F97">
              <w:rPr>
                <w:rFonts w:eastAsia="Times New Roman" w:cs="Times New Roman"/>
                <w:b/>
                <w:bCs/>
                <w:color w:val="000000"/>
                <w:sz w:val="20"/>
                <w:szCs w:val="20"/>
                <w:lang w:eastAsia="en-GB"/>
              </w:rPr>
              <w:t>*</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964018" w:rsidRPr="00964018" w:rsidRDefault="00964018" w:rsidP="00964018">
            <w:pPr>
              <w:spacing w:after="0" w:line="240" w:lineRule="auto"/>
              <w:jc w:val="center"/>
              <w:rPr>
                <w:rFonts w:eastAsia="Times New Roman" w:cs="Times New Roman"/>
                <w:b/>
                <w:bCs/>
                <w:color w:val="000000"/>
                <w:sz w:val="20"/>
                <w:szCs w:val="20"/>
                <w:lang w:eastAsia="en-GB"/>
              </w:rPr>
            </w:pPr>
            <w:r w:rsidRPr="00964018">
              <w:rPr>
                <w:rFonts w:eastAsia="Times New Roman" w:cs="Times New Roman"/>
                <w:b/>
                <w:bCs/>
                <w:color w:val="000000"/>
                <w:sz w:val="20"/>
                <w:szCs w:val="20"/>
                <w:lang w:eastAsia="en-GB"/>
              </w:rPr>
              <w:t>Target 2012-13</w:t>
            </w:r>
          </w:p>
        </w:tc>
        <w:tc>
          <w:tcPr>
            <w:tcW w:w="851" w:type="dxa"/>
            <w:gridSpan w:val="2"/>
            <w:tcBorders>
              <w:top w:val="single" w:sz="4" w:space="0" w:color="auto"/>
              <w:left w:val="nil"/>
              <w:bottom w:val="single" w:sz="4" w:space="0" w:color="auto"/>
              <w:right w:val="single" w:sz="4" w:space="0" w:color="auto"/>
            </w:tcBorders>
            <w:shd w:val="clear" w:color="000000" w:fill="D9D9D9"/>
            <w:vAlign w:val="bottom"/>
            <w:hideMark/>
          </w:tcPr>
          <w:p w:rsidR="00964018" w:rsidRPr="00964018" w:rsidRDefault="00964018" w:rsidP="00964018">
            <w:pPr>
              <w:spacing w:after="0" w:line="240" w:lineRule="auto"/>
              <w:jc w:val="center"/>
              <w:rPr>
                <w:rFonts w:eastAsia="Times New Roman" w:cs="Times New Roman"/>
                <w:b/>
                <w:bCs/>
                <w:color w:val="000000"/>
                <w:sz w:val="20"/>
                <w:szCs w:val="20"/>
                <w:lang w:eastAsia="en-GB"/>
              </w:rPr>
            </w:pPr>
            <w:r w:rsidRPr="00964018">
              <w:rPr>
                <w:rFonts w:eastAsia="Times New Roman" w:cs="Times New Roman"/>
                <w:b/>
                <w:bCs/>
                <w:color w:val="000000"/>
                <w:sz w:val="20"/>
                <w:szCs w:val="20"/>
                <w:lang w:eastAsia="en-GB"/>
              </w:rPr>
              <w:t>Target 2013-14</w:t>
            </w:r>
          </w:p>
        </w:tc>
        <w:tc>
          <w:tcPr>
            <w:tcW w:w="850" w:type="dxa"/>
            <w:gridSpan w:val="2"/>
            <w:tcBorders>
              <w:top w:val="single" w:sz="4" w:space="0" w:color="auto"/>
              <w:left w:val="nil"/>
              <w:bottom w:val="single" w:sz="4" w:space="0" w:color="auto"/>
              <w:right w:val="single" w:sz="4" w:space="0" w:color="auto"/>
            </w:tcBorders>
            <w:shd w:val="clear" w:color="000000" w:fill="D9D9D9"/>
            <w:vAlign w:val="bottom"/>
            <w:hideMark/>
          </w:tcPr>
          <w:p w:rsidR="00964018" w:rsidRPr="00964018" w:rsidRDefault="00964018" w:rsidP="00964018">
            <w:pPr>
              <w:spacing w:after="0" w:line="240" w:lineRule="auto"/>
              <w:jc w:val="center"/>
              <w:rPr>
                <w:rFonts w:eastAsia="Times New Roman" w:cs="Times New Roman"/>
                <w:b/>
                <w:bCs/>
                <w:color w:val="000000"/>
                <w:sz w:val="20"/>
                <w:szCs w:val="20"/>
                <w:lang w:eastAsia="en-GB"/>
              </w:rPr>
            </w:pPr>
            <w:r w:rsidRPr="00964018">
              <w:rPr>
                <w:rFonts w:eastAsia="Times New Roman" w:cs="Times New Roman"/>
                <w:b/>
                <w:bCs/>
                <w:color w:val="000000"/>
                <w:sz w:val="20"/>
                <w:szCs w:val="20"/>
                <w:lang w:eastAsia="en-GB"/>
              </w:rPr>
              <w:t>Target 2014-15</w:t>
            </w:r>
          </w:p>
        </w:tc>
        <w:tc>
          <w:tcPr>
            <w:tcW w:w="851" w:type="dxa"/>
            <w:gridSpan w:val="2"/>
            <w:tcBorders>
              <w:top w:val="single" w:sz="4" w:space="0" w:color="auto"/>
              <w:left w:val="nil"/>
              <w:bottom w:val="single" w:sz="4" w:space="0" w:color="auto"/>
              <w:right w:val="single" w:sz="4" w:space="0" w:color="auto"/>
            </w:tcBorders>
            <w:shd w:val="clear" w:color="000000" w:fill="D9D9D9"/>
            <w:vAlign w:val="bottom"/>
            <w:hideMark/>
          </w:tcPr>
          <w:p w:rsidR="00964018" w:rsidRPr="00964018" w:rsidRDefault="00964018" w:rsidP="00964018">
            <w:pPr>
              <w:spacing w:after="0" w:line="240" w:lineRule="auto"/>
              <w:jc w:val="center"/>
              <w:rPr>
                <w:rFonts w:eastAsia="Times New Roman" w:cs="Times New Roman"/>
                <w:b/>
                <w:bCs/>
                <w:color w:val="000000"/>
                <w:sz w:val="20"/>
                <w:szCs w:val="20"/>
                <w:lang w:eastAsia="en-GB"/>
              </w:rPr>
            </w:pPr>
            <w:r w:rsidRPr="00964018">
              <w:rPr>
                <w:rFonts w:eastAsia="Times New Roman" w:cs="Times New Roman"/>
                <w:b/>
                <w:bCs/>
                <w:color w:val="000000"/>
                <w:sz w:val="20"/>
                <w:szCs w:val="20"/>
                <w:lang w:eastAsia="en-GB"/>
              </w:rPr>
              <w:t>Target 2019-20</w:t>
            </w:r>
          </w:p>
        </w:tc>
      </w:tr>
      <w:tr w:rsidR="00964018" w:rsidRPr="00964018" w:rsidTr="00964018">
        <w:trPr>
          <w:gridAfter w:val="8"/>
          <w:wAfter w:w="6674" w:type="dxa"/>
          <w:trHeight w:val="300"/>
        </w:trPr>
        <w:tc>
          <w:tcPr>
            <w:tcW w:w="3984" w:type="dxa"/>
            <w:gridSpan w:val="2"/>
            <w:tcBorders>
              <w:top w:val="single" w:sz="4" w:space="0" w:color="000000"/>
              <w:left w:val="single" w:sz="4" w:space="0" w:color="000000"/>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rPr>
                <w:rFonts w:ascii="Arial" w:eastAsia="Times New Roman" w:hAnsi="Arial"/>
                <w:b/>
                <w:bCs/>
                <w:color w:val="000000"/>
                <w:sz w:val="20"/>
                <w:szCs w:val="20"/>
                <w:lang w:eastAsia="en-GB"/>
              </w:rPr>
            </w:pPr>
            <w:r w:rsidRPr="00964018">
              <w:rPr>
                <w:rFonts w:ascii="Arial" w:eastAsia="Times New Roman" w:hAnsi="Arial"/>
                <w:b/>
                <w:bCs/>
                <w:color w:val="000000"/>
                <w:sz w:val="20"/>
                <w:szCs w:val="20"/>
                <w:lang w:eastAsia="en-GB"/>
              </w:rPr>
              <w:t>Faculty of Humanities</w:t>
            </w:r>
          </w:p>
        </w:tc>
        <w:tc>
          <w:tcPr>
            <w:tcW w:w="1653" w:type="dxa"/>
            <w:tcBorders>
              <w:top w:val="single" w:sz="8" w:space="0" w:color="auto"/>
              <w:left w:val="nil"/>
              <w:bottom w:val="single" w:sz="4" w:space="0" w:color="auto"/>
              <w:right w:val="single" w:sz="4" w:space="0" w:color="auto"/>
            </w:tcBorders>
            <w:shd w:val="clear" w:color="auto" w:fill="FFFFFF" w:themeFill="background1"/>
            <w:noWrap/>
            <w:vAlign w:val="bottom"/>
          </w:tcPr>
          <w:p w:rsidR="00964018" w:rsidRPr="00964018" w:rsidRDefault="00964018" w:rsidP="00964018">
            <w:pPr>
              <w:spacing w:after="0" w:line="240" w:lineRule="auto"/>
              <w:rPr>
                <w:rFonts w:eastAsia="Times New Roman" w:cs="Times New Roman"/>
                <w:sz w:val="20"/>
                <w:szCs w:val="20"/>
                <w:lang w:eastAsia="en-GB"/>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r>
      <w:tr w:rsidR="00964018" w:rsidRPr="00964018" w:rsidTr="00964018">
        <w:trPr>
          <w:gridAfter w:val="8"/>
          <w:wAfter w:w="6674" w:type="dxa"/>
          <w:trHeight w:val="300"/>
        </w:trPr>
        <w:tc>
          <w:tcPr>
            <w:tcW w:w="3984" w:type="dxa"/>
            <w:gridSpan w:val="2"/>
            <w:tcBorders>
              <w:top w:val="nil"/>
              <w:left w:val="single" w:sz="4" w:space="0" w:color="000000"/>
              <w:bottom w:val="nil"/>
              <w:right w:val="single" w:sz="4" w:space="0" w:color="auto"/>
            </w:tcBorders>
            <w:shd w:val="clear" w:color="auto" w:fill="auto"/>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t>Manchester Business School</w:t>
            </w:r>
          </w:p>
        </w:tc>
        <w:tc>
          <w:tcPr>
            <w:tcW w:w="1653" w:type="dxa"/>
            <w:tcBorders>
              <w:top w:val="single" w:sz="4" w:space="0" w:color="auto"/>
              <w:left w:val="nil"/>
              <w:bottom w:val="single" w:sz="4" w:space="0" w:color="auto"/>
              <w:right w:val="single" w:sz="4" w:space="0" w:color="auto"/>
            </w:tcBorders>
            <w:shd w:val="clear" w:color="auto" w:fill="FFFFFF" w:themeFill="background1"/>
            <w:noWrap/>
            <w:vAlign w:val="bottom"/>
          </w:tcPr>
          <w:p w:rsidR="00964018" w:rsidRPr="00964018" w:rsidRDefault="00FB573E" w:rsidP="00FB573E">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            </w:t>
            </w:r>
            <w:r w:rsidRPr="001B07A7">
              <w:rPr>
                <w:rFonts w:eastAsia="Times New Roman" w:cs="Times New Roman"/>
                <w:color w:val="FF0000"/>
                <w:sz w:val="20"/>
                <w:szCs w:val="20"/>
                <w:lang w:eastAsia="en-GB"/>
              </w:rPr>
              <w:t>71.6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69</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73</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77</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85</w:t>
            </w:r>
          </w:p>
        </w:tc>
      </w:tr>
      <w:tr w:rsidR="00964018" w:rsidRPr="00964018" w:rsidTr="00964018">
        <w:trPr>
          <w:gridAfter w:val="8"/>
          <w:wAfter w:w="6674" w:type="dxa"/>
          <w:trHeight w:val="300"/>
        </w:trPr>
        <w:tc>
          <w:tcPr>
            <w:tcW w:w="3984" w:type="dxa"/>
            <w:gridSpan w:val="2"/>
            <w:tcBorders>
              <w:top w:val="nil"/>
              <w:left w:val="single" w:sz="4" w:space="0" w:color="000000"/>
              <w:bottom w:val="nil"/>
              <w:right w:val="single" w:sz="4" w:space="0" w:color="auto"/>
            </w:tcBorders>
            <w:shd w:val="clear" w:color="000000" w:fill="D9D9D9"/>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t>School of Arts, Histories and Cultures</w:t>
            </w:r>
          </w:p>
        </w:tc>
        <w:tc>
          <w:tcPr>
            <w:tcW w:w="1653" w:type="dxa"/>
            <w:tcBorders>
              <w:top w:val="single" w:sz="4" w:space="0" w:color="auto"/>
              <w:left w:val="nil"/>
              <w:bottom w:val="single" w:sz="4" w:space="0" w:color="auto"/>
              <w:right w:val="single" w:sz="4" w:space="0" w:color="auto"/>
            </w:tcBorders>
            <w:shd w:val="clear" w:color="auto" w:fill="000000" w:themeFill="text1"/>
            <w:noWrap/>
            <w:vAlign w:val="bottom"/>
          </w:tcPr>
          <w:p w:rsidR="00964018" w:rsidRPr="00964018" w:rsidRDefault="00964018" w:rsidP="00964018">
            <w:pPr>
              <w:spacing w:after="0" w:line="240" w:lineRule="auto"/>
              <w:jc w:val="center"/>
              <w:rPr>
                <w:rFonts w:eastAsia="Times New Roman" w:cs="Times New Roman"/>
                <w:sz w:val="20"/>
                <w:szCs w:val="20"/>
                <w:lang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0"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r>
      <w:tr w:rsidR="00964018" w:rsidRPr="00964018" w:rsidTr="00964018">
        <w:trPr>
          <w:gridAfter w:val="8"/>
          <w:wAfter w:w="6674" w:type="dxa"/>
          <w:trHeight w:val="300"/>
        </w:trPr>
        <w:tc>
          <w:tcPr>
            <w:tcW w:w="3984" w:type="dxa"/>
            <w:gridSpan w:val="2"/>
            <w:tcBorders>
              <w:top w:val="nil"/>
              <w:left w:val="single" w:sz="4" w:space="0" w:color="000000"/>
              <w:bottom w:val="nil"/>
              <w:right w:val="single" w:sz="4" w:space="0" w:color="auto"/>
            </w:tcBorders>
            <w:shd w:val="clear" w:color="auto" w:fill="auto"/>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t>School of Arts, Language and Cultures</w:t>
            </w:r>
          </w:p>
        </w:tc>
        <w:tc>
          <w:tcPr>
            <w:tcW w:w="1653" w:type="dxa"/>
            <w:tcBorders>
              <w:top w:val="single" w:sz="4" w:space="0" w:color="auto"/>
              <w:left w:val="nil"/>
              <w:bottom w:val="single" w:sz="4" w:space="0" w:color="auto"/>
              <w:right w:val="single" w:sz="4" w:space="0" w:color="auto"/>
            </w:tcBorders>
            <w:shd w:val="clear" w:color="auto" w:fill="FFFFFF" w:themeFill="background1"/>
            <w:noWrap/>
            <w:vAlign w:val="bottom"/>
          </w:tcPr>
          <w:p w:rsidR="00964018" w:rsidRPr="00964018" w:rsidRDefault="00964018" w:rsidP="00FB573E">
            <w:pPr>
              <w:spacing w:after="0" w:line="240" w:lineRule="auto"/>
              <w:jc w:val="center"/>
              <w:rPr>
                <w:rFonts w:eastAsia="Times New Roman" w:cs="Times New Roman"/>
                <w:sz w:val="20"/>
                <w:szCs w:val="20"/>
                <w:lang w:eastAsia="en-GB"/>
              </w:rPr>
            </w:pPr>
            <w:r w:rsidRPr="001B07A7">
              <w:rPr>
                <w:rFonts w:eastAsia="Times New Roman" w:cs="Times New Roman"/>
                <w:color w:val="FF0000"/>
                <w:sz w:val="20"/>
                <w:szCs w:val="20"/>
                <w:lang w:eastAsia="en-GB"/>
              </w:rPr>
              <w:t>60.</w:t>
            </w:r>
            <w:r w:rsidR="00FB573E" w:rsidRPr="001B07A7">
              <w:rPr>
                <w:rFonts w:eastAsia="Times New Roman" w:cs="Times New Roman"/>
                <w:color w:val="FF0000"/>
                <w:sz w:val="20"/>
                <w:szCs w:val="20"/>
                <w:lang w:eastAsia="en-GB"/>
              </w:rPr>
              <w:t>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64</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67</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75</w:t>
            </w:r>
          </w:p>
        </w:tc>
      </w:tr>
      <w:tr w:rsidR="00964018" w:rsidRPr="00964018" w:rsidTr="00964018">
        <w:trPr>
          <w:gridAfter w:val="8"/>
          <w:wAfter w:w="6674" w:type="dxa"/>
          <w:trHeight w:val="300"/>
        </w:trPr>
        <w:tc>
          <w:tcPr>
            <w:tcW w:w="3984" w:type="dxa"/>
            <w:gridSpan w:val="2"/>
            <w:tcBorders>
              <w:top w:val="nil"/>
              <w:left w:val="single" w:sz="4" w:space="0" w:color="000000"/>
              <w:bottom w:val="nil"/>
              <w:right w:val="single" w:sz="4" w:space="0" w:color="auto"/>
            </w:tcBorders>
            <w:shd w:val="clear" w:color="000000" w:fill="D9D9D9"/>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t>School of Education</w:t>
            </w:r>
          </w:p>
        </w:tc>
        <w:tc>
          <w:tcPr>
            <w:tcW w:w="1653" w:type="dxa"/>
            <w:tcBorders>
              <w:top w:val="single" w:sz="4" w:space="0" w:color="auto"/>
              <w:left w:val="nil"/>
              <w:bottom w:val="single" w:sz="4" w:space="0" w:color="auto"/>
              <w:right w:val="single" w:sz="4" w:space="0" w:color="auto"/>
            </w:tcBorders>
            <w:shd w:val="clear" w:color="auto" w:fill="FFFFFF" w:themeFill="background1"/>
            <w:noWrap/>
            <w:vAlign w:val="bottom"/>
          </w:tcPr>
          <w:p w:rsidR="00964018" w:rsidRPr="00964018" w:rsidRDefault="00964018" w:rsidP="00964018">
            <w:pPr>
              <w:spacing w:after="0" w:line="240" w:lineRule="auto"/>
              <w:jc w:val="center"/>
              <w:rPr>
                <w:rFonts w:eastAsia="Times New Roman" w:cs="Times New Roman"/>
                <w:sz w:val="20"/>
                <w:szCs w:val="20"/>
                <w:lang w:eastAsia="en-GB"/>
              </w:rPr>
            </w:pPr>
            <w:r w:rsidRPr="00964018">
              <w:rPr>
                <w:rFonts w:eastAsia="Times New Roman" w:cs="Times New Roman"/>
                <w:sz w:val="20"/>
                <w:szCs w:val="20"/>
                <w:lang w:eastAsia="en-GB"/>
              </w:rPr>
              <w:t>63.5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65</w:t>
            </w:r>
          </w:p>
        </w:tc>
        <w:tc>
          <w:tcPr>
            <w:tcW w:w="851"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0"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r>
      <w:tr w:rsidR="00964018" w:rsidRPr="00964018" w:rsidTr="00964018">
        <w:trPr>
          <w:gridAfter w:val="8"/>
          <w:wAfter w:w="6674" w:type="dxa"/>
          <w:trHeight w:val="300"/>
        </w:trPr>
        <w:tc>
          <w:tcPr>
            <w:tcW w:w="3984" w:type="dxa"/>
            <w:gridSpan w:val="2"/>
            <w:tcBorders>
              <w:top w:val="nil"/>
              <w:left w:val="single" w:sz="4" w:space="0" w:color="000000"/>
              <w:bottom w:val="nil"/>
              <w:right w:val="single" w:sz="4" w:space="0" w:color="auto"/>
            </w:tcBorders>
            <w:shd w:val="clear" w:color="auto" w:fill="auto"/>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t>School of Environment and Development</w:t>
            </w:r>
          </w:p>
        </w:tc>
        <w:tc>
          <w:tcPr>
            <w:tcW w:w="1653" w:type="dxa"/>
            <w:tcBorders>
              <w:top w:val="single" w:sz="4" w:space="0" w:color="auto"/>
              <w:left w:val="nil"/>
              <w:bottom w:val="single" w:sz="4" w:space="0" w:color="auto"/>
              <w:right w:val="single" w:sz="4" w:space="0" w:color="auto"/>
            </w:tcBorders>
            <w:shd w:val="clear" w:color="auto" w:fill="FFFFFF" w:themeFill="background1"/>
            <w:noWrap/>
            <w:vAlign w:val="bottom"/>
          </w:tcPr>
          <w:p w:rsidR="00964018" w:rsidRPr="00964018" w:rsidRDefault="00964018" w:rsidP="00964018">
            <w:pPr>
              <w:spacing w:after="0" w:line="240" w:lineRule="auto"/>
              <w:jc w:val="center"/>
              <w:rPr>
                <w:rFonts w:eastAsia="Times New Roman" w:cs="Times New Roman"/>
                <w:sz w:val="20"/>
                <w:szCs w:val="20"/>
                <w:lang w:eastAsia="en-GB"/>
              </w:rPr>
            </w:pPr>
            <w:r w:rsidRPr="00964018">
              <w:rPr>
                <w:rFonts w:eastAsia="Times New Roman" w:cs="Times New Roman"/>
                <w:sz w:val="20"/>
                <w:szCs w:val="20"/>
                <w:lang w:eastAsia="en-GB"/>
              </w:rPr>
              <w:t>67.7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65</w:t>
            </w:r>
          </w:p>
        </w:tc>
        <w:tc>
          <w:tcPr>
            <w:tcW w:w="851"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0"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r>
      <w:tr w:rsidR="00964018" w:rsidRPr="00964018" w:rsidTr="00964018">
        <w:trPr>
          <w:gridAfter w:val="8"/>
          <w:wAfter w:w="6674" w:type="dxa"/>
          <w:trHeight w:val="300"/>
        </w:trPr>
        <w:tc>
          <w:tcPr>
            <w:tcW w:w="3984" w:type="dxa"/>
            <w:gridSpan w:val="2"/>
            <w:tcBorders>
              <w:top w:val="nil"/>
              <w:left w:val="single" w:sz="4" w:space="0" w:color="000000"/>
              <w:bottom w:val="nil"/>
              <w:right w:val="single" w:sz="4" w:space="0" w:color="auto"/>
            </w:tcBorders>
            <w:shd w:val="clear" w:color="000000" w:fill="D9D9D9"/>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lastRenderedPageBreak/>
              <w:t>School of Environment, Education and Development</w:t>
            </w:r>
          </w:p>
        </w:tc>
        <w:tc>
          <w:tcPr>
            <w:tcW w:w="1653" w:type="dxa"/>
            <w:tcBorders>
              <w:top w:val="single" w:sz="4" w:space="0" w:color="auto"/>
              <w:left w:val="nil"/>
              <w:bottom w:val="single" w:sz="4" w:space="0" w:color="auto"/>
              <w:right w:val="single" w:sz="4" w:space="0" w:color="auto"/>
            </w:tcBorders>
            <w:shd w:val="clear" w:color="auto" w:fill="000000" w:themeFill="text1"/>
            <w:noWrap/>
            <w:vAlign w:val="bottom"/>
          </w:tcPr>
          <w:p w:rsidR="00964018" w:rsidRPr="00964018" w:rsidRDefault="00964018" w:rsidP="00964018">
            <w:pPr>
              <w:spacing w:after="0" w:line="240" w:lineRule="auto"/>
              <w:jc w:val="center"/>
              <w:rPr>
                <w:rFonts w:eastAsia="Times New Roman" w:cs="Times New Roman"/>
                <w:b/>
                <w:bCs/>
                <w:sz w:val="20"/>
                <w:szCs w:val="20"/>
                <w:lang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66</w:t>
            </w:r>
          </w:p>
        </w:tc>
        <w:tc>
          <w:tcPr>
            <w:tcW w:w="85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67</w:t>
            </w:r>
          </w:p>
        </w:tc>
        <w:tc>
          <w:tcPr>
            <w:tcW w:w="85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70</w:t>
            </w:r>
          </w:p>
        </w:tc>
      </w:tr>
      <w:tr w:rsidR="00964018" w:rsidRPr="00964018" w:rsidTr="00964018">
        <w:trPr>
          <w:gridAfter w:val="8"/>
          <w:wAfter w:w="6674" w:type="dxa"/>
          <w:trHeight w:val="300"/>
        </w:trPr>
        <w:tc>
          <w:tcPr>
            <w:tcW w:w="3984" w:type="dxa"/>
            <w:gridSpan w:val="2"/>
            <w:tcBorders>
              <w:top w:val="nil"/>
              <w:left w:val="single" w:sz="4" w:space="0" w:color="000000"/>
              <w:bottom w:val="nil"/>
              <w:right w:val="single" w:sz="4" w:space="0" w:color="auto"/>
            </w:tcBorders>
            <w:shd w:val="clear" w:color="000000" w:fill="FFFFFF"/>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t>School of Languages, Linguistics and Cultures</w:t>
            </w:r>
          </w:p>
        </w:tc>
        <w:tc>
          <w:tcPr>
            <w:tcW w:w="1653" w:type="dxa"/>
            <w:tcBorders>
              <w:top w:val="single" w:sz="4" w:space="0" w:color="auto"/>
              <w:left w:val="nil"/>
              <w:bottom w:val="single" w:sz="4" w:space="0" w:color="auto"/>
              <w:right w:val="single" w:sz="4" w:space="0" w:color="auto"/>
            </w:tcBorders>
            <w:shd w:val="clear" w:color="auto" w:fill="000000" w:themeFill="text1"/>
            <w:noWrap/>
            <w:vAlign w:val="bottom"/>
          </w:tcPr>
          <w:p w:rsidR="00964018" w:rsidRPr="00964018" w:rsidRDefault="00964018" w:rsidP="00964018">
            <w:pPr>
              <w:spacing w:after="0" w:line="240" w:lineRule="auto"/>
              <w:jc w:val="center"/>
              <w:rPr>
                <w:rFonts w:eastAsia="Times New Roman" w:cs="Times New Roman"/>
                <w:sz w:val="20"/>
                <w:szCs w:val="20"/>
                <w:lang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0"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c>
          <w:tcPr>
            <w:tcW w:w="851" w:type="dxa"/>
            <w:gridSpan w:val="2"/>
            <w:tcBorders>
              <w:top w:val="single" w:sz="4" w:space="0" w:color="auto"/>
              <w:left w:val="nil"/>
              <w:bottom w:val="single" w:sz="4" w:space="0" w:color="auto"/>
              <w:right w:val="single" w:sz="4" w:space="0" w:color="auto"/>
            </w:tcBorders>
            <w:shd w:val="clear" w:color="000000" w:fill="000000"/>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 </w:t>
            </w:r>
          </w:p>
        </w:tc>
      </w:tr>
      <w:tr w:rsidR="00964018" w:rsidRPr="00964018" w:rsidTr="00964018">
        <w:trPr>
          <w:gridAfter w:val="8"/>
          <w:wAfter w:w="6674" w:type="dxa"/>
          <w:trHeight w:val="300"/>
        </w:trPr>
        <w:tc>
          <w:tcPr>
            <w:tcW w:w="3984" w:type="dxa"/>
            <w:gridSpan w:val="2"/>
            <w:tcBorders>
              <w:top w:val="nil"/>
              <w:left w:val="single" w:sz="4" w:space="0" w:color="000000"/>
              <w:bottom w:val="nil"/>
              <w:right w:val="single" w:sz="4" w:space="0" w:color="auto"/>
            </w:tcBorders>
            <w:shd w:val="clear" w:color="000000" w:fill="D9D9D9"/>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t>School of Law</w:t>
            </w:r>
          </w:p>
        </w:tc>
        <w:tc>
          <w:tcPr>
            <w:tcW w:w="1653" w:type="dxa"/>
            <w:tcBorders>
              <w:top w:val="single" w:sz="4" w:space="0" w:color="auto"/>
              <w:left w:val="nil"/>
              <w:bottom w:val="single" w:sz="4" w:space="0" w:color="auto"/>
              <w:right w:val="single" w:sz="4" w:space="0" w:color="auto"/>
            </w:tcBorders>
            <w:shd w:val="clear" w:color="auto" w:fill="FFFFFF" w:themeFill="background1"/>
            <w:noWrap/>
            <w:vAlign w:val="bottom"/>
          </w:tcPr>
          <w:p w:rsidR="00964018" w:rsidRPr="00964018" w:rsidRDefault="00964018" w:rsidP="00964018">
            <w:pPr>
              <w:spacing w:after="0" w:line="240" w:lineRule="auto"/>
              <w:jc w:val="center"/>
              <w:rPr>
                <w:rFonts w:eastAsia="Times New Roman" w:cs="Times New Roman"/>
                <w:sz w:val="20"/>
                <w:szCs w:val="20"/>
                <w:lang w:eastAsia="en-GB"/>
              </w:rPr>
            </w:pPr>
            <w:r w:rsidRPr="00964018">
              <w:rPr>
                <w:rFonts w:eastAsia="Times New Roman" w:cs="Times New Roman"/>
                <w:sz w:val="20"/>
                <w:szCs w:val="20"/>
                <w:lang w:eastAsia="en-GB"/>
              </w:rPr>
              <w:t>75.1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75</w:t>
            </w:r>
          </w:p>
        </w:tc>
        <w:tc>
          <w:tcPr>
            <w:tcW w:w="85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76</w:t>
            </w:r>
          </w:p>
        </w:tc>
        <w:tc>
          <w:tcPr>
            <w:tcW w:w="85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77</w:t>
            </w:r>
          </w:p>
        </w:tc>
        <w:tc>
          <w:tcPr>
            <w:tcW w:w="85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80</w:t>
            </w:r>
          </w:p>
        </w:tc>
      </w:tr>
      <w:tr w:rsidR="00964018" w:rsidRPr="00964018" w:rsidTr="00964018">
        <w:trPr>
          <w:gridAfter w:val="8"/>
          <w:wAfter w:w="6674" w:type="dxa"/>
          <w:trHeight w:val="315"/>
        </w:trPr>
        <w:tc>
          <w:tcPr>
            <w:tcW w:w="3984" w:type="dxa"/>
            <w:gridSpan w:val="2"/>
            <w:tcBorders>
              <w:top w:val="nil"/>
              <w:left w:val="single" w:sz="4" w:space="0" w:color="000000"/>
              <w:bottom w:val="nil"/>
              <w:right w:val="single" w:sz="4" w:space="0" w:color="auto"/>
            </w:tcBorders>
            <w:shd w:val="clear" w:color="000000" w:fill="FFFFFF"/>
            <w:noWrap/>
            <w:vAlign w:val="bottom"/>
            <w:hideMark/>
          </w:tcPr>
          <w:p w:rsidR="00964018" w:rsidRPr="00964018" w:rsidRDefault="00964018" w:rsidP="00964018">
            <w:pPr>
              <w:spacing w:after="0" w:line="240" w:lineRule="auto"/>
              <w:rPr>
                <w:rFonts w:ascii="Arial" w:eastAsia="Times New Roman" w:hAnsi="Arial"/>
                <w:color w:val="000000"/>
                <w:sz w:val="20"/>
                <w:szCs w:val="20"/>
                <w:lang w:eastAsia="en-GB"/>
              </w:rPr>
            </w:pPr>
            <w:r w:rsidRPr="00964018">
              <w:rPr>
                <w:rFonts w:ascii="Arial" w:eastAsia="Times New Roman" w:hAnsi="Arial"/>
                <w:color w:val="000000"/>
                <w:sz w:val="20"/>
                <w:szCs w:val="20"/>
                <w:lang w:eastAsia="en-GB"/>
              </w:rPr>
              <w:t>School of Social Sciences</w:t>
            </w:r>
          </w:p>
        </w:tc>
        <w:tc>
          <w:tcPr>
            <w:tcW w:w="1653" w:type="dxa"/>
            <w:tcBorders>
              <w:top w:val="single" w:sz="4" w:space="0" w:color="auto"/>
              <w:left w:val="nil"/>
              <w:bottom w:val="single" w:sz="4" w:space="0" w:color="auto"/>
              <w:right w:val="single" w:sz="4" w:space="0" w:color="auto"/>
            </w:tcBorders>
            <w:shd w:val="clear" w:color="auto" w:fill="FFFFFF" w:themeFill="background1"/>
            <w:noWrap/>
            <w:vAlign w:val="bottom"/>
          </w:tcPr>
          <w:p w:rsidR="00964018" w:rsidRPr="00964018" w:rsidRDefault="00964018" w:rsidP="00964018">
            <w:pPr>
              <w:spacing w:after="0" w:line="240" w:lineRule="auto"/>
              <w:jc w:val="center"/>
              <w:rPr>
                <w:rFonts w:eastAsia="Times New Roman" w:cs="Times New Roman"/>
                <w:sz w:val="20"/>
                <w:szCs w:val="20"/>
                <w:lang w:eastAsia="en-GB"/>
              </w:rPr>
            </w:pPr>
            <w:r w:rsidRPr="00964018">
              <w:rPr>
                <w:rFonts w:eastAsia="Times New Roman" w:cs="Times New Roman"/>
                <w:sz w:val="20"/>
                <w:szCs w:val="20"/>
                <w:lang w:eastAsia="en-GB"/>
              </w:rPr>
              <w:t>63.2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71</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72</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73</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64018" w:rsidRPr="00964018" w:rsidRDefault="00964018" w:rsidP="00964018">
            <w:pPr>
              <w:spacing w:after="0" w:line="240" w:lineRule="auto"/>
              <w:jc w:val="center"/>
              <w:rPr>
                <w:rFonts w:eastAsia="Times New Roman" w:cs="Times New Roman"/>
                <w:i/>
                <w:iCs/>
                <w:sz w:val="20"/>
                <w:szCs w:val="20"/>
                <w:lang w:eastAsia="en-GB"/>
              </w:rPr>
            </w:pPr>
            <w:r w:rsidRPr="00964018">
              <w:rPr>
                <w:rFonts w:eastAsia="Times New Roman" w:cs="Times New Roman"/>
                <w:i/>
                <w:iCs/>
                <w:sz w:val="20"/>
                <w:szCs w:val="20"/>
                <w:lang w:eastAsia="en-GB"/>
              </w:rPr>
              <w:t>85</w:t>
            </w:r>
          </w:p>
        </w:tc>
      </w:tr>
      <w:tr w:rsidR="00964018" w:rsidRPr="00964018" w:rsidTr="00964018">
        <w:trPr>
          <w:gridAfter w:val="8"/>
          <w:wAfter w:w="6674" w:type="dxa"/>
          <w:trHeight w:val="315"/>
        </w:trPr>
        <w:tc>
          <w:tcPr>
            <w:tcW w:w="3984" w:type="dxa"/>
            <w:gridSpan w:val="2"/>
            <w:tcBorders>
              <w:top w:val="single" w:sz="4" w:space="0" w:color="000000"/>
              <w:left w:val="single" w:sz="4" w:space="0" w:color="000000"/>
              <w:bottom w:val="nil"/>
              <w:right w:val="single" w:sz="4" w:space="0" w:color="auto"/>
            </w:tcBorders>
            <w:shd w:val="clear" w:color="auto" w:fill="auto"/>
            <w:noWrap/>
            <w:vAlign w:val="bottom"/>
            <w:hideMark/>
          </w:tcPr>
          <w:p w:rsidR="00964018" w:rsidRPr="00964018" w:rsidRDefault="00964018" w:rsidP="00964018">
            <w:pPr>
              <w:spacing w:after="0" w:line="240" w:lineRule="auto"/>
              <w:jc w:val="right"/>
              <w:rPr>
                <w:rFonts w:ascii="Arial" w:eastAsia="Times New Roman" w:hAnsi="Arial"/>
                <w:b/>
                <w:bCs/>
                <w:color w:val="000000"/>
                <w:sz w:val="20"/>
                <w:szCs w:val="20"/>
                <w:lang w:eastAsia="en-GB"/>
              </w:rPr>
            </w:pPr>
            <w:r w:rsidRPr="00964018">
              <w:rPr>
                <w:rFonts w:ascii="Arial" w:eastAsia="Times New Roman" w:hAnsi="Arial"/>
                <w:b/>
                <w:bCs/>
                <w:color w:val="000000"/>
                <w:sz w:val="20"/>
                <w:szCs w:val="20"/>
                <w:lang w:eastAsia="en-GB"/>
              </w:rPr>
              <w:t>Humanities Total</w:t>
            </w:r>
          </w:p>
        </w:tc>
        <w:tc>
          <w:tcPr>
            <w:tcW w:w="1653" w:type="dxa"/>
            <w:tcBorders>
              <w:top w:val="single" w:sz="4" w:space="0" w:color="auto"/>
              <w:left w:val="nil"/>
              <w:bottom w:val="single" w:sz="4" w:space="0" w:color="auto"/>
              <w:right w:val="single" w:sz="4" w:space="0" w:color="auto"/>
            </w:tcBorders>
            <w:shd w:val="clear" w:color="auto" w:fill="FFFFFF" w:themeFill="background1"/>
            <w:noWrap/>
            <w:vAlign w:val="bottom"/>
          </w:tcPr>
          <w:p w:rsidR="00964018" w:rsidRPr="00964018" w:rsidRDefault="00964018" w:rsidP="00FB573E">
            <w:pPr>
              <w:spacing w:after="0" w:line="240" w:lineRule="auto"/>
              <w:jc w:val="center"/>
              <w:rPr>
                <w:rFonts w:eastAsia="Times New Roman" w:cs="Times New Roman"/>
                <w:b/>
                <w:bCs/>
                <w:sz w:val="20"/>
                <w:szCs w:val="20"/>
                <w:lang w:eastAsia="en-GB"/>
              </w:rPr>
            </w:pPr>
            <w:r w:rsidRPr="001B07A7">
              <w:rPr>
                <w:rFonts w:eastAsia="Times New Roman" w:cs="Times New Roman"/>
                <w:b/>
                <w:bCs/>
                <w:color w:val="FF0000"/>
                <w:sz w:val="20"/>
                <w:szCs w:val="20"/>
                <w:lang w:eastAsia="en-GB"/>
              </w:rPr>
              <w:t>63.</w:t>
            </w:r>
            <w:r w:rsidR="00FB573E" w:rsidRPr="001B07A7">
              <w:rPr>
                <w:rFonts w:eastAsia="Times New Roman" w:cs="Times New Roman"/>
                <w:b/>
                <w:bCs/>
                <w:color w:val="FF0000"/>
                <w:sz w:val="20"/>
                <w:szCs w:val="20"/>
                <w:lang w:eastAsia="en-GB"/>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4018" w:rsidRPr="00964018" w:rsidRDefault="00964018" w:rsidP="00964018">
            <w:pPr>
              <w:spacing w:after="0" w:line="240" w:lineRule="auto"/>
              <w:jc w:val="center"/>
              <w:rPr>
                <w:rFonts w:eastAsia="Times New Roman" w:cs="Times New Roman"/>
                <w:b/>
                <w:bCs/>
                <w:i/>
                <w:iCs/>
                <w:color w:val="000000"/>
                <w:sz w:val="20"/>
                <w:szCs w:val="20"/>
                <w:lang w:eastAsia="en-GB"/>
              </w:rPr>
            </w:pPr>
            <w:r w:rsidRPr="00964018">
              <w:rPr>
                <w:rFonts w:eastAsia="Times New Roman" w:cs="Times New Roman"/>
                <w:b/>
                <w:bCs/>
                <w:i/>
                <w:iCs/>
                <w:color w:val="000000"/>
                <w:sz w:val="20"/>
                <w:szCs w:val="20"/>
                <w:lang w:eastAsia="en-GB"/>
              </w:rPr>
              <w:t>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4018" w:rsidRPr="00964018" w:rsidRDefault="00964018" w:rsidP="00964018">
            <w:pPr>
              <w:spacing w:after="0" w:line="240" w:lineRule="auto"/>
              <w:jc w:val="center"/>
              <w:rPr>
                <w:rFonts w:eastAsia="Times New Roman" w:cs="Times New Roman"/>
                <w:b/>
                <w:bCs/>
                <w:i/>
                <w:iCs/>
                <w:color w:val="000000"/>
                <w:sz w:val="20"/>
                <w:szCs w:val="20"/>
                <w:lang w:eastAsia="en-GB"/>
              </w:rPr>
            </w:pPr>
            <w:r w:rsidRPr="00964018">
              <w:rPr>
                <w:rFonts w:eastAsia="Times New Roman" w:cs="Times New Roman"/>
                <w:b/>
                <w:bCs/>
                <w:i/>
                <w:iCs/>
                <w:color w:val="000000"/>
                <w:sz w:val="20"/>
                <w:szCs w:val="20"/>
                <w:lang w:eastAsia="en-GB"/>
              </w:rPr>
              <w:t>69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4018" w:rsidRPr="00964018" w:rsidRDefault="00964018" w:rsidP="00964018">
            <w:pPr>
              <w:spacing w:after="0" w:line="240" w:lineRule="auto"/>
              <w:jc w:val="center"/>
              <w:rPr>
                <w:rFonts w:eastAsia="Times New Roman" w:cs="Times New Roman"/>
                <w:b/>
                <w:bCs/>
                <w:i/>
                <w:iCs/>
                <w:color w:val="000000"/>
                <w:sz w:val="20"/>
                <w:szCs w:val="20"/>
                <w:lang w:eastAsia="en-GB"/>
              </w:rPr>
            </w:pPr>
            <w:r w:rsidRPr="00964018">
              <w:rPr>
                <w:rFonts w:eastAsia="Times New Roman" w:cs="Times New Roman"/>
                <w:b/>
                <w:bCs/>
                <w:i/>
                <w:iCs/>
                <w:color w:val="000000"/>
                <w:sz w:val="20"/>
                <w:szCs w:val="20"/>
                <w:lang w:eastAsia="en-GB"/>
              </w:rPr>
              <w:t>72</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64018" w:rsidRPr="00964018" w:rsidRDefault="00964018" w:rsidP="00964018">
            <w:pPr>
              <w:spacing w:after="0" w:line="240" w:lineRule="auto"/>
              <w:jc w:val="center"/>
              <w:rPr>
                <w:rFonts w:eastAsia="Times New Roman" w:cs="Times New Roman"/>
                <w:b/>
                <w:bCs/>
                <w:i/>
                <w:iCs/>
                <w:color w:val="000000"/>
                <w:sz w:val="20"/>
                <w:szCs w:val="20"/>
                <w:lang w:eastAsia="en-GB"/>
              </w:rPr>
            </w:pPr>
            <w:r w:rsidRPr="00964018">
              <w:rPr>
                <w:rFonts w:eastAsia="Times New Roman" w:cs="Times New Roman"/>
                <w:b/>
                <w:bCs/>
                <w:i/>
                <w:iCs/>
                <w:color w:val="000000"/>
                <w:sz w:val="20"/>
                <w:szCs w:val="20"/>
                <w:lang w:eastAsia="en-GB"/>
              </w:rPr>
              <w:t>78</w:t>
            </w:r>
          </w:p>
        </w:tc>
      </w:tr>
      <w:tr w:rsidR="00964018" w:rsidRPr="00964018" w:rsidTr="00964018">
        <w:trPr>
          <w:gridAfter w:val="8"/>
          <w:wAfter w:w="6674" w:type="dxa"/>
          <w:trHeight w:val="30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right"/>
              <w:rPr>
                <w:rFonts w:ascii="Arial" w:eastAsia="Times New Roman" w:hAnsi="Arial"/>
                <w:b/>
                <w:bCs/>
                <w:color w:val="000000"/>
                <w:sz w:val="20"/>
                <w:szCs w:val="20"/>
                <w:lang w:eastAsia="en-GB"/>
              </w:rPr>
            </w:pPr>
            <w:r w:rsidRPr="00964018">
              <w:rPr>
                <w:rFonts w:ascii="Arial" w:eastAsia="Times New Roman" w:hAnsi="Arial"/>
                <w:b/>
                <w:bCs/>
                <w:color w:val="000000"/>
                <w:sz w:val="20"/>
                <w:szCs w:val="20"/>
                <w:lang w:eastAsia="en-GB"/>
              </w:rPr>
              <w:t>2020 Target</w:t>
            </w:r>
          </w:p>
        </w:tc>
        <w:tc>
          <w:tcPr>
            <w:tcW w:w="1653" w:type="dxa"/>
            <w:tcBorders>
              <w:top w:val="single" w:sz="4" w:space="0" w:color="auto"/>
              <w:left w:val="nil"/>
              <w:bottom w:val="single" w:sz="4" w:space="0" w:color="auto"/>
              <w:right w:val="single" w:sz="4" w:space="0" w:color="auto"/>
            </w:tcBorders>
            <w:shd w:val="clear" w:color="auto" w:fill="FFFFFF" w:themeFill="background1"/>
            <w:noWrap/>
            <w:vAlign w:val="bottom"/>
          </w:tcPr>
          <w:p w:rsidR="00964018" w:rsidRPr="00964018" w:rsidRDefault="00964018" w:rsidP="00964018">
            <w:pPr>
              <w:spacing w:after="0" w:line="240" w:lineRule="auto"/>
              <w:jc w:val="center"/>
              <w:rPr>
                <w:rFonts w:eastAsia="Times New Roman" w:cs="Times New Roman"/>
                <w:b/>
                <w:bCs/>
                <w:sz w:val="20"/>
                <w:szCs w:val="20"/>
                <w:lang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b/>
                <w:bCs/>
                <w:i/>
                <w:iCs/>
                <w:sz w:val="20"/>
                <w:szCs w:val="20"/>
                <w:lang w:eastAsia="en-GB"/>
              </w:rPr>
            </w:pPr>
            <w:r w:rsidRPr="00964018">
              <w:rPr>
                <w:rFonts w:eastAsia="Times New Roman" w:cs="Times New Roman"/>
                <w:b/>
                <w:bCs/>
                <w:i/>
                <w:iCs/>
                <w:sz w:val="20"/>
                <w:szCs w:val="20"/>
                <w:lang w:eastAsia="en-GB"/>
              </w:rPr>
              <w:t> </w:t>
            </w:r>
          </w:p>
        </w:tc>
        <w:tc>
          <w:tcPr>
            <w:tcW w:w="851" w:type="dxa"/>
            <w:gridSpan w:val="2"/>
            <w:tcBorders>
              <w:top w:val="single" w:sz="4" w:space="0" w:color="auto"/>
              <w:left w:val="nil"/>
              <w:bottom w:val="single" w:sz="4" w:space="0" w:color="auto"/>
              <w:right w:val="nil"/>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b/>
                <w:bCs/>
                <w:i/>
                <w:iCs/>
                <w:sz w:val="20"/>
                <w:szCs w:val="20"/>
                <w:lang w:eastAsia="en-GB"/>
              </w:rPr>
            </w:pPr>
            <w:r w:rsidRPr="00964018">
              <w:rPr>
                <w:rFonts w:eastAsia="Times New Roman" w:cs="Times New Roman"/>
                <w:b/>
                <w:bCs/>
                <w:i/>
                <w:iCs/>
                <w:sz w:val="20"/>
                <w:szCs w:val="20"/>
                <w:lang w:eastAsia="en-GB"/>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b/>
                <w:bCs/>
                <w:i/>
                <w:iCs/>
                <w:sz w:val="20"/>
                <w:szCs w:val="20"/>
                <w:lang w:eastAsia="en-GB"/>
              </w:rPr>
            </w:pPr>
            <w:r w:rsidRPr="00964018">
              <w:rPr>
                <w:rFonts w:eastAsia="Times New Roman" w:cs="Times New Roman"/>
                <w:b/>
                <w:bCs/>
                <w:i/>
                <w:iCs/>
                <w:sz w:val="20"/>
                <w:szCs w:val="20"/>
                <w:lang w:eastAsia="en-GB"/>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4018" w:rsidRPr="00964018" w:rsidRDefault="00964018" w:rsidP="00964018">
            <w:pPr>
              <w:spacing w:after="0" w:line="240" w:lineRule="auto"/>
              <w:jc w:val="center"/>
              <w:rPr>
                <w:rFonts w:eastAsia="Times New Roman" w:cs="Times New Roman"/>
                <w:b/>
                <w:bCs/>
                <w:i/>
                <w:iCs/>
                <w:sz w:val="20"/>
                <w:szCs w:val="20"/>
                <w:lang w:eastAsia="en-GB"/>
              </w:rPr>
            </w:pPr>
            <w:r w:rsidRPr="00964018">
              <w:rPr>
                <w:rFonts w:eastAsia="Times New Roman" w:cs="Times New Roman"/>
                <w:b/>
                <w:bCs/>
                <w:i/>
                <w:iCs/>
                <w:sz w:val="20"/>
                <w:szCs w:val="20"/>
                <w:lang w:eastAsia="en-GB"/>
              </w:rPr>
              <w:t>85.0</w:t>
            </w:r>
          </w:p>
        </w:tc>
      </w:tr>
      <w:tr w:rsidR="00964018" w:rsidRPr="00964018" w:rsidTr="003C5F97">
        <w:trPr>
          <w:gridBefore w:val="1"/>
          <w:wBefore w:w="93" w:type="dxa"/>
          <w:trHeight w:val="300"/>
        </w:trPr>
        <w:tc>
          <w:tcPr>
            <w:tcW w:w="5980" w:type="dxa"/>
            <w:gridSpan w:val="3"/>
            <w:tcBorders>
              <w:top w:val="nil"/>
              <w:left w:val="nil"/>
              <w:bottom w:val="nil"/>
              <w:right w:val="nil"/>
            </w:tcBorders>
            <w:shd w:val="clear" w:color="auto" w:fill="auto"/>
            <w:noWrap/>
            <w:vAlign w:val="bottom"/>
          </w:tcPr>
          <w:p w:rsidR="003C5F97" w:rsidRPr="00964018" w:rsidRDefault="003C5F97" w:rsidP="003C5F97">
            <w:pPr>
              <w:spacing w:after="0" w:line="240" w:lineRule="auto"/>
              <w:rPr>
                <w:rFonts w:eastAsia="Times New Roman" w:cs="Times New Roman"/>
                <w:b/>
                <w:bCs/>
                <w:sz w:val="20"/>
                <w:szCs w:val="20"/>
                <w:lang w:eastAsia="en-GB"/>
              </w:rPr>
            </w:pPr>
          </w:p>
        </w:tc>
        <w:tc>
          <w:tcPr>
            <w:tcW w:w="940" w:type="dxa"/>
            <w:gridSpan w:val="2"/>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960" w:type="dxa"/>
            <w:gridSpan w:val="2"/>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900" w:type="dxa"/>
            <w:gridSpan w:val="2"/>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960" w:type="dxa"/>
            <w:gridSpan w:val="2"/>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340" w:type="dxa"/>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960" w:type="dxa"/>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960" w:type="dxa"/>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960" w:type="dxa"/>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1040" w:type="dxa"/>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ascii="Arial" w:eastAsia="Times New Roman" w:hAnsi="Arial"/>
                <w:sz w:val="20"/>
                <w:szCs w:val="20"/>
                <w:lang w:eastAsia="en-GB"/>
              </w:rPr>
            </w:pPr>
          </w:p>
        </w:tc>
        <w:tc>
          <w:tcPr>
            <w:tcW w:w="300" w:type="dxa"/>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eastAsia="Times New Roman" w:cs="Times New Roman"/>
                <w:color w:val="000000"/>
                <w:lang w:eastAsia="en-GB"/>
              </w:rPr>
            </w:pPr>
          </w:p>
        </w:tc>
        <w:tc>
          <w:tcPr>
            <w:tcW w:w="1320" w:type="dxa"/>
            <w:tcBorders>
              <w:top w:val="nil"/>
              <w:left w:val="nil"/>
              <w:bottom w:val="nil"/>
              <w:right w:val="nil"/>
            </w:tcBorders>
            <w:shd w:val="clear" w:color="auto" w:fill="auto"/>
            <w:noWrap/>
            <w:vAlign w:val="bottom"/>
          </w:tcPr>
          <w:p w:rsidR="00964018" w:rsidRPr="00964018" w:rsidRDefault="00964018" w:rsidP="00964018">
            <w:pPr>
              <w:spacing w:after="0" w:line="240" w:lineRule="auto"/>
              <w:rPr>
                <w:rFonts w:eastAsia="Times New Roman" w:cs="Times New Roman"/>
                <w:color w:val="000000"/>
                <w:sz w:val="20"/>
                <w:szCs w:val="20"/>
                <w:lang w:eastAsia="en-GB"/>
              </w:rPr>
            </w:pPr>
          </w:p>
        </w:tc>
      </w:tr>
    </w:tbl>
    <w:p w:rsidR="003C5F97" w:rsidRPr="003C5F97" w:rsidRDefault="003C5F97" w:rsidP="003C5F97">
      <w:pPr>
        <w:spacing w:after="0" w:line="240" w:lineRule="auto"/>
        <w:rPr>
          <w:rFonts w:eastAsia="Times New Roman" w:cs="Times New Roman"/>
          <w:color w:val="000000"/>
          <w:sz w:val="18"/>
          <w:szCs w:val="18"/>
          <w:lang w:eastAsia="en-GB"/>
        </w:rPr>
      </w:pPr>
      <w:r w:rsidRPr="003C5F97">
        <w:rPr>
          <w:rFonts w:eastAsia="Times New Roman" w:cs="Times New Roman"/>
          <w:b/>
          <w:bCs/>
          <w:sz w:val="18"/>
          <w:szCs w:val="18"/>
          <w:lang w:eastAsia="en-GB"/>
        </w:rPr>
        <w:t xml:space="preserve">UK, Full Time, First Degree respondents only. </w:t>
      </w:r>
      <w:r w:rsidRPr="003C5F97">
        <w:rPr>
          <w:rFonts w:eastAsia="Times New Roman" w:cs="Times New Roman"/>
          <w:color w:val="000000"/>
          <w:sz w:val="18"/>
          <w:szCs w:val="18"/>
          <w:lang w:eastAsia="en-GB"/>
        </w:rPr>
        <w:t>SOC 1-3 + graduate level further study methodology</w:t>
      </w:r>
    </w:p>
    <w:p w:rsidR="003C5F97" w:rsidRDefault="003C5F97" w:rsidP="00964018">
      <w:pPr>
        <w:spacing w:after="0"/>
        <w:jc w:val="both"/>
        <w:rPr>
          <w:rFonts w:ascii="Arial" w:hAnsi="Arial"/>
          <w:i/>
          <w:iCs/>
        </w:rPr>
      </w:pPr>
      <w:r w:rsidRPr="003C5F97">
        <w:rPr>
          <w:sz w:val="18"/>
          <w:szCs w:val="18"/>
        </w:rPr>
        <w:t>Figures updated Oct 2013 following confirmation from the Times about the model they’ll be using for the 11-12 data</w:t>
      </w:r>
      <w:r w:rsidR="001B07A7">
        <w:rPr>
          <w:sz w:val="18"/>
          <w:szCs w:val="18"/>
        </w:rPr>
        <w:t xml:space="preserve"> (in red)</w:t>
      </w:r>
      <w:r>
        <w:t>.</w:t>
      </w:r>
    </w:p>
    <w:p w:rsidR="003C5F97" w:rsidRPr="00964018" w:rsidRDefault="003C5F97" w:rsidP="00964018">
      <w:pPr>
        <w:spacing w:after="0"/>
        <w:jc w:val="both"/>
        <w:rPr>
          <w:rFonts w:ascii="Arial" w:hAnsi="Arial"/>
          <w:i/>
          <w:iCs/>
        </w:rPr>
      </w:pPr>
    </w:p>
    <w:p w:rsidR="00964018" w:rsidRPr="00964018" w:rsidRDefault="00964018" w:rsidP="00964018">
      <w:pPr>
        <w:spacing w:after="0"/>
        <w:jc w:val="both"/>
        <w:rPr>
          <w:rFonts w:ascii="Arial" w:hAnsi="Arial"/>
        </w:rPr>
      </w:pPr>
      <w:r w:rsidRPr="00964018">
        <w:rPr>
          <w:rFonts w:ascii="Arial" w:hAnsi="Arial"/>
        </w:rPr>
        <w:t>Data collected in 2011/12 is published in 2012/13.</w:t>
      </w:r>
    </w:p>
    <w:p w:rsidR="00964018" w:rsidRPr="00964018" w:rsidRDefault="00964018" w:rsidP="00964018">
      <w:pPr>
        <w:spacing w:after="0"/>
        <w:jc w:val="both"/>
        <w:rPr>
          <w:rFonts w:ascii="Arial" w:hAnsi="Arial"/>
        </w:rPr>
      </w:pPr>
    </w:p>
    <w:p w:rsidR="00964018" w:rsidRPr="00964018" w:rsidRDefault="00964018" w:rsidP="00964018">
      <w:pPr>
        <w:spacing w:after="0"/>
        <w:jc w:val="both"/>
        <w:rPr>
          <w:rFonts w:ascii="Arial" w:hAnsi="Arial"/>
        </w:rPr>
      </w:pPr>
      <w:r w:rsidRPr="00964018">
        <w:rPr>
          <w:rFonts w:ascii="Arial" w:hAnsi="Arial"/>
        </w:rPr>
        <w:t>S</w:t>
      </w:r>
      <w:r>
        <w:rPr>
          <w:rFonts w:ascii="Arial" w:hAnsi="Arial"/>
        </w:rPr>
        <w:t>chool-</w:t>
      </w:r>
      <w:r w:rsidRPr="00964018">
        <w:rPr>
          <w:rFonts w:ascii="Arial" w:hAnsi="Arial"/>
        </w:rPr>
        <w:t xml:space="preserve">level data is created by the Planning Support Office </w:t>
      </w:r>
      <w:r>
        <w:rPr>
          <w:rFonts w:ascii="Arial" w:hAnsi="Arial"/>
        </w:rPr>
        <w:t>the Faculty is required to comment on it</w:t>
      </w:r>
      <w:r w:rsidRPr="00964018">
        <w:rPr>
          <w:rFonts w:ascii="Arial" w:hAnsi="Arial"/>
        </w:rPr>
        <w:t xml:space="preserve"> as part of the Annual Performance Review (APR). It is distributed to Schools by the Faculty Teaching and Learning Office. </w:t>
      </w:r>
      <w:r>
        <w:rPr>
          <w:rFonts w:ascii="Arial" w:hAnsi="Arial"/>
        </w:rPr>
        <w:t xml:space="preserve">The APR is distributed to Schools in October each year. </w:t>
      </w:r>
    </w:p>
    <w:p w:rsidR="00964018" w:rsidRPr="00964018" w:rsidRDefault="00964018" w:rsidP="00964018">
      <w:pPr>
        <w:spacing w:after="0"/>
        <w:jc w:val="both"/>
        <w:rPr>
          <w:rFonts w:ascii="Arial" w:hAnsi="Arial"/>
        </w:rPr>
      </w:pPr>
    </w:p>
    <w:p w:rsidR="00DB2C7A" w:rsidRDefault="00DB2C7A" w:rsidP="00DB2C7A">
      <w:pPr>
        <w:spacing w:after="0"/>
        <w:jc w:val="both"/>
        <w:rPr>
          <w:rFonts w:ascii="Arial" w:hAnsi="Arial"/>
          <w:b/>
        </w:rPr>
      </w:pPr>
      <w:r w:rsidRPr="00975848">
        <w:rPr>
          <w:rFonts w:ascii="Arial" w:hAnsi="Arial"/>
          <w:b/>
        </w:rPr>
        <w:t>Collecting DLHE data</w:t>
      </w:r>
    </w:p>
    <w:p w:rsidR="00DB2C7A" w:rsidRPr="00975848" w:rsidRDefault="00DB2C7A" w:rsidP="00DB2C7A">
      <w:pPr>
        <w:spacing w:after="0"/>
        <w:jc w:val="both"/>
        <w:rPr>
          <w:rFonts w:ascii="Arial" w:hAnsi="Arial"/>
          <w:b/>
        </w:rPr>
      </w:pPr>
    </w:p>
    <w:p w:rsidR="00DB2C7A" w:rsidRDefault="00DB2C7A" w:rsidP="00DB2C7A">
      <w:pPr>
        <w:spacing w:after="0"/>
        <w:jc w:val="both"/>
        <w:rPr>
          <w:rFonts w:ascii="Arial" w:hAnsi="Arial"/>
        </w:rPr>
      </w:pPr>
      <w:r>
        <w:rPr>
          <w:rFonts w:ascii="Arial" w:hAnsi="Arial"/>
        </w:rPr>
        <w:t>The Careers and Employability Division (CED) has a web page which summarises how the data is collected and why. See below:</w:t>
      </w:r>
    </w:p>
    <w:p w:rsidR="00DB2C7A" w:rsidRDefault="00494EF7" w:rsidP="00DB2C7A">
      <w:pPr>
        <w:spacing w:after="0"/>
        <w:jc w:val="both"/>
        <w:rPr>
          <w:rFonts w:ascii="Arial" w:hAnsi="Arial"/>
        </w:rPr>
      </w:pPr>
      <w:hyperlink r:id="rId11" w:history="1">
        <w:r w:rsidR="00DB2C7A" w:rsidRPr="00BB78AC">
          <w:rPr>
            <w:rStyle w:val="Hyperlink"/>
            <w:rFonts w:ascii="Arial" w:hAnsi="Arial"/>
          </w:rPr>
          <w:t>http://www.careers.manchester.ac.uk/staff/employmenttrends/dlhe/</w:t>
        </w:r>
      </w:hyperlink>
    </w:p>
    <w:p w:rsidR="00DB2C7A" w:rsidRDefault="00DB2C7A" w:rsidP="00DB2C7A">
      <w:pPr>
        <w:spacing w:after="0"/>
        <w:jc w:val="both"/>
        <w:rPr>
          <w:rFonts w:ascii="Arial" w:hAnsi="Arial"/>
          <w:lang w:val="en"/>
        </w:rPr>
      </w:pPr>
      <w:r w:rsidRPr="00F72230">
        <w:rPr>
          <w:rFonts w:ascii="Arial" w:hAnsi="Arial"/>
          <w:lang w:val="en"/>
        </w:rPr>
        <w:t>This survey has been designed by the Higher Education Statistics Agency (HESA), which is the official agency for the collection, analysis and dissemination of quantitative information about higher education in the UK. Each institution i</w:t>
      </w:r>
      <w:r>
        <w:rPr>
          <w:rFonts w:ascii="Arial" w:hAnsi="Arial"/>
          <w:lang w:val="en"/>
        </w:rPr>
        <w:t>s required to achieve response rates as follows:</w:t>
      </w:r>
    </w:p>
    <w:p w:rsidR="00DB2C7A" w:rsidRPr="00D43A29" w:rsidRDefault="00DB2C7A" w:rsidP="00DB2C7A">
      <w:pPr>
        <w:pStyle w:val="NoSpacing"/>
        <w:rPr>
          <w:rFonts w:ascii="Arial" w:hAnsi="Arial"/>
        </w:rPr>
      </w:pPr>
    </w:p>
    <w:p w:rsidR="00DB2C7A" w:rsidRPr="00D43A29" w:rsidRDefault="00DB2C7A" w:rsidP="00DB2C7A">
      <w:pPr>
        <w:pStyle w:val="NoSpacing"/>
        <w:rPr>
          <w:rFonts w:ascii="Arial" w:hAnsi="Arial"/>
        </w:rPr>
      </w:pPr>
      <w:r w:rsidRPr="00D43A29">
        <w:rPr>
          <w:rFonts w:ascii="Arial" w:hAnsi="Arial"/>
        </w:rPr>
        <w:t>80% UK Full time</w:t>
      </w:r>
    </w:p>
    <w:p w:rsidR="00DB2C7A" w:rsidRPr="00D43A29" w:rsidRDefault="00DB2C7A" w:rsidP="00DB2C7A">
      <w:pPr>
        <w:pStyle w:val="NoSpacing"/>
        <w:rPr>
          <w:rFonts w:ascii="Arial" w:hAnsi="Arial"/>
        </w:rPr>
      </w:pPr>
      <w:r w:rsidRPr="00D43A29">
        <w:rPr>
          <w:rFonts w:ascii="Arial" w:hAnsi="Arial"/>
        </w:rPr>
        <w:t>70% UK Part time</w:t>
      </w:r>
    </w:p>
    <w:p w:rsidR="00DB2C7A" w:rsidRPr="00D43A29" w:rsidRDefault="00DB2C7A" w:rsidP="00DB2C7A">
      <w:pPr>
        <w:pStyle w:val="NoSpacing"/>
        <w:rPr>
          <w:rFonts w:ascii="Arial" w:hAnsi="Arial"/>
        </w:rPr>
      </w:pPr>
      <w:r w:rsidRPr="00D43A29">
        <w:rPr>
          <w:rFonts w:ascii="Arial" w:hAnsi="Arial"/>
        </w:rPr>
        <w:t>50% EU Full time</w:t>
      </w:r>
    </w:p>
    <w:p w:rsidR="00DB2C7A" w:rsidRPr="00D43A29" w:rsidRDefault="00DB2C7A" w:rsidP="00DB2C7A">
      <w:pPr>
        <w:pStyle w:val="NoSpacing"/>
        <w:rPr>
          <w:rFonts w:ascii="Arial" w:hAnsi="Arial"/>
        </w:rPr>
      </w:pPr>
      <w:r w:rsidRPr="00D43A29">
        <w:rPr>
          <w:rFonts w:ascii="Arial" w:hAnsi="Arial"/>
        </w:rPr>
        <w:t>50% EU Part time</w:t>
      </w:r>
    </w:p>
    <w:p w:rsidR="00DB2C7A" w:rsidRDefault="00DB2C7A" w:rsidP="00DB2C7A">
      <w:pPr>
        <w:pStyle w:val="NoSpacing"/>
        <w:rPr>
          <w:rFonts w:ascii="Arial" w:hAnsi="Arial"/>
          <w:lang w:val="en"/>
        </w:rPr>
      </w:pPr>
      <w:r w:rsidRPr="00D43A29">
        <w:rPr>
          <w:rFonts w:ascii="Arial" w:hAnsi="Arial"/>
        </w:rPr>
        <w:t>80% R</w:t>
      </w:r>
      <w:r>
        <w:rPr>
          <w:rFonts w:ascii="Arial" w:hAnsi="Arial"/>
        </w:rPr>
        <w:t xml:space="preserve">esearch </w:t>
      </w:r>
      <w:r w:rsidRPr="00D43A29">
        <w:rPr>
          <w:rFonts w:ascii="Arial" w:hAnsi="Arial"/>
        </w:rPr>
        <w:t>C</w:t>
      </w:r>
      <w:r>
        <w:rPr>
          <w:rFonts w:ascii="Arial" w:hAnsi="Arial"/>
        </w:rPr>
        <w:t>ouncil</w:t>
      </w:r>
      <w:r w:rsidRPr="00D43A29">
        <w:rPr>
          <w:rFonts w:ascii="Arial" w:hAnsi="Arial"/>
        </w:rPr>
        <w:t xml:space="preserve"> funded</w:t>
      </w:r>
    </w:p>
    <w:p w:rsidR="00DB2C7A" w:rsidRPr="00F72230" w:rsidRDefault="00DB2C7A" w:rsidP="00DB2C7A">
      <w:pPr>
        <w:spacing w:after="0"/>
        <w:jc w:val="both"/>
        <w:rPr>
          <w:rFonts w:ascii="Arial" w:hAnsi="Arial"/>
          <w:lang w:val="en"/>
        </w:rPr>
      </w:pPr>
    </w:p>
    <w:p w:rsidR="00DB2C7A" w:rsidRPr="00BC36FE" w:rsidRDefault="00DB2C7A" w:rsidP="00DB2C7A">
      <w:pPr>
        <w:spacing w:after="0"/>
        <w:jc w:val="both"/>
        <w:rPr>
          <w:rFonts w:ascii="Arial" w:hAnsi="Arial"/>
        </w:rPr>
      </w:pPr>
      <w:proofErr w:type="gramStart"/>
      <w:r w:rsidRPr="00BC36FE">
        <w:rPr>
          <w:rFonts w:ascii="Arial" w:hAnsi="Arial"/>
        </w:rPr>
        <w:t>Shermain James, Information and Research Analyst in CED co-ordinates the collection for the University</w:t>
      </w:r>
      <w:r>
        <w:rPr>
          <w:rFonts w:ascii="Arial" w:hAnsi="Arial"/>
        </w:rPr>
        <w:t xml:space="preserve"> of Manchester</w:t>
      </w:r>
      <w:r w:rsidRPr="00BC36FE">
        <w:rPr>
          <w:rFonts w:ascii="Arial" w:hAnsi="Arial"/>
        </w:rPr>
        <w:t>.</w:t>
      </w:r>
      <w:proofErr w:type="gramEnd"/>
      <w:r w:rsidRPr="00BC36FE">
        <w:rPr>
          <w:rFonts w:ascii="Arial" w:hAnsi="Arial"/>
        </w:rPr>
        <w:t xml:space="preserve"> </w:t>
      </w:r>
    </w:p>
    <w:p w:rsidR="00DB2C7A" w:rsidRDefault="00DB2C7A" w:rsidP="00DB2C7A">
      <w:pPr>
        <w:spacing w:after="0"/>
        <w:jc w:val="both"/>
        <w:rPr>
          <w:rFonts w:ascii="Arial" w:hAnsi="Arial"/>
        </w:rPr>
      </w:pPr>
    </w:p>
    <w:p w:rsidR="00DB2C7A" w:rsidRDefault="00DB2C7A" w:rsidP="00DB2C7A">
      <w:pPr>
        <w:spacing w:after="0"/>
        <w:jc w:val="both"/>
        <w:rPr>
          <w:rFonts w:ascii="Arial" w:hAnsi="Arial"/>
        </w:rPr>
      </w:pPr>
      <w:r>
        <w:rPr>
          <w:rFonts w:ascii="Arial" w:hAnsi="Arial"/>
        </w:rPr>
        <w:t>Data is collected twice a year, in April and January. The data is collected for a particular ‘census date’. Data is collected approximately 6 months after completion.</w:t>
      </w:r>
    </w:p>
    <w:p w:rsidR="00DB2C7A" w:rsidRDefault="00DB2C7A" w:rsidP="00DB2C7A">
      <w:pPr>
        <w:spacing w:after="0"/>
        <w:jc w:val="both"/>
        <w:rPr>
          <w:rFonts w:ascii="Arial" w:hAnsi="Arial"/>
        </w:rPr>
      </w:pPr>
      <w:r>
        <w:rPr>
          <w:rFonts w:ascii="Arial" w:hAnsi="Arial"/>
        </w:rPr>
        <w:t>For example:</w:t>
      </w:r>
    </w:p>
    <w:p w:rsidR="00DB2C7A" w:rsidRPr="00347BAF" w:rsidRDefault="00DB2C7A" w:rsidP="00DB2C7A">
      <w:pPr>
        <w:pStyle w:val="ListParagraph"/>
        <w:numPr>
          <w:ilvl w:val="0"/>
          <w:numId w:val="2"/>
        </w:numPr>
        <w:spacing w:after="0"/>
        <w:jc w:val="both"/>
        <w:rPr>
          <w:rFonts w:ascii="Arial" w:hAnsi="Arial"/>
        </w:rPr>
      </w:pPr>
      <w:r w:rsidRPr="00347BAF">
        <w:rPr>
          <w:rFonts w:ascii="Arial" w:hAnsi="Arial"/>
        </w:rPr>
        <w:t xml:space="preserve">Students completing </w:t>
      </w:r>
      <w:r>
        <w:rPr>
          <w:rFonts w:ascii="Arial" w:hAnsi="Arial"/>
        </w:rPr>
        <w:t>between 1</w:t>
      </w:r>
      <w:r w:rsidRPr="005A48ED">
        <w:rPr>
          <w:rFonts w:ascii="Arial" w:hAnsi="Arial"/>
          <w:vertAlign w:val="superscript"/>
        </w:rPr>
        <w:t>st</w:t>
      </w:r>
      <w:r>
        <w:rPr>
          <w:rFonts w:ascii="Arial" w:hAnsi="Arial"/>
        </w:rPr>
        <w:t xml:space="preserve"> August and 31 December 2012 </w:t>
      </w:r>
      <w:r w:rsidRPr="00347BAF">
        <w:rPr>
          <w:rFonts w:ascii="Arial" w:hAnsi="Arial"/>
        </w:rPr>
        <w:t xml:space="preserve">are collected in </w:t>
      </w:r>
      <w:r>
        <w:rPr>
          <w:rFonts w:ascii="Arial" w:hAnsi="Arial"/>
        </w:rPr>
        <w:t xml:space="preserve">the following </w:t>
      </w:r>
      <w:r w:rsidRPr="00347BAF">
        <w:rPr>
          <w:rFonts w:ascii="Arial" w:hAnsi="Arial"/>
        </w:rPr>
        <w:t xml:space="preserve">April </w:t>
      </w:r>
      <w:r>
        <w:rPr>
          <w:rFonts w:ascii="Arial" w:hAnsi="Arial"/>
        </w:rPr>
        <w:t xml:space="preserve">(April </w:t>
      </w:r>
      <w:r w:rsidRPr="00347BAF">
        <w:rPr>
          <w:rFonts w:ascii="Arial" w:hAnsi="Arial"/>
        </w:rPr>
        <w:t>201</w:t>
      </w:r>
      <w:r>
        <w:rPr>
          <w:rFonts w:ascii="Arial" w:hAnsi="Arial"/>
        </w:rPr>
        <w:t>3)</w:t>
      </w:r>
    </w:p>
    <w:p w:rsidR="00DB2C7A" w:rsidRPr="00347BAF" w:rsidRDefault="00DB2C7A" w:rsidP="00DB2C7A">
      <w:pPr>
        <w:pStyle w:val="ListParagraph"/>
        <w:numPr>
          <w:ilvl w:val="0"/>
          <w:numId w:val="2"/>
        </w:numPr>
        <w:spacing w:after="0"/>
        <w:jc w:val="both"/>
        <w:rPr>
          <w:rFonts w:ascii="Arial" w:hAnsi="Arial"/>
        </w:rPr>
      </w:pPr>
      <w:r w:rsidRPr="00347BAF">
        <w:rPr>
          <w:rFonts w:ascii="Arial" w:hAnsi="Arial"/>
        </w:rPr>
        <w:t xml:space="preserve">Students completing </w:t>
      </w:r>
      <w:r>
        <w:rPr>
          <w:rFonts w:ascii="Arial" w:hAnsi="Arial"/>
        </w:rPr>
        <w:t>between 1</w:t>
      </w:r>
      <w:r w:rsidRPr="005A48ED">
        <w:rPr>
          <w:rFonts w:ascii="Arial" w:hAnsi="Arial"/>
          <w:vertAlign w:val="superscript"/>
        </w:rPr>
        <w:t>st</w:t>
      </w:r>
      <w:r>
        <w:rPr>
          <w:rFonts w:ascii="Arial" w:hAnsi="Arial"/>
        </w:rPr>
        <w:t xml:space="preserve"> January and 31</w:t>
      </w:r>
      <w:r w:rsidRPr="005A48ED">
        <w:rPr>
          <w:rFonts w:ascii="Arial" w:hAnsi="Arial"/>
          <w:vertAlign w:val="superscript"/>
        </w:rPr>
        <w:t>st</w:t>
      </w:r>
      <w:r>
        <w:rPr>
          <w:rFonts w:ascii="Arial" w:hAnsi="Arial"/>
        </w:rPr>
        <w:t xml:space="preserve"> July 2013</w:t>
      </w:r>
      <w:r w:rsidRPr="00347BAF">
        <w:rPr>
          <w:rFonts w:ascii="Arial" w:hAnsi="Arial"/>
        </w:rPr>
        <w:t xml:space="preserve"> are collected the following January (January 201</w:t>
      </w:r>
      <w:r>
        <w:rPr>
          <w:rFonts w:ascii="Arial" w:hAnsi="Arial"/>
        </w:rPr>
        <w:t>4</w:t>
      </w:r>
      <w:r w:rsidRPr="00347BAF">
        <w:rPr>
          <w:rFonts w:ascii="Arial" w:hAnsi="Arial"/>
        </w:rPr>
        <w:t>)</w:t>
      </w:r>
    </w:p>
    <w:p w:rsidR="00DB2C7A" w:rsidRPr="00347BAF" w:rsidRDefault="00DB2C7A" w:rsidP="00DB2C7A">
      <w:pPr>
        <w:pStyle w:val="ListParagraph"/>
        <w:numPr>
          <w:ilvl w:val="0"/>
          <w:numId w:val="2"/>
        </w:numPr>
        <w:spacing w:after="0"/>
        <w:jc w:val="both"/>
        <w:rPr>
          <w:rFonts w:ascii="Arial" w:hAnsi="Arial"/>
        </w:rPr>
      </w:pPr>
      <w:r w:rsidRPr="00347BAF">
        <w:rPr>
          <w:rFonts w:ascii="Arial" w:hAnsi="Arial"/>
        </w:rPr>
        <w:t>Both sets of data are returned in May 201</w:t>
      </w:r>
      <w:r>
        <w:rPr>
          <w:rFonts w:ascii="Arial" w:hAnsi="Arial"/>
        </w:rPr>
        <w:t>4</w:t>
      </w:r>
      <w:r w:rsidRPr="00347BAF">
        <w:rPr>
          <w:rFonts w:ascii="Arial" w:hAnsi="Arial"/>
        </w:rPr>
        <w:t xml:space="preserve"> </w:t>
      </w:r>
    </w:p>
    <w:p w:rsidR="00DB2C7A" w:rsidRDefault="00DB2C7A" w:rsidP="00DB2C7A">
      <w:pPr>
        <w:spacing w:after="0"/>
        <w:jc w:val="both"/>
        <w:rPr>
          <w:rFonts w:ascii="Arial" w:hAnsi="Arial"/>
        </w:rPr>
      </w:pPr>
    </w:p>
    <w:p w:rsidR="00DB2C7A" w:rsidRDefault="00DB2C7A" w:rsidP="00DB2C7A">
      <w:pPr>
        <w:spacing w:after="0"/>
        <w:jc w:val="both"/>
        <w:rPr>
          <w:rFonts w:ascii="Arial" w:hAnsi="Arial"/>
          <w:b/>
        </w:rPr>
      </w:pPr>
      <w:r w:rsidRPr="00522C43">
        <w:rPr>
          <w:rFonts w:ascii="Arial" w:hAnsi="Arial"/>
          <w:b/>
        </w:rPr>
        <w:t>Accessing the DLHE data</w:t>
      </w:r>
    </w:p>
    <w:p w:rsidR="00DB2C7A" w:rsidRPr="00522C43" w:rsidRDefault="00DB2C7A" w:rsidP="00DB2C7A">
      <w:pPr>
        <w:spacing w:after="0"/>
        <w:jc w:val="both"/>
        <w:rPr>
          <w:rFonts w:ascii="Arial" w:hAnsi="Arial"/>
          <w:b/>
        </w:rPr>
      </w:pPr>
    </w:p>
    <w:p w:rsidR="00DB2C7A" w:rsidRPr="00522C43" w:rsidRDefault="00DB2C7A" w:rsidP="00DB2C7A">
      <w:pPr>
        <w:spacing w:after="0"/>
        <w:jc w:val="both"/>
        <w:rPr>
          <w:rFonts w:ascii="Arial" w:hAnsi="Arial"/>
        </w:rPr>
      </w:pPr>
      <w:r w:rsidRPr="00522C43">
        <w:rPr>
          <w:rFonts w:ascii="Arial" w:hAnsi="Arial"/>
        </w:rPr>
        <w:t xml:space="preserve">The DLHE data is available in </w:t>
      </w:r>
      <w:proofErr w:type="spellStart"/>
      <w:r w:rsidRPr="00522C43">
        <w:rPr>
          <w:rFonts w:ascii="Arial" w:hAnsi="Arial"/>
        </w:rPr>
        <w:t>Livelink</w:t>
      </w:r>
      <w:proofErr w:type="spellEnd"/>
      <w:r w:rsidRPr="00522C43">
        <w:rPr>
          <w:rFonts w:ascii="Arial" w:hAnsi="Arial"/>
        </w:rPr>
        <w:t>, at:</w:t>
      </w:r>
    </w:p>
    <w:p w:rsidR="00DB2C7A" w:rsidRPr="00522C43" w:rsidRDefault="00494EF7" w:rsidP="00DB2C7A">
      <w:pPr>
        <w:rPr>
          <w:rFonts w:ascii="Arial" w:hAnsi="Arial"/>
          <w:color w:val="0000FF"/>
          <w:u w:val="single"/>
          <w:lang w:eastAsia="ja-JP"/>
        </w:rPr>
      </w:pPr>
      <w:hyperlink r:id="rId12" w:history="1">
        <w:r w:rsidR="00DB2C7A" w:rsidRPr="00522C43">
          <w:rPr>
            <w:rStyle w:val="Hyperlink"/>
            <w:rFonts w:ascii="Arial" w:hAnsi="Arial"/>
            <w:lang w:eastAsia="ja-JP"/>
          </w:rPr>
          <w:t xml:space="preserve">https://livelink.manchester.ac.uk/cgi-bin/livelink/open/23405146 </w:t>
        </w:r>
      </w:hyperlink>
    </w:p>
    <w:p w:rsidR="00DB2C7A" w:rsidRPr="00EB4D11" w:rsidRDefault="00DB2C7A" w:rsidP="00DB2C7A">
      <w:pPr>
        <w:pStyle w:val="NoSpacing"/>
        <w:rPr>
          <w:rFonts w:ascii="Arial" w:hAnsi="Arial"/>
        </w:rPr>
      </w:pPr>
      <w:r w:rsidRPr="00EB4D11">
        <w:rPr>
          <w:rFonts w:ascii="Arial" w:hAnsi="Arial"/>
        </w:rPr>
        <w:t xml:space="preserve">Each School has at least one DLHE contact </w:t>
      </w:r>
      <w:r>
        <w:rPr>
          <w:rFonts w:ascii="Arial" w:hAnsi="Arial"/>
        </w:rPr>
        <w:t>able to</w:t>
      </w:r>
      <w:r w:rsidRPr="00EB4D11">
        <w:rPr>
          <w:rFonts w:ascii="Arial" w:hAnsi="Arial"/>
        </w:rPr>
        <w:t xml:space="preserve"> access the data in </w:t>
      </w:r>
      <w:proofErr w:type="spellStart"/>
      <w:r w:rsidRPr="00EB4D11">
        <w:rPr>
          <w:rFonts w:ascii="Arial" w:hAnsi="Arial"/>
        </w:rPr>
        <w:t>Livelink</w:t>
      </w:r>
      <w:proofErr w:type="spellEnd"/>
      <w:r w:rsidRPr="00EB4D11">
        <w:rPr>
          <w:rFonts w:ascii="Arial" w:hAnsi="Arial"/>
        </w:rPr>
        <w:t>. See the ‘School contacts’ list at:</w:t>
      </w:r>
    </w:p>
    <w:p w:rsidR="00DB2C7A" w:rsidRDefault="00494EF7" w:rsidP="00DB2C7A">
      <w:pPr>
        <w:pStyle w:val="NoSpacing"/>
        <w:rPr>
          <w:rFonts w:ascii="Arial" w:hAnsi="Arial"/>
        </w:rPr>
      </w:pPr>
      <w:hyperlink r:id="rId13" w:history="1">
        <w:r w:rsidR="00DB2C7A" w:rsidRPr="00EB4D11">
          <w:rPr>
            <w:rStyle w:val="Hyperlink"/>
            <w:rFonts w:ascii="Arial" w:hAnsi="Arial"/>
          </w:rPr>
          <w:t>http://www.careers.manchester.ac.uk/staff/employmenttrends/dlhe/</w:t>
        </w:r>
      </w:hyperlink>
      <w:r w:rsidR="00DB2C7A" w:rsidRPr="00EB4D11">
        <w:rPr>
          <w:rFonts w:ascii="Arial" w:hAnsi="Arial"/>
        </w:rPr>
        <w:t xml:space="preserve"> </w:t>
      </w:r>
    </w:p>
    <w:p w:rsidR="00DB2C7A" w:rsidRPr="00EB4D11" w:rsidRDefault="00DB2C7A" w:rsidP="00DB2C7A">
      <w:pPr>
        <w:pStyle w:val="NoSpacing"/>
        <w:rPr>
          <w:rFonts w:ascii="Arial" w:hAnsi="Arial"/>
        </w:rPr>
      </w:pPr>
    </w:p>
    <w:p w:rsidR="00DB2C7A" w:rsidRPr="00EB4D11" w:rsidRDefault="00DB2C7A" w:rsidP="00DB2C7A">
      <w:pPr>
        <w:pStyle w:val="NoSpacing"/>
        <w:rPr>
          <w:rFonts w:ascii="Arial" w:hAnsi="Arial"/>
        </w:rPr>
      </w:pPr>
      <w:r w:rsidRPr="00EB4D11">
        <w:rPr>
          <w:rFonts w:ascii="Arial" w:hAnsi="Arial"/>
        </w:rPr>
        <w:t>There is a ‘DLHE Dashboard’ in Discoverer which can be used as a support tool for those accessing the DLHE Analysis Report. The training can be accessed online at:</w:t>
      </w:r>
    </w:p>
    <w:p w:rsidR="00DB2C7A" w:rsidRPr="00EB4D11" w:rsidRDefault="00494EF7" w:rsidP="00DB2C7A">
      <w:pPr>
        <w:pStyle w:val="NoSpacing"/>
        <w:rPr>
          <w:rFonts w:ascii="Arial" w:hAnsi="Arial"/>
        </w:rPr>
      </w:pPr>
      <w:hyperlink r:id="rId14" w:history="1">
        <w:r w:rsidR="00DB2C7A" w:rsidRPr="00EB4D11">
          <w:rPr>
            <w:rStyle w:val="Hyperlink"/>
            <w:rFonts w:ascii="Arial" w:hAnsi="Arial"/>
          </w:rPr>
          <w:t>https://app.manchester.ac.uk/training/profile.aspx?unitid=4226&amp;parentId=4</w:t>
        </w:r>
      </w:hyperlink>
    </w:p>
    <w:p w:rsidR="00DB2C7A" w:rsidRPr="00EB4D11" w:rsidRDefault="00DB2C7A" w:rsidP="00DB2C7A">
      <w:pPr>
        <w:pStyle w:val="NoSpacing"/>
        <w:rPr>
          <w:rFonts w:ascii="Arial" w:hAnsi="Arial"/>
        </w:rPr>
      </w:pPr>
    </w:p>
    <w:p w:rsidR="00DB2C7A" w:rsidRDefault="00DB2C7A" w:rsidP="00DB2C7A">
      <w:pPr>
        <w:spacing w:after="0"/>
        <w:jc w:val="both"/>
        <w:rPr>
          <w:rFonts w:ascii="Arial" w:hAnsi="Arial"/>
        </w:rPr>
      </w:pPr>
      <w:r>
        <w:rPr>
          <w:rFonts w:ascii="Arial" w:hAnsi="Arial"/>
        </w:rPr>
        <w:t>Shermain James and Becki Lovelady in CED are able to analyse the data</w:t>
      </w:r>
      <w:r w:rsidR="009D2392">
        <w:rPr>
          <w:rFonts w:ascii="Arial" w:hAnsi="Arial"/>
        </w:rPr>
        <w:t xml:space="preserve">. </w:t>
      </w:r>
    </w:p>
    <w:p w:rsidR="00DB2C7A" w:rsidRDefault="00DB2C7A" w:rsidP="00DB2C7A">
      <w:pPr>
        <w:spacing w:after="0"/>
        <w:jc w:val="both"/>
        <w:rPr>
          <w:rFonts w:ascii="Arial" w:hAnsi="Arial"/>
        </w:rPr>
      </w:pPr>
    </w:p>
    <w:p w:rsidR="00975848" w:rsidRDefault="00F72230" w:rsidP="00DB2C7A">
      <w:pPr>
        <w:spacing w:after="0"/>
        <w:jc w:val="both"/>
        <w:rPr>
          <w:rFonts w:ascii="Arial" w:hAnsi="Arial"/>
          <w:b/>
        </w:rPr>
      </w:pPr>
      <w:r w:rsidRPr="00F72230">
        <w:rPr>
          <w:rFonts w:ascii="Arial" w:hAnsi="Arial"/>
          <w:b/>
        </w:rPr>
        <w:t>Further information</w:t>
      </w:r>
    </w:p>
    <w:p w:rsidR="00F72230" w:rsidRPr="00D43A29" w:rsidRDefault="00F72230" w:rsidP="00D43A29">
      <w:pPr>
        <w:pStyle w:val="ListParagraph"/>
        <w:numPr>
          <w:ilvl w:val="0"/>
          <w:numId w:val="3"/>
        </w:numPr>
        <w:rPr>
          <w:rFonts w:ascii="Arial" w:hAnsi="Arial"/>
        </w:rPr>
      </w:pPr>
      <w:r w:rsidRPr="00D43A29">
        <w:rPr>
          <w:rFonts w:ascii="Arial" w:hAnsi="Arial"/>
        </w:rPr>
        <w:t>Careers ‘Graduate Destination Data’ page</w:t>
      </w:r>
      <w:r w:rsidR="00D43A29" w:rsidRPr="00D43A29">
        <w:rPr>
          <w:rFonts w:ascii="Arial" w:hAnsi="Arial"/>
        </w:rPr>
        <w:t xml:space="preserve">: </w:t>
      </w:r>
      <w:hyperlink r:id="rId15" w:history="1">
        <w:r w:rsidRPr="00D43A29">
          <w:rPr>
            <w:rStyle w:val="Hyperlink"/>
            <w:rFonts w:ascii="Arial" w:hAnsi="Arial"/>
          </w:rPr>
          <w:t>http://www.careers.manchester.ac.uk/staff/employmenttrends/dlhe/</w:t>
        </w:r>
      </w:hyperlink>
    </w:p>
    <w:p w:rsidR="00F72230" w:rsidRPr="00413CA7" w:rsidRDefault="00F72230" w:rsidP="00D43A29">
      <w:pPr>
        <w:pStyle w:val="ListParagraph"/>
        <w:numPr>
          <w:ilvl w:val="0"/>
          <w:numId w:val="3"/>
        </w:numPr>
        <w:rPr>
          <w:rFonts w:ascii="Arial" w:hAnsi="Arial"/>
          <w:lang w:val="pt-PT"/>
        </w:rPr>
      </w:pPr>
      <w:r w:rsidRPr="00413CA7">
        <w:rPr>
          <w:rFonts w:ascii="Arial" w:hAnsi="Arial"/>
          <w:lang w:val="pt-PT"/>
        </w:rPr>
        <w:t>HESA website</w:t>
      </w:r>
      <w:r w:rsidR="00D43A29" w:rsidRPr="00413CA7">
        <w:rPr>
          <w:rFonts w:ascii="Arial" w:hAnsi="Arial"/>
          <w:lang w:val="pt-PT"/>
        </w:rPr>
        <w:t xml:space="preserve">: </w:t>
      </w:r>
      <w:hyperlink r:id="rId16" w:history="1">
        <w:r w:rsidRPr="00413CA7">
          <w:rPr>
            <w:rStyle w:val="Hyperlink"/>
            <w:rFonts w:ascii="Arial" w:hAnsi="Arial"/>
            <w:lang w:val="pt-PT"/>
          </w:rPr>
          <w:t>http://www.hesa.ac.uk/index.php?option=com_studrec&amp;Itemid=232&amp;mnl=12018</w:t>
        </w:r>
      </w:hyperlink>
    </w:p>
    <w:p w:rsidR="00F72230" w:rsidRPr="00D43A29" w:rsidRDefault="00F72230" w:rsidP="00D43A29">
      <w:pPr>
        <w:pStyle w:val="ListParagraph"/>
        <w:numPr>
          <w:ilvl w:val="0"/>
          <w:numId w:val="3"/>
        </w:numPr>
        <w:rPr>
          <w:rFonts w:ascii="Arial" w:hAnsi="Arial"/>
        </w:rPr>
      </w:pPr>
      <w:r w:rsidRPr="00D43A29">
        <w:rPr>
          <w:rFonts w:ascii="Arial" w:hAnsi="Arial"/>
        </w:rPr>
        <w:t xml:space="preserve">Shermain James, Information and Research Analyst, CED, </w:t>
      </w:r>
      <w:hyperlink r:id="rId17" w:history="1">
        <w:r w:rsidRPr="00D43A29">
          <w:rPr>
            <w:rStyle w:val="Hyperlink"/>
            <w:rFonts w:ascii="Arial" w:hAnsi="Arial"/>
          </w:rPr>
          <w:t>Shermain.james@manchester.ac.uk</w:t>
        </w:r>
      </w:hyperlink>
      <w:r w:rsidRPr="00D43A29">
        <w:rPr>
          <w:rFonts w:ascii="Arial" w:hAnsi="Arial"/>
        </w:rPr>
        <w:t>, x50837</w:t>
      </w:r>
    </w:p>
    <w:p w:rsidR="00F72230" w:rsidRPr="00975848" w:rsidRDefault="00F72230">
      <w:pPr>
        <w:rPr>
          <w:rFonts w:ascii="Arial" w:hAnsi="Arial"/>
        </w:rPr>
      </w:pPr>
    </w:p>
    <w:p w:rsidR="00975848" w:rsidRDefault="003C5F97">
      <w:pPr>
        <w:rPr>
          <w:rFonts w:ascii="Arial" w:hAnsi="Arial"/>
        </w:rPr>
      </w:pPr>
      <w:r>
        <w:rPr>
          <w:rFonts w:ascii="Arial" w:hAnsi="Arial"/>
        </w:rPr>
        <w:t>03.10.2013</w:t>
      </w:r>
    </w:p>
    <w:p w:rsidR="001B07A7" w:rsidRPr="00975848" w:rsidRDefault="001B07A7">
      <w:pPr>
        <w:rPr>
          <w:rFonts w:ascii="Arial" w:hAnsi="Arial"/>
        </w:rPr>
      </w:pPr>
      <w:proofErr w:type="gramStart"/>
      <w:r>
        <w:rPr>
          <w:rFonts w:ascii="Arial" w:hAnsi="Arial"/>
        </w:rPr>
        <w:t>Nicola Lord with input from Shermain James, Becki Lovelady, Jane Ratchford and Andrew Whitmore in CED.</w:t>
      </w:r>
      <w:proofErr w:type="gramEnd"/>
      <w:r>
        <w:rPr>
          <w:rFonts w:ascii="Arial" w:hAnsi="Arial"/>
        </w:rPr>
        <w:t xml:space="preserve"> </w:t>
      </w:r>
    </w:p>
    <w:p w:rsidR="00975848" w:rsidRPr="00975848" w:rsidRDefault="00975848">
      <w:pPr>
        <w:rPr>
          <w:rFonts w:ascii="Arial" w:hAnsi="Arial"/>
        </w:rPr>
      </w:pPr>
      <w:r w:rsidRPr="00975848">
        <w:rPr>
          <w:rFonts w:ascii="Arial" w:hAnsi="Arial"/>
        </w:rPr>
        <w:t>With reference to a paper by Helen Barton, Planning Support Office</w:t>
      </w:r>
    </w:p>
    <w:sectPr w:rsidR="00975848" w:rsidRPr="00975848" w:rsidSect="00D43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urich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E78"/>
    <w:multiLevelType w:val="hybridMultilevel"/>
    <w:tmpl w:val="43FA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F57EF"/>
    <w:multiLevelType w:val="hybridMultilevel"/>
    <w:tmpl w:val="6B1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70D86"/>
    <w:multiLevelType w:val="hybridMultilevel"/>
    <w:tmpl w:val="0BE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C6707"/>
    <w:multiLevelType w:val="hybridMultilevel"/>
    <w:tmpl w:val="9EC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3"/>
    <w:rsid w:val="00005B73"/>
    <w:rsid w:val="00036245"/>
    <w:rsid w:val="00054CB2"/>
    <w:rsid w:val="000627BD"/>
    <w:rsid w:val="000B6597"/>
    <w:rsid w:val="000F46D1"/>
    <w:rsid w:val="00166287"/>
    <w:rsid w:val="001B07A7"/>
    <w:rsid w:val="00347BAF"/>
    <w:rsid w:val="003C5F97"/>
    <w:rsid w:val="003D684D"/>
    <w:rsid w:val="00413CA7"/>
    <w:rsid w:val="00470CDA"/>
    <w:rsid w:val="004921B2"/>
    <w:rsid w:val="00494EF7"/>
    <w:rsid w:val="00522C43"/>
    <w:rsid w:val="00551129"/>
    <w:rsid w:val="005A48ED"/>
    <w:rsid w:val="006E5A1F"/>
    <w:rsid w:val="007B317E"/>
    <w:rsid w:val="00814034"/>
    <w:rsid w:val="00940C30"/>
    <w:rsid w:val="00964018"/>
    <w:rsid w:val="00975848"/>
    <w:rsid w:val="009D2392"/>
    <w:rsid w:val="00A44923"/>
    <w:rsid w:val="00B96FF7"/>
    <w:rsid w:val="00BA410F"/>
    <w:rsid w:val="00BC36FE"/>
    <w:rsid w:val="00BE6C75"/>
    <w:rsid w:val="00C01154"/>
    <w:rsid w:val="00D21BC5"/>
    <w:rsid w:val="00D2564B"/>
    <w:rsid w:val="00D43A29"/>
    <w:rsid w:val="00D66D14"/>
    <w:rsid w:val="00DB2C7A"/>
    <w:rsid w:val="00E431E8"/>
    <w:rsid w:val="00EB4D11"/>
    <w:rsid w:val="00F72230"/>
    <w:rsid w:val="00FB573E"/>
    <w:rsid w:val="00FE21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23"/>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923"/>
    <w:rPr>
      <w:color w:val="0000FF" w:themeColor="hyperlink"/>
      <w:u w:val="single"/>
    </w:rPr>
  </w:style>
  <w:style w:type="paragraph" w:styleId="ListParagraph">
    <w:name w:val="List Paragraph"/>
    <w:basedOn w:val="Normal"/>
    <w:uiPriority w:val="34"/>
    <w:qFormat/>
    <w:rsid w:val="00BC36FE"/>
    <w:pPr>
      <w:ind w:left="720"/>
      <w:contextualSpacing/>
    </w:pPr>
  </w:style>
  <w:style w:type="paragraph" w:styleId="NoSpacing">
    <w:name w:val="No Spacing"/>
    <w:uiPriority w:val="1"/>
    <w:qFormat/>
    <w:rsid w:val="00EB4D11"/>
    <w:pPr>
      <w:spacing w:after="0" w:line="240" w:lineRule="auto"/>
    </w:pPr>
    <w:rPr>
      <w:rFonts w:ascii="Calibri" w:eastAsia="SimSun" w:hAnsi="Calibri" w:cs="Arial"/>
      <w:lang w:eastAsia="zh-CN"/>
    </w:rPr>
  </w:style>
  <w:style w:type="paragraph" w:styleId="BalloonText">
    <w:name w:val="Balloon Text"/>
    <w:basedOn w:val="Normal"/>
    <w:link w:val="BalloonTextChar"/>
    <w:uiPriority w:val="99"/>
    <w:semiHidden/>
    <w:unhideWhenUsed/>
    <w:rsid w:val="00D2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4B"/>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347BAF"/>
    <w:rPr>
      <w:color w:val="800080" w:themeColor="followedHyperlink"/>
      <w:u w:val="single"/>
    </w:rPr>
  </w:style>
  <w:style w:type="character" w:styleId="CommentReference">
    <w:name w:val="annotation reference"/>
    <w:basedOn w:val="DefaultParagraphFont"/>
    <w:uiPriority w:val="99"/>
    <w:semiHidden/>
    <w:unhideWhenUsed/>
    <w:rsid w:val="009D2392"/>
    <w:rPr>
      <w:sz w:val="16"/>
      <w:szCs w:val="16"/>
    </w:rPr>
  </w:style>
  <w:style w:type="paragraph" w:styleId="CommentText">
    <w:name w:val="annotation text"/>
    <w:basedOn w:val="Normal"/>
    <w:link w:val="CommentTextChar"/>
    <w:uiPriority w:val="99"/>
    <w:semiHidden/>
    <w:unhideWhenUsed/>
    <w:rsid w:val="009D2392"/>
    <w:pPr>
      <w:spacing w:line="240" w:lineRule="auto"/>
    </w:pPr>
    <w:rPr>
      <w:sz w:val="20"/>
      <w:szCs w:val="20"/>
    </w:rPr>
  </w:style>
  <w:style w:type="character" w:customStyle="1" w:styleId="CommentTextChar">
    <w:name w:val="Comment Text Char"/>
    <w:basedOn w:val="DefaultParagraphFont"/>
    <w:link w:val="CommentText"/>
    <w:uiPriority w:val="99"/>
    <w:semiHidden/>
    <w:rsid w:val="009D2392"/>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9D2392"/>
    <w:rPr>
      <w:b/>
      <w:bCs/>
    </w:rPr>
  </w:style>
  <w:style w:type="character" w:customStyle="1" w:styleId="CommentSubjectChar">
    <w:name w:val="Comment Subject Char"/>
    <w:basedOn w:val="CommentTextChar"/>
    <w:link w:val="CommentSubject"/>
    <w:uiPriority w:val="99"/>
    <w:semiHidden/>
    <w:rsid w:val="009D2392"/>
    <w:rPr>
      <w:rFonts w:ascii="Calibri" w:eastAsia="SimSun" w:hAnsi="Calibri"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23"/>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923"/>
    <w:rPr>
      <w:color w:val="0000FF" w:themeColor="hyperlink"/>
      <w:u w:val="single"/>
    </w:rPr>
  </w:style>
  <w:style w:type="paragraph" w:styleId="ListParagraph">
    <w:name w:val="List Paragraph"/>
    <w:basedOn w:val="Normal"/>
    <w:uiPriority w:val="34"/>
    <w:qFormat/>
    <w:rsid w:val="00BC36FE"/>
    <w:pPr>
      <w:ind w:left="720"/>
      <w:contextualSpacing/>
    </w:pPr>
  </w:style>
  <w:style w:type="paragraph" w:styleId="NoSpacing">
    <w:name w:val="No Spacing"/>
    <w:uiPriority w:val="1"/>
    <w:qFormat/>
    <w:rsid w:val="00EB4D11"/>
    <w:pPr>
      <w:spacing w:after="0" w:line="240" w:lineRule="auto"/>
    </w:pPr>
    <w:rPr>
      <w:rFonts w:ascii="Calibri" w:eastAsia="SimSun" w:hAnsi="Calibri" w:cs="Arial"/>
      <w:lang w:eastAsia="zh-CN"/>
    </w:rPr>
  </w:style>
  <w:style w:type="paragraph" w:styleId="BalloonText">
    <w:name w:val="Balloon Text"/>
    <w:basedOn w:val="Normal"/>
    <w:link w:val="BalloonTextChar"/>
    <w:uiPriority w:val="99"/>
    <w:semiHidden/>
    <w:unhideWhenUsed/>
    <w:rsid w:val="00D2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4B"/>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347BAF"/>
    <w:rPr>
      <w:color w:val="800080" w:themeColor="followedHyperlink"/>
      <w:u w:val="single"/>
    </w:rPr>
  </w:style>
  <w:style w:type="character" w:styleId="CommentReference">
    <w:name w:val="annotation reference"/>
    <w:basedOn w:val="DefaultParagraphFont"/>
    <w:uiPriority w:val="99"/>
    <w:semiHidden/>
    <w:unhideWhenUsed/>
    <w:rsid w:val="009D2392"/>
    <w:rPr>
      <w:sz w:val="16"/>
      <w:szCs w:val="16"/>
    </w:rPr>
  </w:style>
  <w:style w:type="paragraph" w:styleId="CommentText">
    <w:name w:val="annotation text"/>
    <w:basedOn w:val="Normal"/>
    <w:link w:val="CommentTextChar"/>
    <w:uiPriority w:val="99"/>
    <w:semiHidden/>
    <w:unhideWhenUsed/>
    <w:rsid w:val="009D2392"/>
    <w:pPr>
      <w:spacing w:line="240" w:lineRule="auto"/>
    </w:pPr>
    <w:rPr>
      <w:sz w:val="20"/>
      <w:szCs w:val="20"/>
    </w:rPr>
  </w:style>
  <w:style w:type="character" w:customStyle="1" w:styleId="CommentTextChar">
    <w:name w:val="Comment Text Char"/>
    <w:basedOn w:val="DefaultParagraphFont"/>
    <w:link w:val="CommentText"/>
    <w:uiPriority w:val="99"/>
    <w:semiHidden/>
    <w:rsid w:val="009D2392"/>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9D2392"/>
    <w:rPr>
      <w:b/>
      <w:bCs/>
    </w:rPr>
  </w:style>
  <w:style w:type="character" w:customStyle="1" w:styleId="CommentSubjectChar">
    <w:name w:val="Comment Subject Char"/>
    <w:basedOn w:val="CommentTextChar"/>
    <w:link w:val="CommentSubject"/>
    <w:uiPriority w:val="99"/>
    <w:semiHidden/>
    <w:rsid w:val="009D2392"/>
    <w:rPr>
      <w:rFonts w:ascii="Calibri" w:eastAsia="SimSun" w:hAnsi="Calibri"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802">
      <w:bodyDiv w:val="1"/>
      <w:marLeft w:val="0"/>
      <w:marRight w:val="0"/>
      <w:marTop w:val="0"/>
      <w:marBottom w:val="0"/>
      <w:divBdr>
        <w:top w:val="none" w:sz="0" w:space="0" w:color="auto"/>
        <w:left w:val="none" w:sz="0" w:space="0" w:color="auto"/>
        <w:bottom w:val="none" w:sz="0" w:space="0" w:color="auto"/>
        <w:right w:val="none" w:sz="0" w:space="0" w:color="auto"/>
      </w:divBdr>
    </w:div>
    <w:div w:id="222956580">
      <w:bodyDiv w:val="1"/>
      <w:marLeft w:val="0"/>
      <w:marRight w:val="0"/>
      <w:marTop w:val="0"/>
      <w:marBottom w:val="0"/>
      <w:divBdr>
        <w:top w:val="none" w:sz="0" w:space="0" w:color="auto"/>
        <w:left w:val="none" w:sz="0" w:space="0" w:color="auto"/>
        <w:bottom w:val="none" w:sz="0" w:space="0" w:color="auto"/>
        <w:right w:val="none" w:sz="0" w:space="0" w:color="auto"/>
      </w:divBdr>
    </w:div>
    <w:div w:id="658267327">
      <w:bodyDiv w:val="1"/>
      <w:marLeft w:val="0"/>
      <w:marRight w:val="0"/>
      <w:marTop w:val="0"/>
      <w:marBottom w:val="0"/>
      <w:divBdr>
        <w:top w:val="none" w:sz="0" w:space="0" w:color="auto"/>
        <w:left w:val="none" w:sz="0" w:space="0" w:color="auto"/>
        <w:bottom w:val="none" w:sz="0" w:space="0" w:color="auto"/>
        <w:right w:val="none" w:sz="0" w:space="0" w:color="auto"/>
      </w:divBdr>
    </w:div>
    <w:div w:id="739906343">
      <w:bodyDiv w:val="1"/>
      <w:marLeft w:val="0"/>
      <w:marRight w:val="0"/>
      <w:marTop w:val="0"/>
      <w:marBottom w:val="0"/>
      <w:divBdr>
        <w:top w:val="none" w:sz="0" w:space="0" w:color="auto"/>
        <w:left w:val="none" w:sz="0" w:space="0" w:color="auto"/>
        <w:bottom w:val="none" w:sz="0" w:space="0" w:color="auto"/>
        <w:right w:val="none" w:sz="0" w:space="0" w:color="auto"/>
      </w:divBdr>
    </w:div>
    <w:div w:id="1150907526">
      <w:bodyDiv w:val="1"/>
      <w:marLeft w:val="0"/>
      <w:marRight w:val="0"/>
      <w:marTop w:val="0"/>
      <w:marBottom w:val="0"/>
      <w:divBdr>
        <w:top w:val="none" w:sz="0" w:space="0" w:color="auto"/>
        <w:left w:val="none" w:sz="0" w:space="0" w:color="auto"/>
        <w:bottom w:val="none" w:sz="0" w:space="0" w:color="auto"/>
        <w:right w:val="none" w:sz="0" w:space="0" w:color="auto"/>
      </w:divBdr>
    </w:div>
    <w:div w:id="1253205257">
      <w:bodyDiv w:val="1"/>
      <w:marLeft w:val="0"/>
      <w:marRight w:val="0"/>
      <w:marTop w:val="0"/>
      <w:marBottom w:val="0"/>
      <w:divBdr>
        <w:top w:val="none" w:sz="0" w:space="0" w:color="auto"/>
        <w:left w:val="none" w:sz="0" w:space="0" w:color="auto"/>
        <w:bottom w:val="none" w:sz="0" w:space="0" w:color="auto"/>
        <w:right w:val="none" w:sz="0" w:space="0" w:color="auto"/>
      </w:divBdr>
    </w:div>
    <w:div w:id="1303774388">
      <w:bodyDiv w:val="1"/>
      <w:marLeft w:val="0"/>
      <w:marRight w:val="15"/>
      <w:marTop w:val="375"/>
      <w:marBottom w:val="0"/>
      <w:divBdr>
        <w:top w:val="none" w:sz="0" w:space="0" w:color="auto"/>
        <w:left w:val="none" w:sz="0" w:space="0" w:color="auto"/>
        <w:bottom w:val="none" w:sz="0" w:space="0" w:color="auto"/>
        <w:right w:val="none" w:sz="0" w:space="0" w:color="auto"/>
      </w:divBdr>
      <w:divsChild>
        <w:div w:id="2079159750">
          <w:marLeft w:val="0"/>
          <w:marRight w:val="0"/>
          <w:marTop w:val="0"/>
          <w:marBottom w:val="0"/>
          <w:divBdr>
            <w:top w:val="none" w:sz="0" w:space="0" w:color="auto"/>
            <w:left w:val="none" w:sz="0" w:space="0" w:color="auto"/>
            <w:bottom w:val="none" w:sz="0" w:space="0" w:color="auto"/>
            <w:right w:val="none" w:sz="0" w:space="0" w:color="auto"/>
          </w:divBdr>
          <w:divsChild>
            <w:div w:id="1216895963">
              <w:marLeft w:val="0"/>
              <w:marRight w:val="0"/>
              <w:marTop w:val="0"/>
              <w:marBottom w:val="0"/>
              <w:divBdr>
                <w:top w:val="none" w:sz="0" w:space="0" w:color="auto"/>
                <w:left w:val="none" w:sz="0" w:space="0" w:color="auto"/>
                <w:bottom w:val="none" w:sz="0" w:space="0" w:color="auto"/>
                <w:right w:val="none" w:sz="0" w:space="0" w:color="auto"/>
              </w:divBdr>
              <w:divsChild>
                <w:div w:id="1153107060">
                  <w:marLeft w:val="0"/>
                  <w:marRight w:val="0"/>
                  <w:marTop w:val="0"/>
                  <w:marBottom w:val="150"/>
                  <w:divBdr>
                    <w:top w:val="none" w:sz="0" w:space="0" w:color="auto"/>
                    <w:left w:val="none" w:sz="0" w:space="0" w:color="auto"/>
                    <w:bottom w:val="none" w:sz="0" w:space="0" w:color="auto"/>
                    <w:right w:val="none" w:sz="0" w:space="0" w:color="auto"/>
                  </w:divBdr>
                  <w:divsChild>
                    <w:div w:id="1931309396">
                      <w:marLeft w:val="0"/>
                      <w:marRight w:val="0"/>
                      <w:marTop w:val="0"/>
                      <w:marBottom w:val="0"/>
                      <w:divBdr>
                        <w:top w:val="none" w:sz="0" w:space="0" w:color="auto"/>
                        <w:left w:val="none" w:sz="0" w:space="0" w:color="auto"/>
                        <w:bottom w:val="none" w:sz="0" w:space="0" w:color="auto"/>
                        <w:right w:val="none" w:sz="0" w:space="0" w:color="auto"/>
                      </w:divBdr>
                    </w:div>
                  </w:divsChild>
                </w:div>
                <w:div w:id="294453636">
                  <w:marLeft w:val="0"/>
                  <w:marRight w:val="0"/>
                  <w:marTop w:val="0"/>
                  <w:marBottom w:val="150"/>
                  <w:divBdr>
                    <w:top w:val="none" w:sz="0" w:space="0" w:color="auto"/>
                    <w:left w:val="none" w:sz="0" w:space="0" w:color="auto"/>
                    <w:bottom w:val="none" w:sz="0" w:space="0" w:color="auto"/>
                    <w:right w:val="none" w:sz="0" w:space="0" w:color="auto"/>
                  </w:divBdr>
                  <w:divsChild>
                    <w:div w:id="1485125666">
                      <w:marLeft w:val="0"/>
                      <w:marRight w:val="0"/>
                      <w:marTop w:val="0"/>
                      <w:marBottom w:val="0"/>
                      <w:divBdr>
                        <w:top w:val="none" w:sz="0" w:space="0" w:color="auto"/>
                        <w:left w:val="none" w:sz="0" w:space="0" w:color="auto"/>
                        <w:bottom w:val="none" w:sz="0" w:space="0" w:color="auto"/>
                        <w:right w:val="none" w:sz="0" w:space="0" w:color="auto"/>
                      </w:divBdr>
                    </w:div>
                  </w:divsChild>
                </w:div>
                <w:div w:id="2061517119">
                  <w:marLeft w:val="0"/>
                  <w:marRight w:val="0"/>
                  <w:marTop w:val="0"/>
                  <w:marBottom w:val="150"/>
                  <w:divBdr>
                    <w:top w:val="none" w:sz="0" w:space="0" w:color="auto"/>
                    <w:left w:val="none" w:sz="0" w:space="0" w:color="auto"/>
                    <w:bottom w:val="none" w:sz="0" w:space="0" w:color="auto"/>
                    <w:right w:val="none" w:sz="0" w:space="0" w:color="auto"/>
                  </w:divBdr>
                  <w:divsChild>
                    <w:div w:id="546456180">
                      <w:marLeft w:val="0"/>
                      <w:marRight w:val="0"/>
                      <w:marTop w:val="0"/>
                      <w:marBottom w:val="0"/>
                      <w:divBdr>
                        <w:top w:val="none" w:sz="0" w:space="0" w:color="auto"/>
                        <w:left w:val="none" w:sz="0" w:space="0" w:color="auto"/>
                        <w:bottom w:val="none" w:sz="0" w:space="0" w:color="auto"/>
                        <w:right w:val="none" w:sz="0" w:space="0" w:color="auto"/>
                      </w:divBdr>
                    </w:div>
                  </w:divsChild>
                </w:div>
                <w:div w:id="1171529904">
                  <w:marLeft w:val="0"/>
                  <w:marRight w:val="0"/>
                  <w:marTop w:val="0"/>
                  <w:marBottom w:val="150"/>
                  <w:divBdr>
                    <w:top w:val="none" w:sz="0" w:space="0" w:color="auto"/>
                    <w:left w:val="none" w:sz="0" w:space="0" w:color="auto"/>
                    <w:bottom w:val="none" w:sz="0" w:space="0" w:color="auto"/>
                    <w:right w:val="none" w:sz="0" w:space="0" w:color="auto"/>
                  </w:divBdr>
                  <w:divsChild>
                    <w:div w:id="803041239">
                      <w:marLeft w:val="0"/>
                      <w:marRight w:val="0"/>
                      <w:marTop w:val="0"/>
                      <w:marBottom w:val="0"/>
                      <w:divBdr>
                        <w:top w:val="none" w:sz="0" w:space="0" w:color="auto"/>
                        <w:left w:val="none" w:sz="0" w:space="0" w:color="auto"/>
                        <w:bottom w:val="none" w:sz="0" w:space="0" w:color="auto"/>
                        <w:right w:val="none" w:sz="0" w:space="0" w:color="auto"/>
                      </w:divBdr>
                    </w:div>
                  </w:divsChild>
                </w:div>
                <w:div w:id="1738477271">
                  <w:marLeft w:val="0"/>
                  <w:marRight w:val="0"/>
                  <w:marTop w:val="0"/>
                  <w:marBottom w:val="150"/>
                  <w:divBdr>
                    <w:top w:val="none" w:sz="0" w:space="0" w:color="auto"/>
                    <w:left w:val="none" w:sz="0" w:space="0" w:color="auto"/>
                    <w:bottom w:val="none" w:sz="0" w:space="0" w:color="auto"/>
                    <w:right w:val="none" w:sz="0" w:space="0" w:color="auto"/>
                  </w:divBdr>
                  <w:divsChild>
                    <w:div w:id="3566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a.ac.uk/includes/C12018_resources/SOC2010DLHE.pdf?v=1.2" TargetMode="External"/><Relationship Id="rId13" Type="http://schemas.openxmlformats.org/officeDocument/2006/relationships/hyperlink" Target="http://www.careers.manchester.ac.uk/staff/employmenttrends/dlh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sa.ac.uk/index.php?option=com_studrec&amp;Itemid=232&amp;mnl=12018" TargetMode="External"/><Relationship Id="rId12" Type="http://schemas.openxmlformats.org/officeDocument/2006/relationships/hyperlink" Target="https://livelink.manchester.ac.uk/cgi-bin/livelink/open/23405146" TargetMode="External"/><Relationship Id="rId17" Type="http://schemas.openxmlformats.org/officeDocument/2006/relationships/hyperlink" Target="mailto:Shermain.james@manchester.ac.uk" TargetMode="External"/><Relationship Id="rId2" Type="http://schemas.openxmlformats.org/officeDocument/2006/relationships/numbering" Target="numbering.xml"/><Relationship Id="rId16" Type="http://schemas.openxmlformats.org/officeDocument/2006/relationships/hyperlink" Target="http://www.hesa.ac.uk/index.php?option=com_studrec&amp;Itemid=232&amp;mnl=1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s.manchester.ac.uk/staff/employmenttrends/dlhe/" TargetMode="External"/><Relationship Id="rId5" Type="http://schemas.openxmlformats.org/officeDocument/2006/relationships/settings" Target="settings.xml"/><Relationship Id="rId15" Type="http://schemas.openxmlformats.org/officeDocument/2006/relationships/hyperlink" Target="http://www.careers.manchester.ac.uk/staff/employmenttrends/dlhe/" TargetMode="External"/><Relationship Id="rId10" Type="http://schemas.openxmlformats.org/officeDocument/2006/relationships/hyperlink" Target="http://www.hesa.ac.uk/component/option,com_studrec/task,show_file/Itemid,233/mnl,12018/href,Questionnaire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sa.ac.uk/includes/C12018_resources/SOC2010DLHE.pdf?v=1.2" TargetMode="External"/><Relationship Id="rId14" Type="http://schemas.openxmlformats.org/officeDocument/2006/relationships/hyperlink" Target="https://app.manchester.ac.uk/training/profile.aspx?unitid=4226&amp;parent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D06D-E05F-4435-B282-0A78877B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Lord</dc:creator>
  <cp:lastModifiedBy>mewcstt</cp:lastModifiedBy>
  <cp:revision>2</cp:revision>
  <cp:lastPrinted>2013-10-03T14:45:00Z</cp:lastPrinted>
  <dcterms:created xsi:type="dcterms:W3CDTF">2016-09-28T12:03:00Z</dcterms:created>
  <dcterms:modified xsi:type="dcterms:W3CDTF">2016-09-28T12:03:00Z</dcterms:modified>
</cp:coreProperties>
</file>