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1" w:rsidRDefault="00C33F21" w:rsidP="005E5EE3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FACULTY OF HUMANITIES</w:t>
      </w:r>
    </w:p>
    <w:p w:rsidR="005E5EE3" w:rsidRDefault="005E5EE3" w:rsidP="005E5EE3">
      <w:pPr>
        <w:pStyle w:val="NoSpacing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PROCEDURAL GUIDANCE FOR </w:t>
      </w:r>
      <w:r w:rsidR="00DC097E">
        <w:rPr>
          <w:b/>
          <w:sz w:val="21"/>
          <w:szCs w:val="21"/>
        </w:rPr>
        <w:t xml:space="preserve">NEW </w:t>
      </w:r>
      <w:r>
        <w:rPr>
          <w:b/>
          <w:sz w:val="21"/>
          <w:szCs w:val="21"/>
        </w:rPr>
        <w:t xml:space="preserve">INTERNAL EXAMINERS </w:t>
      </w:r>
      <w:r w:rsidR="00DC097E">
        <w:rPr>
          <w:b/>
          <w:sz w:val="21"/>
          <w:szCs w:val="21"/>
        </w:rPr>
        <w:t xml:space="preserve">TO THE UNIVERSITY OF MANCHESTER </w:t>
      </w:r>
      <w:r>
        <w:rPr>
          <w:b/>
          <w:sz w:val="21"/>
          <w:szCs w:val="21"/>
        </w:rPr>
        <w:t xml:space="preserve">&amp; INDEPENDENT CHAIRS IN PREPARATION FOR THE </w:t>
      </w:r>
      <w:r w:rsidR="00DC097E">
        <w:rPr>
          <w:b/>
          <w:sz w:val="21"/>
          <w:szCs w:val="21"/>
        </w:rPr>
        <w:t xml:space="preserve">PGR </w:t>
      </w:r>
      <w:r>
        <w:rPr>
          <w:b/>
          <w:sz w:val="21"/>
          <w:szCs w:val="21"/>
        </w:rPr>
        <w:t>ORAL EXAMINATION</w:t>
      </w:r>
    </w:p>
    <w:p w:rsidR="005E5EE3" w:rsidRDefault="005E5EE3" w:rsidP="005E5EE3">
      <w:pPr>
        <w:pStyle w:val="NoSpacing"/>
        <w:rPr>
          <w:b/>
          <w:sz w:val="21"/>
          <w:szCs w:val="21"/>
        </w:rPr>
      </w:pPr>
    </w:p>
    <w:p w:rsidR="005E5EE3" w:rsidRPr="00904059" w:rsidRDefault="005E5EE3" w:rsidP="005E5EE3">
      <w:pPr>
        <w:pStyle w:val="Default"/>
        <w:rPr>
          <w:rFonts w:asciiTheme="minorHAnsi" w:hAnsiTheme="minorHAnsi" w:cs="Verdana"/>
          <w:sz w:val="22"/>
          <w:szCs w:val="22"/>
        </w:rPr>
      </w:pPr>
      <w:r w:rsidRPr="00904059">
        <w:rPr>
          <w:rFonts w:asciiTheme="minorHAnsi" w:hAnsiTheme="minorHAnsi"/>
          <w:sz w:val="22"/>
          <w:szCs w:val="22"/>
        </w:rPr>
        <w:t xml:space="preserve">This guidance is intended </w:t>
      </w:r>
      <w:r>
        <w:rPr>
          <w:rFonts w:asciiTheme="minorHAnsi" w:hAnsiTheme="minorHAnsi" w:cs="Verdana"/>
          <w:sz w:val="22"/>
          <w:szCs w:val="22"/>
        </w:rPr>
        <w:t>for use by academic</w:t>
      </w:r>
      <w:r w:rsidR="00DC097E">
        <w:rPr>
          <w:rFonts w:asciiTheme="minorHAnsi" w:hAnsiTheme="minorHAnsi" w:cs="Verdana"/>
          <w:sz w:val="22"/>
          <w:szCs w:val="22"/>
        </w:rPr>
        <w:t xml:space="preserve"> and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C52C86">
        <w:rPr>
          <w:rFonts w:asciiTheme="minorHAnsi" w:hAnsiTheme="minorHAnsi" w:cs="Verdana"/>
          <w:sz w:val="22"/>
          <w:szCs w:val="22"/>
        </w:rPr>
        <w:t xml:space="preserve">administrative staff </w:t>
      </w:r>
      <w:r>
        <w:rPr>
          <w:rFonts w:asciiTheme="minorHAnsi" w:hAnsiTheme="minorHAnsi" w:cs="Verdana"/>
          <w:sz w:val="22"/>
          <w:szCs w:val="22"/>
        </w:rPr>
        <w:t>at the University of Manchester (</w:t>
      </w:r>
      <w:r w:rsidR="006016C7">
        <w:rPr>
          <w:rFonts w:asciiTheme="minorHAnsi" w:hAnsiTheme="minorHAnsi" w:cs="Verdana"/>
          <w:sz w:val="22"/>
          <w:szCs w:val="22"/>
        </w:rPr>
        <w:t xml:space="preserve">hereinafter “the University”) to induct academic colleagues into the process of internal examining </w:t>
      </w:r>
      <w:r w:rsidR="003F5FDB">
        <w:rPr>
          <w:rFonts w:asciiTheme="minorHAnsi" w:hAnsiTheme="minorHAnsi" w:cs="Verdana"/>
          <w:sz w:val="22"/>
          <w:szCs w:val="22"/>
        </w:rPr>
        <w:t xml:space="preserve">of </w:t>
      </w:r>
      <w:r w:rsidR="006016C7">
        <w:rPr>
          <w:rFonts w:asciiTheme="minorHAnsi" w:hAnsiTheme="minorHAnsi" w:cs="Verdana"/>
          <w:sz w:val="22"/>
          <w:szCs w:val="22"/>
        </w:rPr>
        <w:t>research degree</w:t>
      </w:r>
      <w:r w:rsidR="003F5FDB">
        <w:rPr>
          <w:rFonts w:asciiTheme="minorHAnsi" w:hAnsiTheme="minorHAnsi" w:cs="Verdana"/>
          <w:sz w:val="22"/>
          <w:szCs w:val="22"/>
        </w:rPr>
        <w:t>s, in line with policy (Nomination of Examiners and Independent Chairs for Postgraduate Research Degrees (September 2009), section 7.1.vi-viii)</w:t>
      </w:r>
      <w:r w:rsidR="006016C7">
        <w:rPr>
          <w:rFonts w:asciiTheme="minorHAnsi" w:hAnsiTheme="minorHAnsi" w:cs="Verdana"/>
          <w:sz w:val="22"/>
          <w:szCs w:val="22"/>
        </w:rPr>
        <w:t xml:space="preserve">. </w:t>
      </w:r>
      <w:r>
        <w:rPr>
          <w:rFonts w:asciiTheme="minorHAnsi" w:hAnsiTheme="minorHAnsi" w:cs="Verdana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 xml:space="preserve"> outlines key stages in procedure and </w:t>
      </w:r>
      <w:r w:rsidRPr="00904059">
        <w:rPr>
          <w:rFonts w:asciiTheme="minorHAnsi" w:hAnsiTheme="minorHAnsi"/>
          <w:sz w:val="22"/>
          <w:szCs w:val="22"/>
        </w:rPr>
        <w:t>practice</w:t>
      </w:r>
      <w:r>
        <w:rPr>
          <w:rStyle w:val="FootnoteReference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 w:rsidRPr="009040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relating</w:t>
      </w:r>
      <w:r w:rsidRPr="00904059">
        <w:rPr>
          <w:rFonts w:asciiTheme="minorHAnsi" w:hAnsiTheme="minorHAnsi"/>
          <w:sz w:val="22"/>
          <w:szCs w:val="22"/>
        </w:rPr>
        <w:t xml:space="preserve"> to the roles and responsibilities of the Internal Examiner </w:t>
      </w:r>
      <w:r>
        <w:rPr>
          <w:rFonts w:asciiTheme="minorHAnsi" w:hAnsiTheme="minorHAnsi"/>
          <w:sz w:val="22"/>
          <w:szCs w:val="22"/>
        </w:rPr>
        <w:t>during</w:t>
      </w:r>
      <w:r w:rsidRPr="009040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pre- and post</w:t>
      </w:r>
      <w:r w:rsidRPr="00904059">
        <w:rPr>
          <w:rFonts w:asciiTheme="minorHAnsi" w:hAnsiTheme="minorHAnsi"/>
          <w:sz w:val="22"/>
          <w:szCs w:val="22"/>
        </w:rPr>
        <w:t xml:space="preserve"> the oral examination of both PhD and MPhil candidates</w:t>
      </w:r>
      <w:r>
        <w:rPr>
          <w:rFonts w:asciiTheme="minorHAnsi" w:hAnsiTheme="minorHAnsi"/>
          <w:sz w:val="22"/>
          <w:szCs w:val="22"/>
        </w:rPr>
        <w:t xml:space="preserve"> and the support and guidance that they can expect to receive from the Independent</w:t>
      </w:r>
      <w:r w:rsidR="006016C7">
        <w:rPr>
          <w:rFonts w:asciiTheme="minorHAnsi" w:hAnsiTheme="minorHAnsi"/>
          <w:sz w:val="22"/>
          <w:szCs w:val="22"/>
        </w:rPr>
        <w:t xml:space="preserve"> Chair</w:t>
      </w:r>
      <w:r w:rsidRPr="00904059">
        <w:rPr>
          <w:rFonts w:asciiTheme="minorHAnsi" w:hAnsiTheme="minorHAnsi"/>
          <w:sz w:val="22"/>
          <w:szCs w:val="22"/>
        </w:rPr>
        <w:t xml:space="preserve">.  The guidance is </w:t>
      </w:r>
      <w:r>
        <w:rPr>
          <w:rFonts w:asciiTheme="minorHAnsi" w:hAnsiTheme="minorHAnsi"/>
          <w:sz w:val="22"/>
          <w:szCs w:val="22"/>
        </w:rPr>
        <w:t>intended to complement and reflect</w:t>
      </w:r>
      <w:r w:rsidRPr="00904059">
        <w:rPr>
          <w:rFonts w:asciiTheme="minorHAnsi" w:hAnsiTheme="minorHAnsi"/>
          <w:sz w:val="22"/>
          <w:szCs w:val="22"/>
        </w:rPr>
        <w:t xml:space="preserve"> the University’s existing </w:t>
      </w:r>
      <w:r>
        <w:rPr>
          <w:rFonts w:asciiTheme="minorHAnsi" w:hAnsiTheme="minorHAnsi"/>
          <w:sz w:val="22"/>
          <w:szCs w:val="22"/>
        </w:rPr>
        <w:t xml:space="preserve">systems </w:t>
      </w:r>
      <w:r w:rsidRPr="00904059">
        <w:rPr>
          <w:rFonts w:asciiTheme="minorHAnsi" w:hAnsiTheme="minorHAnsi"/>
          <w:sz w:val="22"/>
          <w:szCs w:val="22"/>
        </w:rPr>
        <w:t>policies</w:t>
      </w:r>
      <w:r>
        <w:rPr>
          <w:rFonts w:asciiTheme="minorHAnsi" w:hAnsiTheme="minorHAnsi"/>
          <w:sz w:val="22"/>
          <w:szCs w:val="22"/>
        </w:rPr>
        <w:t xml:space="preserve"> including:</w:t>
      </w:r>
    </w:p>
    <w:p w:rsidR="005E5EE3" w:rsidRDefault="005E5EE3" w:rsidP="005E5EE3">
      <w:pPr>
        <w:pStyle w:val="NoSpacing"/>
        <w:jc w:val="both"/>
        <w:rPr>
          <w:sz w:val="23"/>
          <w:szCs w:val="23"/>
        </w:rPr>
      </w:pPr>
    </w:p>
    <w:p w:rsidR="005E5EE3" w:rsidRDefault="00C33F21" w:rsidP="005E5EE3">
      <w:pPr>
        <w:pStyle w:val="NoSpacing"/>
        <w:numPr>
          <w:ilvl w:val="0"/>
          <w:numId w:val="4"/>
        </w:numPr>
      </w:pPr>
      <w:hyperlink r:id="rId8" w:history="1">
        <w:r w:rsidR="005E5EE3" w:rsidRPr="00B94B25">
          <w:rPr>
            <w:rStyle w:val="Hyperlink"/>
          </w:rPr>
          <w:t>Nomination of Examiners and Independent Chairs for Postgraduate Research Degree Examinations Policy (September 2009)</w:t>
        </w:r>
      </w:hyperlink>
      <w:r w:rsidR="005E5EE3">
        <w:t xml:space="preserve"> (hereinafter “Nomination Policy”)</w:t>
      </w:r>
    </w:p>
    <w:p w:rsidR="005E5EE3" w:rsidRDefault="00C33F21" w:rsidP="005E5EE3">
      <w:pPr>
        <w:pStyle w:val="NoSpacing"/>
        <w:numPr>
          <w:ilvl w:val="0"/>
          <w:numId w:val="4"/>
        </w:numPr>
      </w:pPr>
      <w:hyperlink r:id="rId9" w:history="1">
        <w:r w:rsidR="005E5EE3" w:rsidRPr="00710071">
          <w:rPr>
            <w:rStyle w:val="Hyperlink"/>
          </w:rPr>
          <w:t xml:space="preserve">Examination of Doctoral Degrees Policy (May 2012) </w:t>
        </w:r>
      </w:hyperlink>
      <w:r w:rsidR="005E5EE3" w:rsidRPr="00710071">
        <w:t xml:space="preserve"> and </w:t>
      </w:r>
      <w:hyperlink r:id="rId10" w:history="1">
        <w:r w:rsidR="005E5EE3" w:rsidRPr="00710071">
          <w:rPr>
            <w:rStyle w:val="Hyperlink"/>
          </w:rPr>
          <w:t>Examination of Master of Philosophy Degrees (MPhil) (May 2012)</w:t>
        </w:r>
      </w:hyperlink>
      <w:r w:rsidR="005E5EE3">
        <w:t xml:space="preserve"> </w:t>
      </w:r>
      <w:r w:rsidR="005E5EE3" w:rsidRPr="00690687">
        <w:rPr>
          <w:rStyle w:val="FootnoteReference"/>
          <w:b/>
        </w:rPr>
        <w:t xml:space="preserve"> </w:t>
      </w:r>
      <w:r w:rsidR="005E5EE3" w:rsidRPr="00690687">
        <w:t xml:space="preserve">(hereinafter “the </w:t>
      </w:r>
      <w:r w:rsidR="005E5EE3">
        <w:t xml:space="preserve">Examination </w:t>
      </w:r>
      <w:r w:rsidR="005E5EE3" w:rsidRPr="00690687">
        <w:t>Policies”)</w:t>
      </w:r>
      <w:r w:rsidR="005E5EE3">
        <w:t xml:space="preserve"> and </w:t>
      </w:r>
    </w:p>
    <w:p w:rsidR="005E5EE3" w:rsidRDefault="00C33F21" w:rsidP="005E5EE3">
      <w:pPr>
        <w:pStyle w:val="NoSpacing"/>
        <w:numPr>
          <w:ilvl w:val="0"/>
          <w:numId w:val="4"/>
        </w:numPr>
      </w:pPr>
      <w:hyperlink r:id="rId11" w:history="1">
        <w:r w:rsidR="005E5EE3" w:rsidRPr="00FF20AC">
          <w:rPr>
            <w:rStyle w:val="Hyperlink"/>
          </w:rPr>
          <w:t>Presentation of Theses Policy (June 2014)</w:t>
        </w:r>
      </w:hyperlink>
      <w:r w:rsidR="005E5EE3">
        <w:t xml:space="preserve"> (hereinafter “the Presentation Policy”)</w:t>
      </w:r>
    </w:p>
    <w:p w:rsidR="005E5EE3" w:rsidRPr="006016C7" w:rsidRDefault="005E5EE3" w:rsidP="005E5EE3">
      <w:pPr>
        <w:pStyle w:val="NoSpacing"/>
        <w:jc w:val="both"/>
      </w:pPr>
    </w:p>
    <w:p w:rsidR="006016C7" w:rsidRPr="006016C7" w:rsidRDefault="006016C7" w:rsidP="005E5EE3">
      <w:pPr>
        <w:pStyle w:val="NoSpacing"/>
        <w:jc w:val="both"/>
      </w:pPr>
      <w:r w:rsidRPr="006016C7">
        <w:t>Where a senior member of staff has examined before at another institution</w:t>
      </w:r>
      <w:r w:rsidRPr="00E953AB">
        <w:rPr>
          <w:b/>
        </w:rPr>
        <w:t xml:space="preserve">, </w:t>
      </w:r>
      <w:r w:rsidR="00D01D3C" w:rsidRPr="00D01D3C">
        <w:rPr>
          <w:b/>
          <w:color w:val="FF0000"/>
        </w:rPr>
        <w:t xml:space="preserve">but has been newly appointed to the </w:t>
      </w:r>
      <w:proofErr w:type="spellStart"/>
      <w:r w:rsidR="00D01D3C" w:rsidRPr="00D01D3C">
        <w:rPr>
          <w:b/>
          <w:color w:val="FF0000"/>
        </w:rPr>
        <w:t>UoM</w:t>
      </w:r>
      <w:proofErr w:type="spellEnd"/>
      <w:r w:rsidR="00D01D3C" w:rsidRPr="00D01D3C">
        <w:rPr>
          <w:b/>
          <w:color w:val="FF0000"/>
        </w:rPr>
        <w:t xml:space="preserve"> </w:t>
      </w:r>
      <w:r w:rsidR="00FD0713" w:rsidRPr="00E953AB">
        <w:rPr>
          <w:b/>
          <w:color w:val="FF0000"/>
        </w:rPr>
        <w:t>and has been invited to act as an Internal</w:t>
      </w:r>
      <w:r w:rsidR="00D01D3C">
        <w:rPr>
          <w:b/>
          <w:color w:val="FF0000"/>
        </w:rPr>
        <w:t xml:space="preserve"> Examiner</w:t>
      </w:r>
      <w:r w:rsidR="00FD0713" w:rsidRPr="00E953AB">
        <w:rPr>
          <w:b/>
          <w:color w:val="FF0000"/>
        </w:rPr>
        <w:t>,</w:t>
      </w:r>
      <w:r w:rsidR="00FD0713">
        <w:rPr>
          <w:color w:val="FF0000"/>
        </w:rPr>
        <w:t xml:space="preserve"> </w:t>
      </w:r>
      <w:r w:rsidRPr="006016C7">
        <w:t>we would not expect them to follow the structured support detailed within this guidance note. In th</w:t>
      </w:r>
      <w:r>
        <w:t>o</w:t>
      </w:r>
      <w:r w:rsidRPr="006016C7">
        <w:t xml:space="preserve">se cases, the PGR Director would appoint someone to provide the new member of staff with guidance and the </w:t>
      </w:r>
      <w:r w:rsidR="000F0B2F" w:rsidRPr="000F0B2F">
        <w:rPr>
          <w:b/>
          <w:color w:val="FF0000"/>
        </w:rPr>
        <w:t>appropriate</w:t>
      </w:r>
      <w:r w:rsidR="000F0B2F">
        <w:t xml:space="preserve"> adequate</w:t>
      </w:r>
      <w:r w:rsidRPr="006016C7">
        <w:t xml:space="preserve"> level of support</w:t>
      </w:r>
      <w:r w:rsidR="003F5FDB">
        <w:t xml:space="preserve"> </w:t>
      </w:r>
      <w:r w:rsidR="00802C1A" w:rsidRPr="0008322A">
        <w:t>commensurate</w:t>
      </w:r>
      <w:r w:rsidR="003F5FDB">
        <w:t xml:space="preserve"> to</w:t>
      </w:r>
      <w:r>
        <w:t xml:space="preserve"> their experience.</w:t>
      </w:r>
    </w:p>
    <w:p w:rsidR="006016C7" w:rsidRPr="006016C7" w:rsidRDefault="006016C7" w:rsidP="005E5EE3">
      <w:pPr>
        <w:pStyle w:val="NoSpacing"/>
        <w:jc w:val="both"/>
      </w:pPr>
    </w:p>
    <w:p w:rsidR="005E5EE3" w:rsidRDefault="005E5EE3" w:rsidP="005E5EE3">
      <w:pPr>
        <w:pStyle w:val="NoSpacing"/>
        <w:jc w:val="both"/>
        <w:rPr>
          <w:sz w:val="23"/>
          <w:szCs w:val="23"/>
        </w:rPr>
      </w:pPr>
      <w:r w:rsidRPr="00102CD1">
        <w:rPr>
          <w:b/>
          <w:sz w:val="23"/>
          <w:szCs w:val="23"/>
        </w:rPr>
        <w:t xml:space="preserve">Key </w:t>
      </w:r>
      <w:r>
        <w:rPr>
          <w:b/>
          <w:sz w:val="23"/>
          <w:szCs w:val="23"/>
        </w:rPr>
        <w:t>Stages</w:t>
      </w:r>
      <w:r>
        <w:rPr>
          <w:sz w:val="23"/>
          <w:szCs w:val="23"/>
        </w:rPr>
        <w:t xml:space="preserve"> </w:t>
      </w:r>
    </w:p>
    <w:p w:rsidR="005E5EE3" w:rsidRPr="007423F8" w:rsidRDefault="005E5EE3" w:rsidP="005E5EE3">
      <w:pPr>
        <w:pStyle w:val="NoSpacing"/>
        <w:jc w:val="both"/>
        <w:rPr>
          <w:sz w:val="21"/>
          <w:szCs w:val="21"/>
        </w:rPr>
      </w:pPr>
      <w:r w:rsidRPr="00F11E8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961F4" wp14:editId="5E6F89A8">
                <wp:simplePos x="0" y="0"/>
                <wp:positionH relativeFrom="column">
                  <wp:posOffset>2627222</wp:posOffset>
                </wp:positionH>
                <wp:positionV relativeFrom="paragraph">
                  <wp:posOffset>315595</wp:posOffset>
                </wp:positionV>
                <wp:extent cx="0" cy="167005"/>
                <wp:effectExtent l="95250" t="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06.85pt;margin-top:24.85pt;width:0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214AF9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PGR Director approves the nomination of Examiners </w:t>
      </w:r>
      <w:hyperlink r:id="rId12" w:history="1">
        <w:r w:rsidRPr="007423F8">
          <w:rPr>
            <w:rStyle w:val="Hyperlink"/>
            <w:sz w:val="21"/>
            <w:szCs w:val="21"/>
          </w:rPr>
          <w:t xml:space="preserve">Nomination of Examiners and Independent Chairs for Postgraduate Research Degree Examinations Policy (September 2009) </w:t>
        </w:r>
        <w:proofErr w:type="spellStart"/>
        <w:r w:rsidRPr="007423F8">
          <w:rPr>
            <w:rStyle w:val="Hyperlink"/>
            <w:sz w:val="21"/>
            <w:szCs w:val="21"/>
          </w:rPr>
          <w:t>Ss</w:t>
        </w:r>
        <w:proofErr w:type="spellEnd"/>
        <w:r w:rsidRPr="007423F8">
          <w:rPr>
            <w:rStyle w:val="Hyperlink"/>
            <w:sz w:val="21"/>
            <w:szCs w:val="21"/>
          </w:rPr>
          <w:t xml:space="preserve"> 7- 9</w:t>
        </w:r>
      </w:hyperlink>
      <w:r>
        <w:rPr>
          <w:sz w:val="21"/>
          <w:szCs w:val="21"/>
        </w:rPr>
        <w:t xml:space="preserve"> </w:t>
      </w: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Pr="00AD35EC" w:rsidRDefault="00A54553" w:rsidP="005E5EE3">
      <w:pPr>
        <w:pStyle w:val="NoSpacing"/>
        <w:ind w:left="720"/>
        <w:rPr>
          <w:b/>
        </w:rPr>
      </w:pPr>
      <w:r w:rsidRPr="00F11E8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182B" wp14:editId="50C61BA9">
                <wp:simplePos x="0" y="0"/>
                <wp:positionH relativeFrom="column">
                  <wp:posOffset>-77638</wp:posOffset>
                </wp:positionH>
                <wp:positionV relativeFrom="paragraph">
                  <wp:posOffset>41071</wp:posOffset>
                </wp:positionV>
                <wp:extent cx="6305550" cy="1846053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E3" w:rsidRPr="00F40E58" w:rsidRDefault="005E5EE3" w:rsidP="005E5E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40E58">
                              <w:rPr>
                                <w:b/>
                              </w:rPr>
                              <w:t>Meeting 1: Before assessing the thesis, the IE arranges an appointment with the IC to discuss:</w:t>
                            </w:r>
                          </w:p>
                          <w:p w:rsidR="005E5EE3" w:rsidRPr="00A54553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54553">
                              <w:t>The key role and responsibilities of the IE, EE and IC</w:t>
                            </w:r>
                            <w:r w:rsidR="008F0885">
                              <w:t xml:space="preserve"> (if applicable)</w:t>
                            </w:r>
                            <w:r w:rsidRPr="00A54553">
                              <w:t xml:space="preserve">  (</w:t>
                            </w:r>
                            <w:proofErr w:type="spellStart"/>
                            <w:r w:rsidRPr="00A54553">
                              <w:t>Ss</w:t>
                            </w:r>
                            <w:proofErr w:type="spellEnd"/>
                            <w:r w:rsidRPr="00A54553">
                              <w:t xml:space="preserve"> 5-8 of the Nomination policy)</w:t>
                            </w:r>
                            <w:r w:rsidR="003B6BB3">
                              <w:t>;</w:t>
                            </w:r>
                          </w:p>
                          <w:p w:rsidR="005E5EE3" w:rsidRPr="00A54553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54553">
                              <w:t xml:space="preserve">Timeframe and deadlines for organising and holding the thesis (S11 of the Examination policies) including publication of Oral Examination Notice on </w:t>
                            </w:r>
                            <w:proofErr w:type="spellStart"/>
                            <w:r w:rsidRPr="00A54553">
                              <w:t>eProg</w:t>
                            </w:r>
                            <w:proofErr w:type="spellEnd"/>
                            <w:r w:rsidRPr="00A54553">
                              <w:t xml:space="preserve"> (deadline 8 weeks after thesis dispatched to Examiners);</w:t>
                            </w:r>
                          </w:p>
                          <w:p w:rsidR="005E5EE3" w:rsidRPr="00A54553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A54553">
                              <w:t>Pre-examination administrative formaliti</w:t>
                            </w:r>
                            <w:r w:rsidR="005F27F6">
                              <w:t>es including disability support and</w:t>
                            </w:r>
                            <w:r w:rsidRPr="00A54553">
                              <w:t xml:space="preserve"> liaising with the EE (</w:t>
                            </w:r>
                            <w:proofErr w:type="spellStart"/>
                            <w:r w:rsidRPr="00A54553">
                              <w:t>Ss</w:t>
                            </w:r>
                            <w:proofErr w:type="spellEnd"/>
                            <w:r w:rsidRPr="00A54553">
                              <w:t xml:space="preserve"> 8 and 12 of the Examination policies)</w:t>
                            </w:r>
                            <w:r w:rsidR="0055722B">
                              <w:t>;</w:t>
                            </w:r>
                          </w:p>
                          <w:p w:rsidR="005E5EE3" w:rsidRPr="00A54553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54553">
                              <w:t>Whether the thesis meets the University’s requirements under the Presentation Policy</w:t>
                            </w:r>
                            <w:r w:rsidR="00472CE8">
                              <w:t>.</w:t>
                            </w:r>
                          </w:p>
                          <w:p w:rsidR="005E5EE3" w:rsidRPr="00A54553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A54553">
                              <w:t>Assessing the thesis according to the criteria for examination (S5 of the Examination policies).</w:t>
                            </w:r>
                          </w:p>
                          <w:p w:rsidR="005E5EE3" w:rsidRDefault="005E5EE3" w:rsidP="005E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3.25pt;width:496.5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">
                <v:textbox>
                  <w:txbxContent>
                    <w:p w:rsidR="005E5EE3" w:rsidRPr="00F40E58" w:rsidRDefault="005E5EE3" w:rsidP="005E5EE3">
                      <w:pPr>
                        <w:pStyle w:val="NoSpacing"/>
                        <w:rPr>
                          <w:b/>
                        </w:rPr>
                      </w:pPr>
                      <w:r w:rsidRPr="00F40E58">
                        <w:rPr>
                          <w:b/>
                        </w:rPr>
                        <w:t>Meeting 1: Before assessing the thesis, the IE arranges an appointment with the IC to discuss:</w:t>
                      </w:r>
                    </w:p>
                    <w:p w:rsidR="005E5EE3" w:rsidRPr="00A54553" w:rsidRDefault="005E5EE3" w:rsidP="005E5EE3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54553">
                        <w:t>The key role and responsibilities of the IE, EE and IC</w:t>
                      </w:r>
                      <w:r w:rsidR="008F0885">
                        <w:t xml:space="preserve"> (if applicable)</w:t>
                      </w:r>
                      <w:r w:rsidRPr="00A54553">
                        <w:t xml:space="preserve">  (Ss 5-8 of the Nomination policy)</w:t>
                      </w:r>
                      <w:r w:rsidR="003B6BB3">
                        <w:t>;</w:t>
                      </w:r>
                    </w:p>
                    <w:p w:rsidR="005E5EE3" w:rsidRPr="00A54553" w:rsidRDefault="005E5EE3" w:rsidP="005E5EE3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54553">
                        <w:t>Timeframe and deadlines for organising and holding the thesis (S11 of the Examination policies) including publication of Oral Examination Notice on eProg (deadline 8 weeks after thesis dispatched to Examiners);</w:t>
                      </w:r>
                    </w:p>
                    <w:p w:rsidR="005E5EE3" w:rsidRPr="00A54553" w:rsidRDefault="005E5EE3" w:rsidP="005E5EE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A54553">
                        <w:t>Pre-examination administrative formaliti</w:t>
                      </w:r>
                      <w:r w:rsidR="005F27F6">
                        <w:t>es including disability support and</w:t>
                      </w:r>
                      <w:r w:rsidRPr="00A54553">
                        <w:t xml:space="preserve"> liaising with the EE (Ss 8 and 12 of the Examination policies)</w:t>
                      </w:r>
                      <w:r w:rsidR="0055722B">
                        <w:t>;</w:t>
                      </w:r>
                    </w:p>
                    <w:p w:rsidR="005E5EE3" w:rsidRPr="00A54553" w:rsidRDefault="005E5EE3" w:rsidP="005E5EE3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54553">
                        <w:t>Whether the thesis meets the University’s requirements under the Presentation Policy</w:t>
                      </w:r>
                      <w:r w:rsidR="00472CE8">
                        <w:t>.</w:t>
                      </w:r>
                    </w:p>
                    <w:p w:rsidR="005E5EE3" w:rsidRPr="00A54553" w:rsidRDefault="005E5EE3" w:rsidP="005E5EE3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A54553">
                        <w:t>Assessing the thesis according to the criteria for examination (S5 of the Examination policies).</w:t>
                      </w:r>
                    </w:p>
                    <w:p w:rsidR="005E5EE3" w:rsidRDefault="005E5EE3" w:rsidP="005E5EE3"/>
                  </w:txbxContent>
                </v:textbox>
              </v:shape>
            </w:pict>
          </mc:Fallback>
        </mc:AlternateContent>
      </w:r>
    </w:p>
    <w:p w:rsidR="005E5EE3" w:rsidRDefault="005E5EE3" w:rsidP="005E5EE3">
      <w:pPr>
        <w:pStyle w:val="NoSpacing"/>
        <w:jc w:val="both"/>
        <w:rPr>
          <w:sz w:val="23"/>
          <w:szCs w:val="23"/>
        </w:rPr>
      </w:pPr>
    </w:p>
    <w:p w:rsidR="005E5EE3" w:rsidRDefault="005E5EE3" w:rsidP="005E5EE3">
      <w:pPr>
        <w:pStyle w:val="NoSpacing"/>
        <w:jc w:val="both"/>
        <w:rPr>
          <w:sz w:val="23"/>
          <w:szCs w:val="23"/>
        </w:rPr>
      </w:pPr>
    </w:p>
    <w:p w:rsidR="005E5EE3" w:rsidRDefault="005E5EE3" w:rsidP="005E5EE3">
      <w:pPr>
        <w:pStyle w:val="NoSpacing"/>
        <w:rPr>
          <w:sz w:val="23"/>
          <w:szCs w:val="23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6016C7" w:rsidRPr="00F11E8B" w:rsidRDefault="00F40E58" w:rsidP="005E5EE3">
      <w:pPr>
        <w:pStyle w:val="NoSpacing"/>
        <w:rPr>
          <w:sz w:val="21"/>
          <w:szCs w:val="21"/>
        </w:rPr>
      </w:pPr>
      <w:r w:rsidRPr="00F11E8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38D93" wp14:editId="696B25C8">
                <wp:simplePos x="0" y="0"/>
                <wp:positionH relativeFrom="column">
                  <wp:posOffset>-76200</wp:posOffset>
                </wp:positionH>
                <wp:positionV relativeFrom="paragraph">
                  <wp:posOffset>29210</wp:posOffset>
                </wp:positionV>
                <wp:extent cx="6210300" cy="1828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E3" w:rsidRPr="00B93A7E" w:rsidRDefault="005E5EE3" w:rsidP="005E5EE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Meeting 2: </w:t>
                            </w:r>
                            <w:r w:rsidRPr="00B93A7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Once the IE has read the thesis they should meet with the IC to discuss:</w:t>
                            </w:r>
                          </w:p>
                          <w:p w:rsidR="005E5EE3" w:rsidRPr="00D606AB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AD35EC">
                              <w:t>Writing the IE pre-oral report</w:t>
                            </w:r>
                            <w:r>
                              <w:t xml:space="preserve"> following the guidance on the report  and in S15 of the Examination Policies – key areas of thesis to b</w:t>
                            </w:r>
                            <w:r w:rsidR="00746589">
                              <w:t>e addressed, identify corrections required,</w:t>
                            </w:r>
                            <w:r>
                              <w:t xml:space="preserve"> predicted ou</w:t>
                            </w:r>
                            <w:r w:rsidR="00F40E58">
                              <w:t xml:space="preserve">tcome and reasoning behind this. </w:t>
                            </w:r>
                            <w:r w:rsidR="00E63670">
                              <w:t xml:space="preserve"> At this stage, the IC may need to help define the award and referral categories and the expectations of a PhD</w:t>
                            </w:r>
                            <w:r w:rsidR="00DF1FD6">
                              <w:t>/MPhil</w:t>
                            </w:r>
                            <w:r w:rsidR="00E63670">
                              <w:t xml:space="preserve"> thesis for each recommendation;</w:t>
                            </w:r>
                          </w:p>
                          <w:p w:rsidR="005E5EE3" w:rsidRPr="000E558B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The pre-oral exa</w:t>
                            </w:r>
                            <w:r w:rsidR="00746589">
                              <w:t>mination meeting between the IE and EE</w:t>
                            </w:r>
                            <w:r>
                              <w:t xml:space="preserve"> (S16 of the Examination Policies) to exchange pre-oral reports, identify issues to be raised in the examination and discuss strategy for viva, confer with Supervisor if required; </w:t>
                            </w:r>
                          </w:p>
                          <w:p w:rsidR="005E5EE3" w:rsidRPr="000E558B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E558B">
                              <w:t>The conduct of the oral examination</w:t>
                            </w:r>
                            <w:r>
                              <w:t xml:space="preserve"> </w:t>
                            </w:r>
                            <w:r w:rsidRPr="000E558B">
                              <w:t>(</w:t>
                            </w:r>
                            <w:proofErr w:type="spellStart"/>
                            <w:r w:rsidRPr="000E558B">
                              <w:t>S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13.3 and </w:t>
                            </w:r>
                            <w:r w:rsidRPr="000E558B">
                              <w:t>18 of the Examination Policies) –</w:t>
                            </w:r>
                            <w:r>
                              <w:t xml:space="preserve"> the signing of the confidentiality undertaking,</w:t>
                            </w:r>
                            <w:r w:rsidRPr="000E558B">
                              <w:t xml:space="preserve"> the format for the </w:t>
                            </w:r>
                            <w:r>
                              <w:t>oral examination and</w:t>
                            </w:r>
                            <w:r w:rsidRPr="000E558B">
                              <w:t xml:space="preserve"> the questioning style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2.3pt;width:4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">
                <v:textbox>
                  <w:txbxContent>
                    <w:p w:rsidR="005E5EE3" w:rsidRPr="00B93A7E" w:rsidRDefault="005E5EE3" w:rsidP="005E5EE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Meeting 2: </w:t>
                      </w:r>
                      <w:r w:rsidRPr="00B93A7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Once the IE has read the thesis they should meet with the IC to discuss:</w:t>
                      </w:r>
                    </w:p>
                    <w:p w:rsidR="005E5EE3" w:rsidRPr="00D606AB" w:rsidRDefault="005E5EE3" w:rsidP="005E5EE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AD35EC">
                        <w:t>Writing the IE pre-oral report</w:t>
                      </w:r>
                      <w:r>
                        <w:t xml:space="preserve"> following the guidance on the report  and in S15 of the Examination Policies – key areas of thesis to b</w:t>
                      </w:r>
                      <w:r w:rsidR="00746589">
                        <w:t>e addressed, identify corrections required,</w:t>
                      </w:r>
                      <w:r>
                        <w:t xml:space="preserve"> predicted ou</w:t>
                      </w:r>
                      <w:r w:rsidR="00F40E58">
                        <w:t xml:space="preserve">tcome and reasoning behind this. </w:t>
                      </w:r>
                      <w:r w:rsidR="00E63670">
                        <w:t xml:space="preserve"> At this stage, the IC may need to help define the award and referral categories and the expectations of a PhD</w:t>
                      </w:r>
                      <w:r w:rsidR="00DF1FD6">
                        <w:t>/MPhil</w:t>
                      </w:r>
                      <w:r w:rsidR="00E63670">
                        <w:t xml:space="preserve"> thesis for each recommendation;</w:t>
                      </w:r>
                    </w:p>
                    <w:p w:rsidR="005E5EE3" w:rsidRPr="000E558B" w:rsidRDefault="005E5EE3" w:rsidP="005E5EE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The pre-oral exa</w:t>
                      </w:r>
                      <w:r w:rsidR="00746589">
                        <w:t>mination meeting between the IE and EE</w:t>
                      </w:r>
                      <w:r>
                        <w:t xml:space="preserve"> (S16 of the Examination Policies) to exchange pre-oral reports, identify issues to be raised in the examination and discuss strategy for viva, confer with Supervisor if required; </w:t>
                      </w:r>
                    </w:p>
                    <w:p w:rsidR="005E5EE3" w:rsidRPr="000E558B" w:rsidRDefault="005E5EE3" w:rsidP="005E5EE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E558B">
                        <w:t>The conduct of the oral examination</w:t>
                      </w:r>
                      <w:r>
                        <w:t xml:space="preserve"> </w:t>
                      </w:r>
                      <w:r w:rsidRPr="000E558B">
                        <w:t>(</w:t>
                      </w:r>
                      <w:proofErr w:type="spellStart"/>
                      <w:r w:rsidRPr="000E558B">
                        <w:t>S</w:t>
                      </w:r>
                      <w:r>
                        <w:t>s</w:t>
                      </w:r>
                      <w:proofErr w:type="spellEnd"/>
                      <w:r>
                        <w:t xml:space="preserve"> 13.3 and </w:t>
                      </w:r>
                      <w:r w:rsidRPr="000E558B">
                        <w:t>18 of the Examination Policies) –</w:t>
                      </w:r>
                      <w:r>
                        <w:t xml:space="preserve"> the signing of the confidentiality undertaking,</w:t>
                      </w:r>
                      <w:r w:rsidRPr="000E558B">
                        <w:t xml:space="preserve"> the format for the </w:t>
                      </w:r>
                      <w:r>
                        <w:t>oral examination and</w:t>
                      </w:r>
                      <w:r w:rsidRPr="000E558B">
                        <w:t xml:space="preserve"> the questioning style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5E5EE3" w:rsidP="005E5EE3">
      <w:pPr>
        <w:pStyle w:val="NoSpacing"/>
        <w:rPr>
          <w:sz w:val="21"/>
          <w:szCs w:val="21"/>
        </w:rPr>
      </w:pPr>
    </w:p>
    <w:p w:rsidR="005E5EE3" w:rsidRDefault="00F40E58" w:rsidP="005E5EE3">
      <w:pPr>
        <w:pStyle w:val="NoSpacing"/>
        <w:rPr>
          <w:sz w:val="21"/>
          <w:szCs w:val="21"/>
        </w:rPr>
      </w:pPr>
      <w:r w:rsidRPr="00F11E8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97B86" wp14:editId="1B44932E">
                <wp:simplePos x="0" y="0"/>
                <wp:positionH relativeFrom="column">
                  <wp:posOffset>-233045</wp:posOffset>
                </wp:positionH>
                <wp:positionV relativeFrom="paragraph">
                  <wp:posOffset>120650</wp:posOffset>
                </wp:positionV>
                <wp:extent cx="6314440" cy="1207135"/>
                <wp:effectExtent l="0" t="0" r="101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E3" w:rsidRDefault="005E5EE3" w:rsidP="005E5EE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Meeting 3: </w:t>
                            </w:r>
                            <w:r w:rsidR="006016C7">
                              <w:rPr>
                                <w:b/>
                              </w:rPr>
                              <w:t>Oral and p</w:t>
                            </w:r>
                            <w:r>
                              <w:rPr>
                                <w:b/>
                              </w:rPr>
                              <w:t>ost oral examination the IE and IC meet:</w:t>
                            </w:r>
                          </w:p>
                          <w:p w:rsidR="009B5196" w:rsidRPr="006016C7" w:rsidRDefault="006016C7" w:rsidP="009B5196">
                            <w:pPr>
                              <w:pStyle w:val="NoSpacing"/>
                            </w:pPr>
                            <w:r w:rsidRPr="006016C7">
                              <w:t xml:space="preserve">Once the viva is complete and the student </w:t>
                            </w:r>
                            <w:r w:rsidR="009B5196">
                              <w:t>has left</w:t>
                            </w:r>
                            <w:r w:rsidRPr="006016C7">
                              <w:t xml:space="preserve"> the room,</w:t>
                            </w:r>
                            <w:r>
                              <w:t xml:space="preserve"> the IE, EE and IC discuss the outcomes of the viva in preparation for the writing of the Joint Examiners’</w:t>
                            </w:r>
                            <w:r w:rsidR="009B5196">
                              <w:t xml:space="preserve"> Report and also to discuss:</w:t>
                            </w:r>
                          </w:p>
                          <w:p w:rsidR="005E5EE3" w:rsidRPr="00392187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The </w:t>
                            </w:r>
                            <w:r w:rsidR="009B5196">
                              <w:t xml:space="preserve">process of the preparation and the planned content </w:t>
                            </w:r>
                            <w:r>
                              <w:t>of the Joint Examiners’ Report (S</w:t>
                            </w:r>
                            <w:r w:rsidR="00A018B6">
                              <w:t>20 of the Examination Policies);</w:t>
                            </w:r>
                          </w:p>
                          <w:p w:rsidR="005E5EE3" w:rsidRPr="00C622DA" w:rsidRDefault="005E5EE3" w:rsidP="005E5EE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The outcome in cases where the IE and EE do not agree (S22 of the Examination Policies).</w:t>
                            </w:r>
                          </w:p>
                          <w:p w:rsidR="005E5EE3" w:rsidRPr="00710071" w:rsidRDefault="005E5EE3" w:rsidP="005E5EE3">
                            <w:pPr>
                              <w:pStyle w:val="NoSpacing"/>
                            </w:pPr>
                          </w:p>
                          <w:p w:rsidR="005E5EE3" w:rsidRDefault="005E5EE3" w:rsidP="005E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5pt;margin-top:9.5pt;width:497.2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">
                <v:textbox>
                  <w:txbxContent>
                    <w:p w:rsidR="005E5EE3" w:rsidRDefault="005E5EE3" w:rsidP="005E5EE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Meeting 3: </w:t>
                      </w:r>
                      <w:r w:rsidR="006016C7">
                        <w:rPr>
                          <w:b/>
                        </w:rPr>
                        <w:t>Oral and p</w:t>
                      </w:r>
                      <w:r>
                        <w:rPr>
                          <w:b/>
                        </w:rPr>
                        <w:t>ost oral examination the IE and IC meet:</w:t>
                      </w:r>
                    </w:p>
                    <w:p w:rsidR="009B5196" w:rsidRPr="006016C7" w:rsidRDefault="006016C7" w:rsidP="009B5196">
                      <w:pPr>
                        <w:pStyle w:val="NoSpacing"/>
                      </w:pPr>
                      <w:r w:rsidRPr="006016C7">
                        <w:t xml:space="preserve">Once the viva is complete and the student </w:t>
                      </w:r>
                      <w:r w:rsidR="009B5196">
                        <w:t>has left</w:t>
                      </w:r>
                      <w:r w:rsidRPr="006016C7">
                        <w:t xml:space="preserve"> the room,</w:t>
                      </w:r>
                      <w:r>
                        <w:t xml:space="preserve"> the IE, EE and IC discuss the outcomes of the viva in preparation for the writing of the Joint Examiners’</w:t>
                      </w:r>
                      <w:r w:rsidR="009B5196">
                        <w:t xml:space="preserve"> Report and also to discuss:</w:t>
                      </w:r>
                    </w:p>
                    <w:p w:rsidR="005E5EE3" w:rsidRPr="00392187" w:rsidRDefault="005E5EE3" w:rsidP="005E5EE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 xml:space="preserve">The </w:t>
                      </w:r>
                      <w:r w:rsidR="009B5196">
                        <w:t xml:space="preserve">process of the preparation and the planned content </w:t>
                      </w:r>
                      <w:r>
                        <w:t>of the Joint Examiners’ Report (S</w:t>
                      </w:r>
                      <w:r w:rsidR="00A018B6">
                        <w:t>20 of the Examination Policies);</w:t>
                      </w:r>
                    </w:p>
                    <w:p w:rsidR="005E5EE3" w:rsidRPr="00C622DA" w:rsidRDefault="005E5EE3" w:rsidP="005E5EE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The outcome in cases where the IE and EE do not agree (S22 of the Examination Policies).</w:t>
                      </w:r>
                    </w:p>
                    <w:p w:rsidR="005E5EE3" w:rsidRPr="00710071" w:rsidRDefault="005E5EE3" w:rsidP="005E5EE3">
                      <w:pPr>
                        <w:pStyle w:val="NoSpacing"/>
                      </w:pPr>
                    </w:p>
                    <w:p w:rsidR="005E5EE3" w:rsidRDefault="005E5EE3" w:rsidP="005E5EE3"/>
                  </w:txbxContent>
                </v:textbox>
              </v:shape>
            </w:pict>
          </mc:Fallback>
        </mc:AlternateContent>
      </w:r>
    </w:p>
    <w:p w:rsidR="006016C7" w:rsidRDefault="006016C7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5E5EE3" w:rsidRPr="00F11E8B" w:rsidRDefault="005E5EE3" w:rsidP="005E5EE3">
      <w:pPr>
        <w:pStyle w:val="NoSpacing"/>
        <w:rPr>
          <w:sz w:val="21"/>
          <w:szCs w:val="21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F40E58" w:rsidP="005E5EE3">
      <w:pPr>
        <w:pStyle w:val="NoSpacing"/>
        <w:rPr>
          <w:b/>
          <w:sz w:val="21"/>
          <w:szCs w:val="21"/>
          <w:u w:val="single"/>
        </w:rPr>
      </w:pPr>
      <w:r w:rsidRPr="009B5196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EB3A" wp14:editId="173806AF">
                <wp:simplePos x="0" y="0"/>
                <wp:positionH relativeFrom="column">
                  <wp:posOffset>-276045</wp:posOffset>
                </wp:positionH>
                <wp:positionV relativeFrom="paragraph">
                  <wp:posOffset>96436</wp:posOffset>
                </wp:positionV>
                <wp:extent cx="6314440" cy="1673525"/>
                <wp:effectExtent l="0" t="0" r="101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6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96" w:rsidRPr="00F40E58" w:rsidRDefault="009B5196" w:rsidP="009B51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Meeting 4: Post oral examination the IE and IC meet to discuss:</w:t>
                            </w:r>
                          </w:p>
                          <w:p w:rsidR="009B5196" w:rsidRPr="009B5196" w:rsidRDefault="009B5196" w:rsidP="009B51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The content of the Joint Examiners’ Report to check that this is a standalone report that provides adequate feedback for the PGR candidate;</w:t>
                            </w:r>
                          </w:p>
                          <w:p w:rsidR="009B5196" w:rsidRPr="00981E48" w:rsidRDefault="009B5196" w:rsidP="009B51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Uploading of pre-oral and Joint Examiners’ reports to </w:t>
                            </w:r>
                            <w:proofErr w:type="spellStart"/>
                            <w:r>
                              <w:t>eProg</w:t>
                            </w:r>
                            <w:proofErr w:type="spellEnd"/>
                            <w:r>
                              <w:t xml:space="preserve"> within 3 working days after oral examination;</w:t>
                            </w:r>
                          </w:p>
                          <w:p w:rsidR="009B5196" w:rsidRPr="009B5196" w:rsidRDefault="009B5196" w:rsidP="009B51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The next stage of the process – i.e. the ratification of the award by the School/Faculty PGRC committee;</w:t>
                            </w:r>
                          </w:p>
                          <w:p w:rsidR="009B5196" w:rsidRPr="009B5196" w:rsidRDefault="009B5196" w:rsidP="009B51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The signing off of corrections process should this be an </w:t>
                            </w:r>
                            <w:proofErr w:type="spellStart"/>
                            <w:r>
                              <w:t>Aii</w:t>
                            </w:r>
                            <w:proofErr w:type="spellEnd"/>
                            <w:r>
                              <w:t xml:space="preserve"> award;</w:t>
                            </w:r>
                          </w:p>
                          <w:p w:rsidR="009B5196" w:rsidRPr="00F40E58" w:rsidRDefault="009B5196" w:rsidP="009B51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The resubmission process should th</w:t>
                            </w:r>
                            <w:r w:rsidR="00F40E58">
                              <w:t>is be a referral recommendation.</w:t>
                            </w:r>
                          </w:p>
                          <w:p w:rsidR="009B5196" w:rsidRDefault="009B5196" w:rsidP="009B5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75pt;margin-top:7.6pt;width:497.2pt;height:1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">
                <v:textbox>
                  <w:txbxContent>
                    <w:p w:rsidR="009B5196" w:rsidRPr="00F40E58" w:rsidRDefault="009B5196" w:rsidP="009B519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Meeting 4: Post oral examination the IE and IC meet to discuss:</w:t>
                      </w:r>
                    </w:p>
                    <w:p w:rsidR="009B5196" w:rsidRPr="009B5196" w:rsidRDefault="009B5196" w:rsidP="009B51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The content of the Joint Examiners’ Report to check that this is a standalone report that provides adequate feedback for the PGR candidate;</w:t>
                      </w:r>
                    </w:p>
                    <w:p w:rsidR="009B5196" w:rsidRPr="00981E48" w:rsidRDefault="009B5196" w:rsidP="009B51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Uploading of pre-oral and Joint Examiners’ reports to eProg within 3 working days after oral examination;</w:t>
                      </w:r>
                    </w:p>
                    <w:p w:rsidR="009B5196" w:rsidRPr="009B5196" w:rsidRDefault="009B5196" w:rsidP="009B51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The next stage of the process – i.e. the ratification of the award by the School/Faculty PGRC committee;</w:t>
                      </w:r>
                    </w:p>
                    <w:p w:rsidR="009B5196" w:rsidRPr="009B5196" w:rsidRDefault="009B5196" w:rsidP="009B51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 xml:space="preserve">The signing off of corrections process should this be an </w:t>
                      </w:r>
                      <w:proofErr w:type="spellStart"/>
                      <w:r>
                        <w:t>Aii</w:t>
                      </w:r>
                      <w:proofErr w:type="spellEnd"/>
                      <w:r>
                        <w:t xml:space="preserve"> award;</w:t>
                      </w:r>
                    </w:p>
                    <w:p w:rsidR="009B5196" w:rsidRPr="00F40E58" w:rsidRDefault="009B5196" w:rsidP="009B51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The resubmission process should th</w:t>
                      </w:r>
                      <w:r w:rsidR="00F40E58">
                        <w:t>is be a referral recommendation.</w:t>
                      </w:r>
                    </w:p>
                    <w:p w:rsidR="009B5196" w:rsidRDefault="009B5196" w:rsidP="009B5196"/>
                  </w:txbxContent>
                </v:textbox>
              </v:shape>
            </w:pict>
          </mc:Fallback>
        </mc:AlternateContent>
      </w: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6016C7" w:rsidRDefault="006016C7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9B5196" w:rsidRDefault="009B5196" w:rsidP="005E5EE3">
      <w:pPr>
        <w:pStyle w:val="NoSpacing"/>
        <w:rPr>
          <w:b/>
          <w:sz w:val="21"/>
          <w:szCs w:val="21"/>
          <w:u w:val="single"/>
        </w:rPr>
      </w:pPr>
    </w:p>
    <w:p w:rsidR="005E5EE3" w:rsidRPr="00F40E58" w:rsidRDefault="005E5EE3" w:rsidP="005E5EE3">
      <w:pPr>
        <w:pStyle w:val="NoSpacing"/>
        <w:rPr>
          <w:b/>
        </w:rPr>
      </w:pPr>
      <w:r w:rsidRPr="00F40E58">
        <w:rPr>
          <w:b/>
          <w:u w:val="single"/>
        </w:rPr>
        <w:t>Actions Required</w:t>
      </w:r>
      <w:r w:rsidRPr="00F40E58">
        <w:rPr>
          <w:b/>
        </w:rPr>
        <w:t>:</w:t>
      </w:r>
    </w:p>
    <w:p w:rsidR="005E5EE3" w:rsidRPr="00F40E58" w:rsidRDefault="005E5EE3" w:rsidP="005E5EE3">
      <w:pPr>
        <w:pStyle w:val="NoSpacing"/>
        <w:rPr>
          <w:b/>
        </w:rPr>
      </w:pPr>
    </w:p>
    <w:p w:rsidR="005E5EE3" w:rsidRPr="00F40E58" w:rsidRDefault="005E5EE3" w:rsidP="005E5EE3">
      <w:pPr>
        <w:pStyle w:val="NoSpacing"/>
        <w:rPr>
          <w:b/>
        </w:rPr>
      </w:pPr>
      <w:r w:rsidRPr="00F40E58">
        <w:rPr>
          <w:b/>
        </w:rPr>
        <w:t>Internal Examiner</w:t>
      </w:r>
    </w:p>
    <w:p w:rsidR="005E5EE3" w:rsidRPr="00F40E58" w:rsidRDefault="005E5EE3" w:rsidP="005E5EE3">
      <w:pPr>
        <w:pStyle w:val="NoSpacing"/>
        <w:rPr>
          <w:b/>
        </w:rPr>
      </w:pPr>
      <w:r w:rsidRPr="00F40E58">
        <w:rPr>
          <w:b/>
        </w:rPr>
        <w:t>Pre-Oral Examination</w:t>
      </w:r>
    </w:p>
    <w:p w:rsidR="005E5EE3" w:rsidRPr="00F40E58" w:rsidRDefault="005E5EE3" w:rsidP="005E5EE3">
      <w:pPr>
        <w:pStyle w:val="NoSpacing"/>
        <w:numPr>
          <w:ilvl w:val="0"/>
          <w:numId w:val="3"/>
        </w:numPr>
      </w:pPr>
      <w:r w:rsidRPr="00F40E58">
        <w:t>Accept/decline the invitation to act as Internal Examiner and await receipt of thesis from PGR Administration team;</w:t>
      </w:r>
    </w:p>
    <w:p w:rsidR="005E5EE3" w:rsidRPr="00F40E58" w:rsidRDefault="005E5EE3" w:rsidP="005E5EE3">
      <w:pPr>
        <w:pStyle w:val="NoSpacing"/>
        <w:numPr>
          <w:ilvl w:val="0"/>
          <w:numId w:val="3"/>
        </w:numPr>
      </w:pPr>
      <w:r w:rsidRPr="00F40E58">
        <w:t>Before assessing the thesis, the Internal Examiner should meet with the Indep</w:t>
      </w:r>
      <w:r w:rsidR="000970A6" w:rsidRPr="00F40E58">
        <w:t>endent Chair and discuss the</w:t>
      </w:r>
      <w:r w:rsidRPr="00F40E58">
        <w:t xml:space="preserve"> academic and administrative steps;</w:t>
      </w:r>
    </w:p>
    <w:p w:rsidR="005E5EE3" w:rsidRPr="00F40E58" w:rsidRDefault="005E5EE3" w:rsidP="005E5EE3">
      <w:pPr>
        <w:pStyle w:val="NoSpacing"/>
        <w:numPr>
          <w:ilvl w:val="0"/>
          <w:numId w:val="3"/>
        </w:numPr>
      </w:pPr>
      <w:r w:rsidRPr="00F40E58">
        <w:t xml:space="preserve">Once the Internal Examiner has read the thesis, they should meet with the Independent Chair to discuss preparation of the pre-oral report and strategy for the pre-oral examination meeting between the External Examiner and the Supervisor. </w:t>
      </w:r>
    </w:p>
    <w:p w:rsidR="005E5EE3" w:rsidRPr="00F40E58" w:rsidRDefault="005E5EE3" w:rsidP="005E5EE3">
      <w:pPr>
        <w:pStyle w:val="NoSpacing"/>
        <w:ind w:left="720"/>
      </w:pPr>
    </w:p>
    <w:p w:rsidR="005E5EE3" w:rsidRPr="00F40E58" w:rsidRDefault="005E5EE3" w:rsidP="005E5EE3">
      <w:pPr>
        <w:pStyle w:val="NoSpacing"/>
        <w:rPr>
          <w:b/>
        </w:rPr>
      </w:pPr>
      <w:r w:rsidRPr="00F40E58">
        <w:rPr>
          <w:b/>
        </w:rPr>
        <w:t>At the Oral Examination:</w:t>
      </w:r>
    </w:p>
    <w:p w:rsidR="005E5EE3" w:rsidRPr="00F40E58" w:rsidRDefault="005E5EE3" w:rsidP="005E5EE3">
      <w:pPr>
        <w:pStyle w:val="NoSpacing"/>
        <w:numPr>
          <w:ilvl w:val="0"/>
          <w:numId w:val="2"/>
        </w:numPr>
      </w:pPr>
      <w:r w:rsidRPr="00F40E58">
        <w:t>The Internal Examiner should host the External Examiner and carry out all academic and administrative formalities as prescribed in the Examination Policies;</w:t>
      </w:r>
    </w:p>
    <w:p w:rsidR="005E5EE3" w:rsidRPr="00F40E58" w:rsidRDefault="005E5EE3" w:rsidP="005E5EE3">
      <w:pPr>
        <w:pStyle w:val="NoSpacing"/>
        <w:rPr>
          <w:b/>
        </w:rPr>
      </w:pPr>
    </w:p>
    <w:p w:rsidR="005E5EE3" w:rsidRPr="00F40E58" w:rsidRDefault="005E5EE3" w:rsidP="005E5EE3">
      <w:pPr>
        <w:pStyle w:val="NoSpacing"/>
        <w:rPr>
          <w:b/>
        </w:rPr>
      </w:pPr>
      <w:r w:rsidRPr="00F40E58">
        <w:rPr>
          <w:b/>
        </w:rPr>
        <w:t>Post Oral Examination:</w:t>
      </w:r>
    </w:p>
    <w:p w:rsidR="005E5EE3" w:rsidRPr="00F40E58" w:rsidRDefault="005E5EE3" w:rsidP="005E5EE3">
      <w:pPr>
        <w:pStyle w:val="NoSpacing"/>
        <w:numPr>
          <w:ilvl w:val="0"/>
          <w:numId w:val="7"/>
        </w:numPr>
      </w:pPr>
      <w:r w:rsidRPr="00F40E58">
        <w:t xml:space="preserve">Meet with the Independent Chair </w:t>
      </w:r>
      <w:r w:rsidR="00E63670" w:rsidRPr="00F40E58">
        <w:t xml:space="preserve">to </w:t>
      </w:r>
      <w:r w:rsidRPr="00F40E58">
        <w:t>discuss the preparation of the joint Examiners’ Report;</w:t>
      </w:r>
    </w:p>
    <w:p w:rsidR="005E5EE3" w:rsidRPr="00F40E58" w:rsidRDefault="005E5EE3" w:rsidP="005E5EE3">
      <w:pPr>
        <w:pStyle w:val="NoSpacing"/>
        <w:numPr>
          <w:ilvl w:val="0"/>
          <w:numId w:val="1"/>
        </w:numPr>
      </w:pPr>
      <w:r w:rsidRPr="00F40E58">
        <w:t xml:space="preserve">Upload the pre-oral and Joint Examiners’ report onto </w:t>
      </w:r>
      <w:proofErr w:type="spellStart"/>
      <w:r w:rsidRPr="00F40E58">
        <w:t>eProg</w:t>
      </w:r>
      <w:proofErr w:type="spellEnd"/>
      <w:r w:rsidRPr="00F40E58">
        <w:t xml:space="preserve"> within three days of the oral examination;</w:t>
      </w:r>
    </w:p>
    <w:p w:rsidR="005E5EE3" w:rsidRPr="00F40E58" w:rsidRDefault="005E5EE3" w:rsidP="005E5EE3">
      <w:pPr>
        <w:pStyle w:val="NoSpacing"/>
        <w:numPr>
          <w:ilvl w:val="0"/>
          <w:numId w:val="1"/>
        </w:numPr>
      </w:pPr>
      <w:r w:rsidRPr="00F40E58">
        <w:t xml:space="preserve">Approve </w:t>
      </w:r>
      <w:r w:rsidR="00E63670" w:rsidRPr="00F40E58">
        <w:t xml:space="preserve">and </w:t>
      </w:r>
      <w:r w:rsidRPr="00F40E58">
        <w:t>sign-off any corrections that the candidate had to make to the thesis within the prescribed time limit;</w:t>
      </w:r>
    </w:p>
    <w:p w:rsidR="005E5EE3" w:rsidRPr="00F40E58" w:rsidRDefault="005E5EE3" w:rsidP="005E5EE3">
      <w:pPr>
        <w:pStyle w:val="NoSpacing"/>
        <w:numPr>
          <w:ilvl w:val="0"/>
          <w:numId w:val="1"/>
        </w:numPr>
      </w:pPr>
      <w:r w:rsidRPr="00F40E58">
        <w:t>Liaise with the Externa</w:t>
      </w:r>
      <w:r w:rsidR="00E63670" w:rsidRPr="00F40E58">
        <w:t xml:space="preserve">l Examiner if any clarification </w:t>
      </w:r>
      <w:r w:rsidRPr="00F40E58">
        <w:t>on corrections is required</w:t>
      </w:r>
      <w:r w:rsidR="00E63670" w:rsidRPr="00F40E58">
        <w:t>.</w:t>
      </w:r>
    </w:p>
    <w:p w:rsidR="005E5EE3" w:rsidRPr="00F40E58" w:rsidRDefault="005E5EE3" w:rsidP="005E5EE3">
      <w:pPr>
        <w:pStyle w:val="NoSpacing"/>
        <w:ind w:left="720"/>
      </w:pPr>
    </w:p>
    <w:p w:rsidR="005E5EE3" w:rsidRPr="00F40E58" w:rsidRDefault="005E5EE3" w:rsidP="003F5FDB">
      <w:pPr>
        <w:rPr>
          <w:rFonts w:asciiTheme="minorHAnsi" w:hAnsiTheme="minorHAnsi"/>
          <w:b/>
          <w:sz w:val="22"/>
          <w:szCs w:val="22"/>
        </w:rPr>
      </w:pPr>
      <w:r w:rsidRPr="00F40E58">
        <w:rPr>
          <w:rFonts w:asciiTheme="minorHAnsi" w:hAnsiTheme="minorHAnsi"/>
          <w:b/>
          <w:sz w:val="22"/>
          <w:szCs w:val="22"/>
        </w:rPr>
        <w:t>Independent Chair</w:t>
      </w:r>
    </w:p>
    <w:p w:rsidR="009D64E6" w:rsidRPr="00F40E58" w:rsidRDefault="005E5EE3" w:rsidP="003F5FDB">
      <w:pPr>
        <w:pStyle w:val="NoSpacing"/>
        <w:numPr>
          <w:ilvl w:val="0"/>
          <w:numId w:val="8"/>
        </w:numPr>
      </w:pPr>
      <w:r w:rsidRPr="00F40E58">
        <w:t xml:space="preserve">The key </w:t>
      </w:r>
      <w:r w:rsidR="009D64E6" w:rsidRPr="00F40E58">
        <w:t xml:space="preserve">role </w:t>
      </w:r>
      <w:r w:rsidRPr="00F40E58">
        <w:t xml:space="preserve">of the Independent Chair throughout this process is to use their skill and knowledge to mentor and support the Internal Examiner through the pre-oral, oral examination and post-oral examination stages.  </w:t>
      </w:r>
    </w:p>
    <w:p w:rsidR="00900B13" w:rsidRDefault="00A54553" w:rsidP="009B5196">
      <w:pPr>
        <w:pStyle w:val="NoSpacing"/>
        <w:numPr>
          <w:ilvl w:val="0"/>
          <w:numId w:val="8"/>
        </w:numPr>
      </w:pPr>
      <w:r w:rsidRPr="00F40E58">
        <w:lastRenderedPageBreak/>
        <w:t xml:space="preserve">They should meet with the </w:t>
      </w:r>
      <w:r w:rsidR="009B5196" w:rsidRPr="00F40E58">
        <w:t>Internal Examiner</w:t>
      </w:r>
      <w:r w:rsidRPr="00F40E58">
        <w:t xml:space="preserve"> as suggested in the guidance and ensure that the Internal Examiner is clear about all key academic and administrative tasks that they have to perform.  </w:t>
      </w:r>
    </w:p>
    <w:p w:rsidR="008626CC" w:rsidRDefault="008626CC" w:rsidP="008626CC">
      <w:pPr>
        <w:pStyle w:val="NoSpacing"/>
      </w:pPr>
    </w:p>
    <w:p w:rsidR="008626CC" w:rsidRDefault="008626CC" w:rsidP="008626CC">
      <w:pPr>
        <w:pStyle w:val="NoSpacing"/>
      </w:pPr>
    </w:p>
    <w:p w:rsidR="008626CC" w:rsidRDefault="008626CC" w:rsidP="008626CC">
      <w:pPr>
        <w:pStyle w:val="NoSpacing"/>
      </w:pPr>
    </w:p>
    <w:p w:rsidR="008626CC" w:rsidRPr="00F40E58" w:rsidRDefault="008626CC" w:rsidP="008626CC">
      <w:pPr>
        <w:pStyle w:val="NoSpacing"/>
      </w:pPr>
      <w:r>
        <w:t>September 2015</w:t>
      </w:r>
    </w:p>
    <w:sectPr w:rsidR="008626CC" w:rsidRPr="00F40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E3" w:rsidRDefault="005E5EE3" w:rsidP="005E5EE3">
      <w:r>
        <w:separator/>
      </w:r>
    </w:p>
  </w:endnote>
  <w:endnote w:type="continuationSeparator" w:id="0">
    <w:p w:rsidR="005E5EE3" w:rsidRDefault="005E5EE3" w:rsidP="005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E3" w:rsidRDefault="005E5EE3" w:rsidP="005E5EE3">
      <w:r>
        <w:separator/>
      </w:r>
    </w:p>
  </w:footnote>
  <w:footnote w:type="continuationSeparator" w:id="0">
    <w:p w:rsidR="005E5EE3" w:rsidRDefault="005E5EE3" w:rsidP="005E5EE3">
      <w:r>
        <w:continuationSeparator/>
      </w:r>
    </w:p>
  </w:footnote>
  <w:footnote w:id="1">
    <w:p w:rsidR="005E5EE3" w:rsidRDefault="005E5EE3" w:rsidP="005E5E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210F">
        <w:rPr>
          <w:rFonts w:asciiTheme="minorHAnsi" w:hAnsiTheme="minorHAnsi"/>
        </w:rPr>
        <w:t>These should be repeated in the case of resubmission of the thesis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8FB"/>
    <w:multiLevelType w:val="hybridMultilevel"/>
    <w:tmpl w:val="7176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19F"/>
    <w:multiLevelType w:val="hybridMultilevel"/>
    <w:tmpl w:val="BBDE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C56"/>
    <w:multiLevelType w:val="hybridMultilevel"/>
    <w:tmpl w:val="C384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0BB3"/>
    <w:multiLevelType w:val="hybridMultilevel"/>
    <w:tmpl w:val="2574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2B06"/>
    <w:multiLevelType w:val="hybridMultilevel"/>
    <w:tmpl w:val="A6D6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09FD"/>
    <w:multiLevelType w:val="hybridMultilevel"/>
    <w:tmpl w:val="E284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2665"/>
    <w:multiLevelType w:val="hybridMultilevel"/>
    <w:tmpl w:val="60A8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0B16"/>
    <w:multiLevelType w:val="hybridMultilevel"/>
    <w:tmpl w:val="1EB4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3"/>
    <w:rsid w:val="0008322A"/>
    <w:rsid w:val="000970A6"/>
    <w:rsid w:val="000F0B2F"/>
    <w:rsid w:val="00214AF9"/>
    <w:rsid w:val="003B6BB3"/>
    <w:rsid w:val="003F5FDB"/>
    <w:rsid w:val="004402A2"/>
    <w:rsid w:val="00472CE8"/>
    <w:rsid w:val="004A4911"/>
    <w:rsid w:val="0055722B"/>
    <w:rsid w:val="005E5EE3"/>
    <w:rsid w:val="005F27F6"/>
    <w:rsid w:val="006016C7"/>
    <w:rsid w:val="00746589"/>
    <w:rsid w:val="00802C1A"/>
    <w:rsid w:val="008626CC"/>
    <w:rsid w:val="008F0885"/>
    <w:rsid w:val="008F49E2"/>
    <w:rsid w:val="00900B13"/>
    <w:rsid w:val="009B5196"/>
    <w:rsid w:val="009D64E6"/>
    <w:rsid w:val="00A018B6"/>
    <w:rsid w:val="00A54553"/>
    <w:rsid w:val="00AB43E5"/>
    <w:rsid w:val="00C33F21"/>
    <w:rsid w:val="00D01D3C"/>
    <w:rsid w:val="00DC097E"/>
    <w:rsid w:val="00DF1FD6"/>
    <w:rsid w:val="00E63670"/>
    <w:rsid w:val="00E711D4"/>
    <w:rsid w:val="00E953AB"/>
    <w:rsid w:val="00F40E58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E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5E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EE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E5EE3"/>
    <w:rPr>
      <w:vertAlign w:val="superscript"/>
    </w:rPr>
  </w:style>
  <w:style w:type="paragraph" w:customStyle="1" w:styleId="Default">
    <w:name w:val="Default"/>
    <w:rsid w:val="005E5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49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DB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D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D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E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5E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EE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E5EE3"/>
    <w:rPr>
      <w:vertAlign w:val="superscript"/>
    </w:rPr>
  </w:style>
  <w:style w:type="paragraph" w:customStyle="1" w:styleId="Default">
    <w:name w:val="Default"/>
    <w:rsid w:val="005E5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49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DB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D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D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74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uments.manchester.ac.uk/display.aspx?DocID=7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uments.manchester.ac.uk/display.aspx?DocID=74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uments.manchester.ac.uk/display.aspx?DocID=7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isplay.aspx?DocID=7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Davies</dc:creator>
  <cp:lastModifiedBy>Louise Davies</cp:lastModifiedBy>
  <cp:revision>10</cp:revision>
  <dcterms:created xsi:type="dcterms:W3CDTF">2015-07-03T15:26:00Z</dcterms:created>
  <dcterms:modified xsi:type="dcterms:W3CDTF">2015-10-01T13:40:00Z</dcterms:modified>
</cp:coreProperties>
</file>