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AB" w:rsidRPr="00351EAB" w:rsidRDefault="00351EAB" w:rsidP="00C966E7">
      <w:pPr>
        <w:spacing w:after="120" w:line="240" w:lineRule="auto"/>
        <w:jc w:val="center"/>
        <w:rPr>
          <w:rFonts w:eastAsia="Times New Roman" w:cs="Tahoma"/>
          <w:b/>
          <w:color w:val="000000"/>
          <w:sz w:val="28"/>
          <w:szCs w:val="28"/>
          <w:lang w:eastAsia="en-GB"/>
        </w:rPr>
      </w:pPr>
      <w:bookmarkStart w:id="0" w:name="_GoBack"/>
      <w:bookmarkEnd w:id="0"/>
      <w:r w:rsidRPr="00351EAB">
        <w:rPr>
          <w:rFonts w:eastAsia="Times New Roman" w:cs="Tahoma"/>
          <w:b/>
          <w:color w:val="000000"/>
          <w:sz w:val="28"/>
          <w:szCs w:val="28"/>
          <w:lang w:eastAsia="en-GB"/>
        </w:rPr>
        <w:t>Humanities Equality and Diversity Working Group report</w:t>
      </w:r>
    </w:p>
    <w:p w:rsidR="000F52A6" w:rsidRPr="00193798" w:rsidRDefault="007E5391" w:rsidP="007E5391">
      <w:pPr>
        <w:spacing w:after="120" w:line="240" w:lineRule="auto"/>
        <w:jc w:val="center"/>
        <w:rPr>
          <w:rFonts w:eastAsia="Times New Roman" w:cs="Tahoma"/>
          <w:b/>
          <w:color w:val="000000"/>
          <w:sz w:val="24"/>
          <w:szCs w:val="24"/>
          <w:lang w:eastAsia="en-GB"/>
        </w:rPr>
      </w:pPr>
      <w:r w:rsidRPr="00193798">
        <w:rPr>
          <w:rFonts w:eastAsia="Times New Roman" w:cs="Tahoma"/>
          <w:b/>
          <w:color w:val="000000"/>
          <w:sz w:val="24"/>
          <w:szCs w:val="24"/>
          <w:lang w:eastAsia="en-GB"/>
        </w:rPr>
        <w:t>Table of Contents</w:t>
      </w: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851"/>
        <w:gridCol w:w="7229"/>
        <w:gridCol w:w="667"/>
      </w:tblGrid>
      <w:tr w:rsidR="000F52A6" w:rsidRPr="00FC4BEA" w:rsidTr="00A40C6F">
        <w:tc>
          <w:tcPr>
            <w:tcW w:w="851" w:type="dxa"/>
          </w:tcPr>
          <w:p w:rsidR="000F52A6" w:rsidRPr="00FC4BEA" w:rsidRDefault="000F52A6" w:rsidP="007E5391">
            <w:pPr>
              <w:rPr>
                <w:rFonts w:asciiTheme="minorHAnsi" w:hAnsiTheme="minorHAnsi" w:cs="Tahoma"/>
                <w:b/>
                <w:color w:val="000000"/>
                <w:sz w:val="22"/>
                <w:szCs w:val="22"/>
              </w:rPr>
            </w:pPr>
            <w:r w:rsidRPr="00FC4BEA">
              <w:rPr>
                <w:rFonts w:asciiTheme="minorHAnsi" w:hAnsiTheme="minorHAnsi" w:cs="Tahoma"/>
                <w:b/>
                <w:color w:val="000000"/>
                <w:sz w:val="22"/>
                <w:szCs w:val="22"/>
              </w:rPr>
              <w:t>1.</w:t>
            </w:r>
          </w:p>
        </w:tc>
        <w:tc>
          <w:tcPr>
            <w:tcW w:w="7229" w:type="dxa"/>
          </w:tcPr>
          <w:p w:rsidR="000F52A6" w:rsidRPr="00FC4BEA" w:rsidRDefault="000F52A6" w:rsidP="007E5391">
            <w:pPr>
              <w:rPr>
                <w:rFonts w:asciiTheme="minorHAnsi" w:hAnsiTheme="minorHAnsi" w:cs="Tahoma"/>
                <w:b/>
                <w:color w:val="000000"/>
                <w:sz w:val="22"/>
                <w:szCs w:val="22"/>
              </w:rPr>
            </w:pPr>
            <w:r w:rsidRPr="00FC4BEA">
              <w:rPr>
                <w:rFonts w:asciiTheme="minorHAnsi" w:hAnsiTheme="minorHAnsi" w:cs="Tahoma"/>
                <w:b/>
                <w:color w:val="000000"/>
                <w:sz w:val="22"/>
                <w:szCs w:val="22"/>
              </w:rPr>
              <w:t>Introduction</w:t>
            </w:r>
          </w:p>
        </w:tc>
        <w:tc>
          <w:tcPr>
            <w:tcW w:w="667" w:type="dxa"/>
          </w:tcPr>
          <w:p w:rsidR="000F52A6" w:rsidRPr="00FC4BEA" w:rsidRDefault="00377853" w:rsidP="00A3691C">
            <w:pPr>
              <w:jc w:val="center"/>
              <w:rPr>
                <w:rFonts w:asciiTheme="minorHAnsi" w:hAnsiTheme="minorHAnsi" w:cs="Tahoma"/>
                <w:b/>
                <w:color w:val="000000"/>
                <w:sz w:val="22"/>
                <w:szCs w:val="22"/>
              </w:rPr>
            </w:pPr>
            <w:r>
              <w:rPr>
                <w:rFonts w:asciiTheme="minorHAnsi" w:hAnsiTheme="minorHAnsi" w:cs="Tahoma"/>
                <w:b/>
                <w:color w:val="000000"/>
                <w:sz w:val="22"/>
                <w:szCs w:val="22"/>
              </w:rPr>
              <w:t>2</w:t>
            </w:r>
          </w:p>
        </w:tc>
      </w:tr>
      <w:tr w:rsidR="000F52A6" w:rsidRPr="00FC4BEA" w:rsidTr="00A40C6F">
        <w:tc>
          <w:tcPr>
            <w:tcW w:w="851" w:type="dxa"/>
          </w:tcPr>
          <w:p w:rsidR="000F52A6" w:rsidRPr="00FC4BEA" w:rsidRDefault="000F52A6" w:rsidP="007E5391">
            <w:pPr>
              <w:rPr>
                <w:rFonts w:asciiTheme="minorHAnsi" w:hAnsiTheme="minorHAnsi" w:cs="Tahoma"/>
                <w:b/>
                <w:color w:val="000000"/>
                <w:sz w:val="22"/>
                <w:szCs w:val="22"/>
              </w:rPr>
            </w:pPr>
            <w:r w:rsidRPr="00FC4BEA">
              <w:rPr>
                <w:rFonts w:asciiTheme="minorHAnsi" w:hAnsiTheme="minorHAnsi" w:cs="Tahoma"/>
                <w:b/>
                <w:color w:val="000000"/>
                <w:sz w:val="22"/>
                <w:szCs w:val="22"/>
              </w:rPr>
              <w:t>2.</w:t>
            </w:r>
          </w:p>
        </w:tc>
        <w:tc>
          <w:tcPr>
            <w:tcW w:w="7229" w:type="dxa"/>
          </w:tcPr>
          <w:p w:rsidR="000F52A6" w:rsidRPr="00FC4BEA" w:rsidRDefault="000F52A6" w:rsidP="007E5391">
            <w:pPr>
              <w:contextualSpacing/>
              <w:rPr>
                <w:rFonts w:asciiTheme="minorHAnsi" w:hAnsiTheme="minorHAnsi" w:cs="Tahoma"/>
                <w:b/>
                <w:color w:val="000000"/>
                <w:sz w:val="22"/>
                <w:szCs w:val="22"/>
              </w:rPr>
            </w:pPr>
            <w:r w:rsidRPr="00FC4BEA">
              <w:rPr>
                <w:rFonts w:asciiTheme="minorHAnsi" w:hAnsiTheme="minorHAnsi" w:cs="Tahoma"/>
                <w:b/>
                <w:color w:val="000000"/>
                <w:sz w:val="22"/>
                <w:szCs w:val="22"/>
              </w:rPr>
              <w:t>Progress Report on Working Group activity (November 2013-October 2014)</w:t>
            </w:r>
          </w:p>
        </w:tc>
        <w:tc>
          <w:tcPr>
            <w:tcW w:w="667" w:type="dxa"/>
          </w:tcPr>
          <w:p w:rsidR="000F52A6" w:rsidRPr="00FC4BEA" w:rsidRDefault="00377853" w:rsidP="00A3691C">
            <w:pPr>
              <w:jc w:val="center"/>
              <w:rPr>
                <w:rFonts w:asciiTheme="minorHAnsi" w:hAnsiTheme="minorHAnsi" w:cs="Tahoma"/>
                <w:b/>
                <w:color w:val="000000"/>
                <w:sz w:val="22"/>
                <w:szCs w:val="22"/>
              </w:rPr>
            </w:pPr>
            <w:r>
              <w:rPr>
                <w:rFonts w:asciiTheme="minorHAnsi" w:hAnsiTheme="minorHAnsi" w:cs="Tahoma"/>
                <w:b/>
                <w:color w:val="000000"/>
                <w:sz w:val="22"/>
                <w:szCs w:val="22"/>
              </w:rPr>
              <w:t>3</w:t>
            </w:r>
          </w:p>
        </w:tc>
      </w:tr>
      <w:tr w:rsidR="007E5391" w:rsidRPr="007E5391" w:rsidTr="00A40C6F">
        <w:tc>
          <w:tcPr>
            <w:tcW w:w="851" w:type="dxa"/>
          </w:tcPr>
          <w:p w:rsidR="007E5391" w:rsidRPr="007E5391" w:rsidRDefault="007E5391" w:rsidP="007E5391">
            <w:pPr>
              <w:rPr>
                <w:rFonts w:asciiTheme="minorHAnsi" w:hAnsiTheme="minorHAnsi" w:cs="Tahoma"/>
                <w:color w:val="000000"/>
                <w:sz w:val="22"/>
                <w:szCs w:val="22"/>
              </w:rPr>
            </w:pPr>
          </w:p>
        </w:tc>
        <w:tc>
          <w:tcPr>
            <w:tcW w:w="7229" w:type="dxa"/>
          </w:tcPr>
          <w:p w:rsidR="007E5391" w:rsidRPr="007E5391" w:rsidRDefault="007E5391" w:rsidP="007E5391">
            <w:pPr>
              <w:rPr>
                <w:rFonts w:asciiTheme="minorHAnsi" w:hAnsiTheme="minorHAnsi" w:cs="Tahoma"/>
                <w:color w:val="000000"/>
                <w:sz w:val="22"/>
                <w:szCs w:val="22"/>
              </w:rPr>
            </w:pPr>
            <w:r w:rsidRPr="007E5391">
              <w:rPr>
                <w:rFonts w:asciiTheme="minorHAnsi" w:hAnsiTheme="minorHAnsi" w:cs="Tahoma"/>
                <w:color w:val="000000"/>
                <w:sz w:val="22"/>
                <w:szCs w:val="22"/>
              </w:rPr>
              <w:t>2.1 Data and policy audit</w:t>
            </w:r>
          </w:p>
        </w:tc>
        <w:tc>
          <w:tcPr>
            <w:tcW w:w="667" w:type="dxa"/>
          </w:tcPr>
          <w:p w:rsidR="007E5391" w:rsidRPr="007E5391" w:rsidRDefault="00377853" w:rsidP="00A3691C">
            <w:pPr>
              <w:jc w:val="center"/>
              <w:rPr>
                <w:rFonts w:asciiTheme="minorHAnsi" w:hAnsiTheme="minorHAnsi" w:cs="Tahoma"/>
                <w:color w:val="000000"/>
                <w:sz w:val="22"/>
                <w:szCs w:val="22"/>
              </w:rPr>
            </w:pPr>
            <w:r>
              <w:rPr>
                <w:rFonts w:asciiTheme="minorHAnsi" w:hAnsiTheme="minorHAnsi" w:cs="Tahoma"/>
                <w:color w:val="000000"/>
                <w:sz w:val="22"/>
                <w:szCs w:val="22"/>
              </w:rPr>
              <w:t>3</w:t>
            </w:r>
          </w:p>
        </w:tc>
      </w:tr>
      <w:tr w:rsidR="007E5391" w:rsidRPr="007E5391" w:rsidTr="00A40C6F">
        <w:tc>
          <w:tcPr>
            <w:tcW w:w="851" w:type="dxa"/>
          </w:tcPr>
          <w:p w:rsidR="007E5391" w:rsidRPr="007E5391" w:rsidRDefault="007E5391" w:rsidP="007E5391">
            <w:pPr>
              <w:rPr>
                <w:rFonts w:asciiTheme="minorHAnsi" w:hAnsiTheme="minorHAnsi" w:cs="Tahoma"/>
                <w:color w:val="000000"/>
                <w:sz w:val="22"/>
                <w:szCs w:val="22"/>
              </w:rPr>
            </w:pPr>
          </w:p>
        </w:tc>
        <w:tc>
          <w:tcPr>
            <w:tcW w:w="7229" w:type="dxa"/>
          </w:tcPr>
          <w:p w:rsidR="007E5391" w:rsidRPr="007E5391" w:rsidRDefault="007E5391" w:rsidP="007E5391">
            <w:pPr>
              <w:tabs>
                <w:tab w:val="left" w:pos="284"/>
              </w:tabs>
              <w:jc w:val="both"/>
              <w:rPr>
                <w:rFonts w:asciiTheme="minorHAnsi" w:hAnsiTheme="minorHAnsi" w:cs="Tahoma"/>
                <w:color w:val="000000"/>
                <w:sz w:val="22"/>
                <w:szCs w:val="22"/>
              </w:rPr>
            </w:pPr>
            <w:r w:rsidRPr="007E5391">
              <w:rPr>
                <w:rFonts w:asciiTheme="minorHAnsi" w:hAnsiTheme="minorHAnsi" w:cs="Tahoma"/>
                <w:color w:val="000000"/>
                <w:sz w:val="22"/>
                <w:szCs w:val="22"/>
              </w:rPr>
              <w:t>2.2 Interim analysis</w:t>
            </w:r>
          </w:p>
        </w:tc>
        <w:tc>
          <w:tcPr>
            <w:tcW w:w="667" w:type="dxa"/>
          </w:tcPr>
          <w:p w:rsidR="007E5391" w:rsidRPr="007E5391" w:rsidRDefault="00377853" w:rsidP="00A3691C">
            <w:pPr>
              <w:jc w:val="center"/>
              <w:rPr>
                <w:rFonts w:asciiTheme="minorHAnsi" w:hAnsiTheme="minorHAnsi" w:cs="Tahoma"/>
                <w:color w:val="000000"/>
                <w:sz w:val="22"/>
                <w:szCs w:val="22"/>
              </w:rPr>
            </w:pPr>
            <w:r>
              <w:rPr>
                <w:rFonts w:asciiTheme="minorHAnsi" w:hAnsiTheme="minorHAnsi" w:cs="Tahoma"/>
                <w:color w:val="000000"/>
                <w:sz w:val="22"/>
                <w:szCs w:val="22"/>
              </w:rPr>
              <w:t>4</w:t>
            </w:r>
          </w:p>
        </w:tc>
      </w:tr>
      <w:tr w:rsidR="007E5391" w:rsidRPr="007E5391" w:rsidTr="00A40C6F">
        <w:tc>
          <w:tcPr>
            <w:tcW w:w="851" w:type="dxa"/>
          </w:tcPr>
          <w:p w:rsidR="007E5391" w:rsidRPr="007E5391" w:rsidRDefault="007E5391" w:rsidP="007E5391">
            <w:pPr>
              <w:rPr>
                <w:rFonts w:asciiTheme="minorHAnsi" w:hAnsiTheme="minorHAnsi" w:cs="Tahoma"/>
                <w:color w:val="000000"/>
                <w:sz w:val="22"/>
                <w:szCs w:val="22"/>
              </w:rPr>
            </w:pPr>
          </w:p>
        </w:tc>
        <w:tc>
          <w:tcPr>
            <w:tcW w:w="7229" w:type="dxa"/>
          </w:tcPr>
          <w:p w:rsidR="007E5391" w:rsidRPr="007E5391" w:rsidRDefault="007E5391" w:rsidP="007E5391">
            <w:pPr>
              <w:tabs>
                <w:tab w:val="left" w:pos="284"/>
              </w:tabs>
              <w:jc w:val="both"/>
              <w:rPr>
                <w:rFonts w:asciiTheme="minorHAnsi" w:hAnsiTheme="minorHAnsi" w:cs="Tahoma"/>
                <w:color w:val="000000"/>
                <w:sz w:val="22"/>
                <w:szCs w:val="22"/>
              </w:rPr>
            </w:pPr>
            <w:r w:rsidRPr="007E5391">
              <w:rPr>
                <w:rFonts w:asciiTheme="minorHAnsi" w:hAnsiTheme="minorHAnsi" w:cs="Tahoma"/>
                <w:color w:val="000000"/>
                <w:sz w:val="22"/>
                <w:szCs w:val="22"/>
              </w:rPr>
              <w:t>2.3 Communications and consultation</w:t>
            </w:r>
          </w:p>
        </w:tc>
        <w:tc>
          <w:tcPr>
            <w:tcW w:w="667" w:type="dxa"/>
          </w:tcPr>
          <w:p w:rsidR="007E5391" w:rsidRPr="007E5391" w:rsidRDefault="00377853" w:rsidP="00A3691C">
            <w:pPr>
              <w:jc w:val="center"/>
              <w:rPr>
                <w:rFonts w:asciiTheme="minorHAnsi" w:hAnsiTheme="minorHAnsi" w:cs="Tahoma"/>
                <w:color w:val="000000"/>
                <w:sz w:val="22"/>
                <w:szCs w:val="22"/>
              </w:rPr>
            </w:pPr>
            <w:r>
              <w:rPr>
                <w:rFonts w:asciiTheme="minorHAnsi" w:hAnsiTheme="minorHAnsi" w:cs="Tahoma"/>
                <w:color w:val="000000"/>
                <w:sz w:val="22"/>
                <w:szCs w:val="22"/>
              </w:rPr>
              <w:t>4</w:t>
            </w:r>
          </w:p>
        </w:tc>
      </w:tr>
      <w:tr w:rsidR="000F52A6" w:rsidRPr="00FC4BEA" w:rsidTr="00A40C6F">
        <w:tc>
          <w:tcPr>
            <w:tcW w:w="851" w:type="dxa"/>
          </w:tcPr>
          <w:p w:rsidR="000F52A6" w:rsidRPr="00FC4BEA" w:rsidRDefault="000F52A6" w:rsidP="007E5391">
            <w:pPr>
              <w:rPr>
                <w:rFonts w:asciiTheme="minorHAnsi" w:hAnsiTheme="minorHAnsi" w:cs="Tahoma"/>
                <w:b/>
                <w:color w:val="000000"/>
                <w:sz w:val="22"/>
                <w:szCs w:val="22"/>
              </w:rPr>
            </w:pPr>
            <w:r w:rsidRPr="00FC4BEA">
              <w:rPr>
                <w:rFonts w:asciiTheme="minorHAnsi" w:hAnsiTheme="minorHAnsi" w:cs="Tahoma"/>
                <w:b/>
                <w:color w:val="000000"/>
                <w:sz w:val="22"/>
                <w:szCs w:val="22"/>
              </w:rPr>
              <w:t>3.</w:t>
            </w:r>
          </w:p>
        </w:tc>
        <w:tc>
          <w:tcPr>
            <w:tcW w:w="7229" w:type="dxa"/>
          </w:tcPr>
          <w:p w:rsidR="000F52A6" w:rsidRPr="00FC4BEA" w:rsidRDefault="007E5391" w:rsidP="007E5391">
            <w:pPr>
              <w:rPr>
                <w:rFonts w:asciiTheme="minorHAnsi" w:hAnsiTheme="minorHAnsi" w:cs="Tahoma"/>
                <w:b/>
                <w:color w:val="000000"/>
                <w:sz w:val="22"/>
                <w:szCs w:val="22"/>
              </w:rPr>
            </w:pPr>
            <w:r w:rsidRPr="00FC4BEA">
              <w:rPr>
                <w:rFonts w:asciiTheme="minorHAnsi" w:hAnsiTheme="minorHAnsi" w:cs="Tahoma"/>
                <w:b/>
                <w:color w:val="000000"/>
                <w:sz w:val="22"/>
                <w:szCs w:val="22"/>
              </w:rPr>
              <w:t>Equality and Diversity Headlines for Humanities</w:t>
            </w:r>
          </w:p>
        </w:tc>
        <w:tc>
          <w:tcPr>
            <w:tcW w:w="667" w:type="dxa"/>
          </w:tcPr>
          <w:p w:rsidR="000F52A6" w:rsidRPr="00FC4BEA" w:rsidRDefault="00BF0884" w:rsidP="00A3691C">
            <w:pPr>
              <w:jc w:val="center"/>
              <w:rPr>
                <w:rFonts w:asciiTheme="minorHAnsi" w:hAnsiTheme="minorHAnsi" w:cs="Tahoma"/>
                <w:b/>
                <w:color w:val="000000"/>
                <w:sz w:val="22"/>
                <w:szCs w:val="22"/>
              </w:rPr>
            </w:pPr>
            <w:r>
              <w:rPr>
                <w:rFonts w:asciiTheme="minorHAnsi" w:hAnsiTheme="minorHAnsi" w:cs="Tahoma"/>
                <w:b/>
                <w:color w:val="000000"/>
                <w:sz w:val="22"/>
                <w:szCs w:val="22"/>
              </w:rPr>
              <w:t>5</w:t>
            </w:r>
          </w:p>
        </w:tc>
      </w:tr>
      <w:tr w:rsidR="007E5391" w:rsidRPr="007E5391" w:rsidTr="00A40C6F">
        <w:tc>
          <w:tcPr>
            <w:tcW w:w="851" w:type="dxa"/>
          </w:tcPr>
          <w:p w:rsidR="007E5391" w:rsidRPr="007E5391" w:rsidRDefault="007E5391" w:rsidP="007E5391">
            <w:pPr>
              <w:rPr>
                <w:rFonts w:ascii="Calibri" w:hAnsi="Calibri" w:cs="Tahoma"/>
                <w:color w:val="000000"/>
                <w:sz w:val="22"/>
                <w:szCs w:val="22"/>
              </w:rPr>
            </w:pPr>
          </w:p>
        </w:tc>
        <w:tc>
          <w:tcPr>
            <w:tcW w:w="7229" w:type="dxa"/>
          </w:tcPr>
          <w:p w:rsidR="007E5391" w:rsidRPr="007E5391" w:rsidRDefault="007E5391" w:rsidP="007E5391">
            <w:pPr>
              <w:rPr>
                <w:rFonts w:ascii="Calibri" w:hAnsi="Calibri" w:cs="Tahoma"/>
                <w:color w:val="000000"/>
                <w:sz w:val="22"/>
                <w:szCs w:val="22"/>
              </w:rPr>
            </w:pPr>
            <w:r w:rsidRPr="007E5391">
              <w:rPr>
                <w:rFonts w:ascii="Calibri" w:hAnsi="Calibri" w:cs="Tahoma"/>
                <w:color w:val="000000"/>
                <w:sz w:val="22"/>
                <w:szCs w:val="22"/>
              </w:rPr>
              <w:t>3.1 Sector context and benchmarking</w:t>
            </w:r>
          </w:p>
        </w:tc>
        <w:tc>
          <w:tcPr>
            <w:tcW w:w="667" w:type="dxa"/>
          </w:tcPr>
          <w:p w:rsidR="007E5391" w:rsidRPr="007E5391" w:rsidRDefault="00BF0884" w:rsidP="00A3691C">
            <w:pPr>
              <w:jc w:val="center"/>
              <w:rPr>
                <w:rFonts w:ascii="Calibri" w:hAnsi="Calibri" w:cs="Tahoma"/>
                <w:color w:val="000000"/>
                <w:sz w:val="22"/>
                <w:szCs w:val="22"/>
              </w:rPr>
            </w:pPr>
            <w:r>
              <w:rPr>
                <w:rFonts w:ascii="Calibri" w:hAnsi="Calibri" w:cs="Tahoma"/>
                <w:color w:val="000000"/>
                <w:sz w:val="22"/>
                <w:szCs w:val="22"/>
              </w:rPr>
              <w:t>5</w:t>
            </w:r>
          </w:p>
        </w:tc>
      </w:tr>
      <w:tr w:rsidR="000F52A6" w:rsidRPr="007E5391" w:rsidTr="00A40C6F">
        <w:tc>
          <w:tcPr>
            <w:tcW w:w="851" w:type="dxa"/>
          </w:tcPr>
          <w:p w:rsidR="000F52A6" w:rsidRPr="007E5391" w:rsidRDefault="000F52A6" w:rsidP="007E5391">
            <w:pPr>
              <w:rPr>
                <w:rFonts w:asciiTheme="minorHAnsi" w:hAnsiTheme="minorHAnsi" w:cs="Tahoma"/>
                <w:color w:val="000000"/>
                <w:sz w:val="22"/>
                <w:szCs w:val="22"/>
              </w:rPr>
            </w:pPr>
          </w:p>
        </w:tc>
        <w:tc>
          <w:tcPr>
            <w:tcW w:w="7229" w:type="dxa"/>
          </w:tcPr>
          <w:p w:rsidR="000F52A6" w:rsidRPr="007E5391" w:rsidRDefault="007E5391" w:rsidP="007E5391">
            <w:pPr>
              <w:rPr>
                <w:rFonts w:asciiTheme="minorHAnsi" w:hAnsiTheme="minorHAnsi" w:cs="Tahoma"/>
                <w:color w:val="000000"/>
                <w:sz w:val="22"/>
                <w:szCs w:val="22"/>
              </w:rPr>
            </w:pPr>
            <w:r>
              <w:rPr>
                <w:rFonts w:asciiTheme="minorHAnsi" w:hAnsiTheme="minorHAnsi" w:cs="Tahoma"/>
                <w:color w:val="000000"/>
                <w:sz w:val="22"/>
                <w:szCs w:val="22"/>
              </w:rPr>
              <w:t>3.2 Overview of the gender and BME profile in the Faculty of Humanities</w:t>
            </w:r>
          </w:p>
        </w:tc>
        <w:tc>
          <w:tcPr>
            <w:tcW w:w="667" w:type="dxa"/>
          </w:tcPr>
          <w:p w:rsidR="000F52A6" w:rsidRPr="007E5391" w:rsidRDefault="00BF0884" w:rsidP="00A3691C">
            <w:pPr>
              <w:jc w:val="center"/>
              <w:rPr>
                <w:rFonts w:asciiTheme="minorHAnsi" w:hAnsiTheme="minorHAnsi" w:cs="Tahoma"/>
                <w:color w:val="000000"/>
                <w:sz w:val="22"/>
                <w:szCs w:val="22"/>
              </w:rPr>
            </w:pPr>
            <w:r>
              <w:rPr>
                <w:rFonts w:asciiTheme="minorHAnsi" w:hAnsiTheme="minorHAnsi" w:cs="Tahoma"/>
                <w:color w:val="000000"/>
                <w:sz w:val="22"/>
                <w:szCs w:val="22"/>
              </w:rPr>
              <w:t>7</w:t>
            </w:r>
          </w:p>
        </w:tc>
      </w:tr>
      <w:tr w:rsidR="000F52A6" w:rsidRPr="00A43934" w:rsidTr="00A40C6F">
        <w:tc>
          <w:tcPr>
            <w:tcW w:w="851" w:type="dxa"/>
          </w:tcPr>
          <w:p w:rsidR="000F52A6" w:rsidRPr="00A43934" w:rsidRDefault="000F52A6" w:rsidP="007E5391">
            <w:pPr>
              <w:rPr>
                <w:rFonts w:asciiTheme="minorHAnsi" w:hAnsiTheme="minorHAnsi" w:cs="Tahoma"/>
                <w:color w:val="000000"/>
                <w:sz w:val="22"/>
                <w:szCs w:val="22"/>
              </w:rPr>
            </w:pPr>
          </w:p>
        </w:tc>
        <w:tc>
          <w:tcPr>
            <w:tcW w:w="7229" w:type="dxa"/>
          </w:tcPr>
          <w:p w:rsidR="000F52A6" w:rsidRPr="00A43934" w:rsidRDefault="00A43934" w:rsidP="007E5391">
            <w:pPr>
              <w:rPr>
                <w:rFonts w:asciiTheme="minorHAnsi" w:hAnsiTheme="minorHAnsi" w:cs="Tahoma"/>
                <w:color w:val="000000"/>
                <w:sz w:val="22"/>
                <w:szCs w:val="22"/>
              </w:rPr>
            </w:pPr>
            <w:r w:rsidRPr="00A43934">
              <w:rPr>
                <w:rFonts w:asciiTheme="minorHAnsi" w:hAnsiTheme="minorHAnsi" w:cs="Segoe UI"/>
                <w:sz w:val="22"/>
                <w:szCs w:val="22"/>
                <w:lang w:val="en"/>
              </w:rPr>
              <w:t>3.3 The University of Manchester’s Equal Pay Audits</w:t>
            </w:r>
          </w:p>
        </w:tc>
        <w:tc>
          <w:tcPr>
            <w:tcW w:w="667" w:type="dxa"/>
          </w:tcPr>
          <w:p w:rsidR="000F52A6" w:rsidRPr="00A43934" w:rsidRDefault="00193798" w:rsidP="00A3691C">
            <w:pPr>
              <w:jc w:val="center"/>
              <w:rPr>
                <w:rFonts w:asciiTheme="minorHAnsi" w:hAnsiTheme="minorHAnsi" w:cs="Tahoma"/>
                <w:color w:val="000000"/>
                <w:sz w:val="22"/>
                <w:szCs w:val="22"/>
              </w:rPr>
            </w:pPr>
            <w:r>
              <w:rPr>
                <w:rFonts w:asciiTheme="minorHAnsi" w:hAnsiTheme="minorHAnsi" w:cs="Tahoma"/>
                <w:color w:val="000000"/>
                <w:sz w:val="22"/>
                <w:szCs w:val="22"/>
              </w:rPr>
              <w:t>1</w:t>
            </w:r>
            <w:r w:rsidR="00A40C6F">
              <w:rPr>
                <w:rFonts w:asciiTheme="minorHAnsi" w:hAnsiTheme="minorHAnsi" w:cs="Tahoma"/>
                <w:color w:val="000000"/>
                <w:sz w:val="22"/>
                <w:szCs w:val="22"/>
              </w:rPr>
              <w:t>3</w:t>
            </w:r>
          </w:p>
        </w:tc>
      </w:tr>
      <w:tr w:rsidR="00A43934" w:rsidRPr="00A43934" w:rsidTr="00A40C6F">
        <w:tc>
          <w:tcPr>
            <w:tcW w:w="851" w:type="dxa"/>
          </w:tcPr>
          <w:p w:rsidR="00A43934" w:rsidRPr="00010A2A" w:rsidRDefault="00A43934" w:rsidP="007E5391">
            <w:pPr>
              <w:rPr>
                <w:rFonts w:asciiTheme="minorHAnsi" w:hAnsiTheme="minorHAnsi" w:cs="Tahoma"/>
                <w:color w:val="000000"/>
                <w:sz w:val="22"/>
                <w:szCs w:val="22"/>
              </w:rPr>
            </w:pPr>
          </w:p>
        </w:tc>
        <w:tc>
          <w:tcPr>
            <w:tcW w:w="7229" w:type="dxa"/>
          </w:tcPr>
          <w:p w:rsidR="000726D6" w:rsidRPr="00A40C6F" w:rsidRDefault="00A43934" w:rsidP="007E5391">
            <w:pPr>
              <w:rPr>
                <w:rFonts w:asciiTheme="minorHAnsi" w:hAnsiTheme="minorHAnsi" w:cs="Tahoma"/>
                <w:color w:val="000000"/>
                <w:sz w:val="22"/>
                <w:szCs w:val="22"/>
              </w:rPr>
            </w:pPr>
            <w:r w:rsidRPr="00010A2A">
              <w:rPr>
                <w:rFonts w:asciiTheme="minorHAnsi" w:hAnsiTheme="minorHAnsi" w:cs="Tahoma"/>
                <w:color w:val="000000"/>
                <w:sz w:val="22"/>
                <w:szCs w:val="22"/>
              </w:rPr>
              <w:t>3.4 The University a</w:t>
            </w:r>
            <w:r w:rsidR="00A40C6F">
              <w:rPr>
                <w:rFonts w:asciiTheme="minorHAnsi" w:hAnsiTheme="minorHAnsi" w:cs="Tahoma"/>
                <w:color w:val="000000"/>
                <w:sz w:val="22"/>
                <w:szCs w:val="22"/>
              </w:rPr>
              <w:t>nd Faculty Professorial Pay Gap</w:t>
            </w:r>
          </w:p>
        </w:tc>
        <w:tc>
          <w:tcPr>
            <w:tcW w:w="667" w:type="dxa"/>
          </w:tcPr>
          <w:p w:rsidR="00A43934" w:rsidRPr="00A43934" w:rsidRDefault="00193798" w:rsidP="00A3691C">
            <w:pPr>
              <w:jc w:val="center"/>
              <w:rPr>
                <w:rFonts w:asciiTheme="minorHAnsi" w:hAnsiTheme="minorHAnsi" w:cs="Tahoma"/>
                <w:color w:val="000000"/>
                <w:sz w:val="22"/>
                <w:szCs w:val="22"/>
              </w:rPr>
            </w:pPr>
            <w:r>
              <w:rPr>
                <w:rFonts w:asciiTheme="minorHAnsi" w:hAnsiTheme="minorHAnsi" w:cs="Tahoma"/>
                <w:color w:val="000000"/>
                <w:sz w:val="22"/>
                <w:szCs w:val="22"/>
              </w:rPr>
              <w:t>1</w:t>
            </w:r>
            <w:r w:rsidR="00A40C6F">
              <w:rPr>
                <w:rFonts w:asciiTheme="minorHAnsi" w:hAnsiTheme="minorHAnsi" w:cs="Tahoma"/>
                <w:color w:val="000000"/>
                <w:sz w:val="22"/>
                <w:szCs w:val="22"/>
              </w:rPr>
              <w:t>4</w:t>
            </w:r>
          </w:p>
        </w:tc>
      </w:tr>
      <w:tr w:rsidR="00A40C6F" w:rsidRPr="00A40C6F" w:rsidTr="00A40C6F">
        <w:tc>
          <w:tcPr>
            <w:tcW w:w="851" w:type="dxa"/>
          </w:tcPr>
          <w:p w:rsidR="00A40C6F" w:rsidRPr="00A40C6F" w:rsidRDefault="00A40C6F" w:rsidP="007E5391">
            <w:pPr>
              <w:rPr>
                <w:rFonts w:asciiTheme="minorHAnsi" w:hAnsiTheme="minorHAnsi" w:cs="Tahoma"/>
                <w:color w:val="000000"/>
                <w:sz w:val="22"/>
                <w:szCs w:val="22"/>
              </w:rPr>
            </w:pPr>
          </w:p>
        </w:tc>
        <w:tc>
          <w:tcPr>
            <w:tcW w:w="7229" w:type="dxa"/>
          </w:tcPr>
          <w:p w:rsidR="00A40C6F" w:rsidRPr="00A40C6F" w:rsidRDefault="00A40C6F" w:rsidP="007E5391">
            <w:pPr>
              <w:rPr>
                <w:rFonts w:asciiTheme="minorHAnsi" w:hAnsiTheme="minorHAnsi" w:cs="Tahoma"/>
                <w:color w:val="000000"/>
                <w:sz w:val="22"/>
                <w:szCs w:val="22"/>
              </w:rPr>
            </w:pPr>
            <w:r w:rsidRPr="00A40C6F">
              <w:rPr>
                <w:rFonts w:asciiTheme="minorHAnsi" w:hAnsiTheme="minorHAnsi" w:cs="Tahoma"/>
                <w:color w:val="000000"/>
                <w:sz w:val="22"/>
                <w:szCs w:val="22"/>
              </w:rPr>
              <w:t>3.5 Recruitment and promotion data</w:t>
            </w:r>
          </w:p>
        </w:tc>
        <w:tc>
          <w:tcPr>
            <w:tcW w:w="667" w:type="dxa"/>
          </w:tcPr>
          <w:p w:rsidR="00A40C6F" w:rsidRPr="00A40C6F" w:rsidRDefault="00A40C6F" w:rsidP="00A3691C">
            <w:pPr>
              <w:jc w:val="center"/>
              <w:rPr>
                <w:rFonts w:asciiTheme="minorHAnsi" w:hAnsiTheme="minorHAnsi" w:cs="Tahoma"/>
                <w:color w:val="000000"/>
                <w:sz w:val="22"/>
                <w:szCs w:val="22"/>
              </w:rPr>
            </w:pPr>
            <w:r w:rsidRPr="00A40C6F">
              <w:rPr>
                <w:rFonts w:asciiTheme="minorHAnsi" w:hAnsiTheme="minorHAnsi" w:cs="Tahoma"/>
                <w:color w:val="000000"/>
                <w:sz w:val="22"/>
                <w:szCs w:val="22"/>
              </w:rPr>
              <w:t>16</w:t>
            </w:r>
          </w:p>
        </w:tc>
      </w:tr>
      <w:tr w:rsidR="00A40C6F" w:rsidRPr="00A40C6F" w:rsidTr="00A40C6F">
        <w:tc>
          <w:tcPr>
            <w:tcW w:w="851" w:type="dxa"/>
          </w:tcPr>
          <w:p w:rsidR="00A40C6F" w:rsidRPr="00A40C6F" w:rsidRDefault="00A40C6F" w:rsidP="007E5391">
            <w:pPr>
              <w:rPr>
                <w:rFonts w:cs="Tahoma"/>
                <w:color w:val="000000"/>
              </w:rPr>
            </w:pPr>
          </w:p>
        </w:tc>
        <w:tc>
          <w:tcPr>
            <w:tcW w:w="7229" w:type="dxa"/>
          </w:tcPr>
          <w:p w:rsidR="00A40C6F" w:rsidRPr="00A40C6F" w:rsidRDefault="00A40C6F" w:rsidP="007E5391">
            <w:pPr>
              <w:rPr>
                <w:rFonts w:cs="Tahoma"/>
                <w:color w:val="000000"/>
              </w:rPr>
            </w:pPr>
            <w:r w:rsidRPr="00010A2A">
              <w:rPr>
                <w:rFonts w:asciiTheme="minorHAnsi" w:hAnsiTheme="minorHAnsi" w:cs="Tahoma"/>
                <w:color w:val="000000"/>
                <w:sz w:val="22"/>
                <w:szCs w:val="22"/>
              </w:rPr>
              <w:t>3.6 Faculty Office and School headlines</w:t>
            </w:r>
          </w:p>
        </w:tc>
        <w:tc>
          <w:tcPr>
            <w:tcW w:w="667" w:type="dxa"/>
          </w:tcPr>
          <w:p w:rsidR="00A40C6F" w:rsidRPr="00374D6E" w:rsidRDefault="00374D6E" w:rsidP="00A3691C">
            <w:pPr>
              <w:jc w:val="center"/>
              <w:rPr>
                <w:rFonts w:asciiTheme="minorHAnsi" w:hAnsiTheme="minorHAnsi" w:cs="Tahoma"/>
                <w:color w:val="000000"/>
                <w:sz w:val="22"/>
                <w:szCs w:val="22"/>
              </w:rPr>
            </w:pPr>
            <w:r w:rsidRPr="00374D6E">
              <w:rPr>
                <w:rFonts w:asciiTheme="minorHAnsi" w:hAnsiTheme="minorHAnsi" w:cs="Tahoma"/>
                <w:color w:val="000000"/>
                <w:sz w:val="22"/>
                <w:szCs w:val="22"/>
              </w:rPr>
              <w:t>18</w:t>
            </w:r>
          </w:p>
        </w:tc>
      </w:tr>
      <w:tr w:rsidR="00C966E7" w:rsidRPr="00C966E7" w:rsidTr="00A40C6F">
        <w:tc>
          <w:tcPr>
            <w:tcW w:w="851" w:type="dxa"/>
          </w:tcPr>
          <w:p w:rsidR="00C966E7" w:rsidRPr="00C966E7" w:rsidRDefault="00C966E7" w:rsidP="00FF009A">
            <w:pPr>
              <w:rPr>
                <w:rFonts w:asciiTheme="minorHAnsi" w:hAnsiTheme="minorHAnsi" w:cs="Tahoma"/>
                <w:color w:val="000000"/>
                <w:sz w:val="22"/>
                <w:szCs w:val="22"/>
              </w:rPr>
            </w:pPr>
            <w:r w:rsidRPr="00C966E7">
              <w:rPr>
                <w:rFonts w:asciiTheme="minorHAnsi" w:hAnsiTheme="minorHAnsi" w:cs="Tahoma"/>
                <w:color w:val="000000"/>
                <w:sz w:val="22"/>
                <w:szCs w:val="22"/>
              </w:rPr>
              <w:t>4.</w:t>
            </w:r>
          </w:p>
        </w:tc>
        <w:tc>
          <w:tcPr>
            <w:tcW w:w="7229" w:type="dxa"/>
          </w:tcPr>
          <w:p w:rsidR="00C966E7" w:rsidRPr="00C966E7" w:rsidRDefault="00C966E7" w:rsidP="00FF009A">
            <w:pPr>
              <w:jc w:val="both"/>
              <w:rPr>
                <w:rFonts w:asciiTheme="minorHAnsi" w:hAnsiTheme="minorHAnsi" w:cs="Tahoma"/>
                <w:b/>
                <w:color w:val="000000"/>
                <w:sz w:val="22"/>
                <w:szCs w:val="22"/>
              </w:rPr>
            </w:pPr>
            <w:r w:rsidRPr="00C966E7">
              <w:rPr>
                <w:rFonts w:asciiTheme="minorHAnsi" w:hAnsiTheme="minorHAnsi" w:cs="Tahoma"/>
                <w:b/>
                <w:color w:val="000000"/>
                <w:sz w:val="22"/>
                <w:szCs w:val="22"/>
              </w:rPr>
              <w:t>School and Faculty Office Action plans</w:t>
            </w:r>
          </w:p>
        </w:tc>
        <w:tc>
          <w:tcPr>
            <w:tcW w:w="667" w:type="dxa"/>
          </w:tcPr>
          <w:p w:rsidR="00C966E7" w:rsidRPr="00C966E7" w:rsidRDefault="00C966E7" w:rsidP="00A3691C">
            <w:pPr>
              <w:jc w:val="center"/>
              <w:rPr>
                <w:rFonts w:asciiTheme="minorHAnsi" w:hAnsiTheme="minorHAnsi" w:cs="Tahoma"/>
                <w:color w:val="000000"/>
                <w:sz w:val="22"/>
                <w:szCs w:val="22"/>
              </w:rPr>
            </w:pPr>
            <w:r>
              <w:rPr>
                <w:rFonts w:asciiTheme="minorHAnsi" w:hAnsiTheme="minorHAnsi" w:cs="Tahoma"/>
                <w:color w:val="000000"/>
                <w:sz w:val="22"/>
                <w:szCs w:val="22"/>
              </w:rPr>
              <w:t>18</w:t>
            </w:r>
          </w:p>
        </w:tc>
      </w:tr>
      <w:tr w:rsidR="00C966E7" w:rsidRPr="00C966E7" w:rsidTr="00A40C6F">
        <w:tc>
          <w:tcPr>
            <w:tcW w:w="851" w:type="dxa"/>
          </w:tcPr>
          <w:p w:rsidR="00C966E7" w:rsidRPr="00C966E7" w:rsidRDefault="00C966E7" w:rsidP="00C966E7">
            <w:pPr>
              <w:rPr>
                <w:rFonts w:cs="Tahoma"/>
                <w:color w:val="000000"/>
              </w:rPr>
            </w:pPr>
          </w:p>
        </w:tc>
        <w:tc>
          <w:tcPr>
            <w:tcW w:w="7229" w:type="dxa"/>
          </w:tcPr>
          <w:p w:rsidR="00C966E7" w:rsidRPr="00C966E7" w:rsidRDefault="00C966E7" w:rsidP="00C966E7">
            <w:pPr>
              <w:rPr>
                <w:rFonts w:asciiTheme="minorHAnsi" w:hAnsiTheme="minorHAnsi" w:cs="Tahoma"/>
                <w:color w:val="000000"/>
                <w:sz w:val="22"/>
                <w:szCs w:val="22"/>
              </w:rPr>
            </w:pPr>
            <w:r w:rsidRPr="00C966E7">
              <w:rPr>
                <w:rFonts w:asciiTheme="minorHAnsi" w:hAnsiTheme="minorHAnsi" w:cs="Tahoma"/>
                <w:color w:val="000000"/>
                <w:sz w:val="22"/>
                <w:szCs w:val="22"/>
              </w:rPr>
              <w:t>4.1 Faculty Office and School data analysis to inform the Action Plans</w:t>
            </w:r>
          </w:p>
        </w:tc>
        <w:tc>
          <w:tcPr>
            <w:tcW w:w="667" w:type="dxa"/>
          </w:tcPr>
          <w:p w:rsidR="00C966E7" w:rsidRPr="00C966E7" w:rsidRDefault="00C966E7" w:rsidP="00C966E7">
            <w:pPr>
              <w:jc w:val="center"/>
              <w:rPr>
                <w:rFonts w:asciiTheme="minorHAnsi" w:hAnsiTheme="minorHAnsi" w:cs="Tahoma"/>
                <w:color w:val="000000"/>
                <w:sz w:val="22"/>
                <w:szCs w:val="22"/>
              </w:rPr>
            </w:pPr>
            <w:r w:rsidRPr="00C966E7">
              <w:rPr>
                <w:rFonts w:asciiTheme="minorHAnsi" w:hAnsiTheme="minorHAnsi" w:cs="Tahoma"/>
                <w:color w:val="000000"/>
                <w:sz w:val="22"/>
                <w:szCs w:val="22"/>
              </w:rPr>
              <w:t>18</w:t>
            </w:r>
          </w:p>
        </w:tc>
      </w:tr>
      <w:tr w:rsidR="00C966E7" w:rsidRPr="00C966E7" w:rsidTr="00A40C6F">
        <w:tc>
          <w:tcPr>
            <w:tcW w:w="851" w:type="dxa"/>
          </w:tcPr>
          <w:p w:rsidR="00C966E7" w:rsidRPr="00C966E7" w:rsidRDefault="00C966E7" w:rsidP="00C966E7">
            <w:pPr>
              <w:rPr>
                <w:rFonts w:asciiTheme="minorHAnsi" w:hAnsiTheme="minorHAnsi" w:cs="Tahoma"/>
                <w:color w:val="000000"/>
                <w:sz w:val="22"/>
                <w:szCs w:val="22"/>
              </w:rPr>
            </w:pPr>
          </w:p>
        </w:tc>
        <w:tc>
          <w:tcPr>
            <w:tcW w:w="7229" w:type="dxa"/>
          </w:tcPr>
          <w:p w:rsidR="00C966E7" w:rsidRPr="00C966E7" w:rsidRDefault="00C966E7" w:rsidP="00C966E7">
            <w:pPr>
              <w:rPr>
                <w:rFonts w:asciiTheme="minorHAnsi" w:hAnsiTheme="minorHAnsi" w:cs="Tahoma"/>
                <w:color w:val="000000"/>
                <w:sz w:val="22"/>
                <w:szCs w:val="22"/>
              </w:rPr>
            </w:pPr>
            <w:r w:rsidRPr="00C966E7">
              <w:rPr>
                <w:rFonts w:asciiTheme="minorHAnsi" w:hAnsiTheme="minorHAnsi" w:cs="Tahoma"/>
                <w:color w:val="000000"/>
                <w:sz w:val="22"/>
                <w:szCs w:val="22"/>
              </w:rPr>
              <w:t>4.2 School Action Plans</w:t>
            </w:r>
          </w:p>
        </w:tc>
        <w:tc>
          <w:tcPr>
            <w:tcW w:w="667" w:type="dxa"/>
          </w:tcPr>
          <w:p w:rsidR="00C966E7" w:rsidRPr="00C966E7" w:rsidRDefault="00C966E7" w:rsidP="00C966E7">
            <w:pPr>
              <w:jc w:val="center"/>
              <w:rPr>
                <w:rFonts w:asciiTheme="minorHAnsi" w:hAnsiTheme="minorHAnsi" w:cs="Tahoma"/>
                <w:color w:val="000000"/>
                <w:sz w:val="22"/>
                <w:szCs w:val="22"/>
              </w:rPr>
            </w:pPr>
            <w:r>
              <w:rPr>
                <w:rFonts w:asciiTheme="minorHAnsi" w:hAnsiTheme="minorHAnsi" w:cs="Tahoma"/>
                <w:color w:val="000000"/>
                <w:sz w:val="22"/>
                <w:szCs w:val="22"/>
              </w:rPr>
              <w:t>19</w:t>
            </w:r>
          </w:p>
        </w:tc>
      </w:tr>
      <w:tr w:rsidR="00C966E7" w:rsidRPr="00C966E7" w:rsidTr="00A40C6F">
        <w:tc>
          <w:tcPr>
            <w:tcW w:w="851" w:type="dxa"/>
          </w:tcPr>
          <w:p w:rsidR="00C966E7" w:rsidRPr="00C966E7" w:rsidRDefault="00C966E7" w:rsidP="00C966E7">
            <w:pPr>
              <w:rPr>
                <w:rFonts w:asciiTheme="minorHAnsi" w:hAnsiTheme="minorHAnsi" w:cs="Tahoma"/>
                <w:b/>
                <w:color w:val="000000"/>
                <w:sz w:val="22"/>
                <w:szCs w:val="22"/>
              </w:rPr>
            </w:pPr>
            <w:r w:rsidRPr="00C966E7">
              <w:rPr>
                <w:rFonts w:asciiTheme="minorHAnsi" w:hAnsiTheme="minorHAnsi" w:cs="Tahoma"/>
                <w:b/>
                <w:color w:val="000000"/>
                <w:sz w:val="22"/>
                <w:szCs w:val="22"/>
              </w:rPr>
              <w:t>5.</w:t>
            </w:r>
          </w:p>
        </w:tc>
        <w:tc>
          <w:tcPr>
            <w:tcW w:w="7229" w:type="dxa"/>
          </w:tcPr>
          <w:p w:rsidR="00C966E7" w:rsidRPr="00C966E7" w:rsidRDefault="00C966E7" w:rsidP="00C966E7">
            <w:pPr>
              <w:rPr>
                <w:rFonts w:asciiTheme="minorHAnsi" w:hAnsiTheme="minorHAnsi" w:cs="Tahoma"/>
                <w:b/>
                <w:color w:val="000000"/>
                <w:sz w:val="22"/>
                <w:szCs w:val="22"/>
              </w:rPr>
            </w:pPr>
            <w:r w:rsidRPr="00C966E7">
              <w:rPr>
                <w:rFonts w:asciiTheme="minorHAnsi" w:hAnsiTheme="minorHAnsi" w:cs="Tahoma"/>
                <w:b/>
                <w:color w:val="000000"/>
                <w:sz w:val="22"/>
                <w:szCs w:val="22"/>
              </w:rPr>
              <w:t>Policy Audit and review</w:t>
            </w:r>
          </w:p>
        </w:tc>
        <w:tc>
          <w:tcPr>
            <w:tcW w:w="667" w:type="dxa"/>
          </w:tcPr>
          <w:p w:rsidR="00C966E7" w:rsidRPr="00C966E7" w:rsidRDefault="00C966E7" w:rsidP="00C966E7">
            <w:pPr>
              <w:jc w:val="center"/>
              <w:rPr>
                <w:rFonts w:asciiTheme="minorHAnsi" w:hAnsiTheme="minorHAnsi" w:cs="Tahoma"/>
                <w:b/>
                <w:color w:val="000000"/>
                <w:sz w:val="22"/>
                <w:szCs w:val="22"/>
              </w:rPr>
            </w:pPr>
            <w:r w:rsidRPr="00C966E7">
              <w:rPr>
                <w:rFonts w:asciiTheme="minorHAnsi" w:hAnsiTheme="minorHAnsi" w:cs="Tahoma"/>
                <w:b/>
                <w:color w:val="000000"/>
                <w:sz w:val="22"/>
                <w:szCs w:val="22"/>
              </w:rPr>
              <w:t>19</w:t>
            </w:r>
          </w:p>
        </w:tc>
      </w:tr>
      <w:tr w:rsidR="00FF009A" w:rsidRPr="00FF009A" w:rsidTr="00A40C6F">
        <w:tc>
          <w:tcPr>
            <w:tcW w:w="851" w:type="dxa"/>
          </w:tcPr>
          <w:p w:rsidR="00FF009A" w:rsidRPr="00FF009A" w:rsidRDefault="00C966E7" w:rsidP="007E5391">
            <w:pPr>
              <w:rPr>
                <w:rFonts w:asciiTheme="minorHAnsi" w:hAnsiTheme="minorHAnsi" w:cs="Tahoma"/>
                <w:b/>
                <w:color w:val="000000"/>
                <w:sz w:val="22"/>
                <w:szCs w:val="22"/>
              </w:rPr>
            </w:pPr>
            <w:r>
              <w:rPr>
                <w:rFonts w:asciiTheme="minorHAnsi" w:hAnsiTheme="minorHAnsi" w:cs="Tahoma"/>
                <w:b/>
                <w:color w:val="000000"/>
                <w:sz w:val="22"/>
                <w:szCs w:val="22"/>
              </w:rPr>
              <w:t>6</w:t>
            </w:r>
            <w:r w:rsidR="00FF009A" w:rsidRPr="00FF009A">
              <w:rPr>
                <w:rFonts w:asciiTheme="minorHAnsi" w:hAnsiTheme="minorHAnsi" w:cs="Tahoma"/>
                <w:b/>
                <w:color w:val="000000"/>
                <w:sz w:val="22"/>
                <w:szCs w:val="22"/>
              </w:rPr>
              <w:t>.</w:t>
            </w:r>
          </w:p>
        </w:tc>
        <w:tc>
          <w:tcPr>
            <w:tcW w:w="7229" w:type="dxa"/>
          </w:tcPr>
          <w:p w:rsidR="00FF009A" w:rsidRPr="00FF009A" w:rsidRDefault="00FF009A" w:rsidP="007E5391">
            <w:pPr>
              <w:rPr>
                <w:rFonts w:asciiTheme="minorHAnsi" w:hAnsiTheme="minorHAnsi" w:cs="Tahoma"/>
                <w:b/>
                <w:color w:val="000000"/>
                <w:sz w:val="22"/>
                <w:szCs w:val="22"/>
              </w:rPr>
            </w:pPr>
            <w:r>
              <w:rPr>
                <w:rFonts w:asciiTheme="minorHAnsi" w:hAnsiTheme="minorHAnsi" w:cs="Tahoma"/>
                <w:b/>
                <w:color w:val="000000"/>
                <w:sz w:val="22"/>
                <w:szCs w:val="22"/>
              </w:rPr>
              <w:t>Next Steps</w:t>
            </w:r>
            <w:r w:rsidR="00FA6B87">
              <w:rPr>
                <w:rFonts w:asciiTheme="minorHAnsi" w:hAnsiTheme="minorHAnsi" w:cs="Tahoma"/>
                <w:b/>
                <w:color w:val="000000"/>
                <w:sz w:val="22"/>
                <w:szCs w:val="22"/>
              </w:rPr>
              <w:t>: Stage Two of the work programme</w:t>
            </w:r>
          </w:p>
        </w:tc>
        <w:tc>
          <w:tcPr>
            <w:tcW w:w="667" w:type="dxa"/>
          </w:tcPr>
          <w:p w:rsidR="00FF009A" w:rsidRPr="00FF009A" w:rsidRDefault="00FA6B87" w:rsidP="00A3691C">
            <w:pPr>
              <w:jc w:val="center"/>
              <w:rPr>
                <w:rFonts w:asciiTheme="minorHAnsi" w:hAnsiTheme="minorHAnsi" w:cs="Tahoma"/>
                <w:b/>
                <w:color w:val="000000"/>
                <w:sz w:val="22"/>
                <w:szCs w:val="22"/>
              </w:rPr>
            </w:pPr>
            <w:r>
              <w:rPr>
                <w:rFonts w:asciiTheme="minorHAnsi" w:hAnsiTheme="minorHAnsi" w:cs="Tahoma"/>
                <w:b/>
                <w:color w:val="000000"/>
                <w:sz w:val="22"/>
                <w:szCs w:val="22"/>
              </w:rPr>
              <w:t>20</w:t>
            </w:r>
          </w:p>
        </w:tc>
      </w:tr>
      <w:tr w:rsidR="00010A2A" w:rsidRPr="00A56235" w:rsidTr="00A40C6F">
        <w:tc>
          <w:tcPr>
            <w:tcW w:w="851" w:type="dxa"/>
          </w:tcPr>
          <w:p w:rsidR="00010A2A" w:rsidRPr="00A56235" w:rsidRDefault="00C966E7" w:rsidP="00193798">
            <w:pPr>
              <w:rPr>
                <w:rFonts w:asciiTheme="minorHAnsi" w:hAnsiTheme="minorHAnsi" w:cs="Tahoma"/>
                <w:b/>
                <w:color w:val="000000"/>
                <w:sz w:val="22"/>
                <w:szCs w:val="22"/>
                <w:highlight w:val="yellow"/>
              </w:rPr>
            </w:pPr>
            <w:r w:rsidRPr="00A56235">
              <w:rPr>
                <w:rFonts w:asciiTheme="minorHAnsi" w:hAnsiTheme="minorHAnsi" w:cs="Tahoma"/>
                <w:b/>
                <w:color w:val="000000"/>
                <w:sz w:val="22"/>
                <w:szCs w:val="22"/>
              </w:rPr>
              <w:t>7</w:t>
            </w:r>
            <w:r w:rsidR="00FF009A" w:rsidRPr="00A56235">
              <w:rPr>
                <w:rFonts w:asciiTheme="minorHAnsi" w:hAnsiTheme="minorHAnsi" w:cs="Tahoma"/>
                <w:b/>
                <w:color w:val="000000"/>
                <w:sz w:val="22"/>
                <w:szCs w:val="22"/>
              </w:rPr>
              <w:t>.</w:t>
            </w:r>
          </w:p>
        </w:tc>
        <w:tc>
          <w:tcPr>
            <w:tcW w:w="7229" w:type="dxa"/>
          </w:tcPr>
          <w:p w:rsidR="00010A2A" w:rsidRPr="00A56235" w:rsidRDefault="00A56235" w:rsidP="00193798">
            <w:pPr>
              <w:jc w:val="both"/>
              <w:rPr>
                <w:rFonts w:asciiTheme="minorHAnsi" w:hAnsiTheme="minorHAnsi"/>
                <w:b/>
                <w:sz w:val="22"/>
                <w:szCs w:val="22"/>
              </w:rPr>
            </w:pPr>
            <w:r w:rsidRPr="00A56235">
              <w:rPr>
                <w:rFonts w:asciiTheme="minorHAnsi" w:hAnsiTheme="minorHAnsi"/>
                <w:b/>
                <w:sz w:val="22"/>
                <w:szCs w:val="22"/>
              </w:rPr>
              <w:t>Recommendation for the Working Group’s ongoing remit and reporting arrangements</w:t>
            </w:r>
          </w:p>
        </w:tc>
        <w:tc>
          <w:tcPr>
            <w:tcW w:w="667" w:type="dxa"/>
          </w:tcPr>
          <w:p w:rsidR="00010A2A" w:rsidRPr="00A56235" w:rsidRDefault="00A56235" w:rsidP="00193798">
            <w:pPr>
              <w:jc w:val="center"/>
              <w:rPr>
                <w:rFonts w:asciiTheme="minorHAnsi" w:hAnsiTheme="minorHAnsi" w:cs="Tahoma"/>
                <w:b/>
                <w:color w:val="000000"/>
                <w:sz w:val="22"/>
                <w:szCs w:val="22"/>
              </w:rPr>
            </w:pPr>
            <w:r w:rsidRPr="00A56235">
              <w:rPr>
                <w:rFonts w:asciiTheme="minorHAnsi" w:hAnsiTheme="minorHAnsi" w:cs="Tahoma"/>
                <w:b/>
                <w:color w:val="000000"/>
                <w:sz w:val="22"/>
                <w:szCs w:val="22"/>
              </w:rPr>
              <w:t>22</w:t>
            </w:r>
          </w:p>
        </w:tc>
      </w:tr>
      <w:tr w:rsidR="000F52A6" w:rsidRPr="007E5391" w:rsidTr="00A40C6F">
        <w:tc>
          <w:tcPr>
            <w:tcW w:w="851" w:type="dxa"/>
          </w:tcPr>
          <w:p w:rsidR="000F52A6" w:rsidRPr="00C1379D" w:rsidRDefault="00C1379D" w:rsidP="007E5391">
            <w:pPr>
              <w:rPr>
                <w:rFonts w:asciiTheme="minorHAnsi" w:hAnsiTheme="minorHAnsi" w:cs="Tahoma"/>
                <w:b/>
                <w:color w:val="000000"/>
                <w:sz w:val="22"/>
                <w:szCs w:val="22"/>
              </w:rPr>
            </w:pPr>
            <w:r w:rsidRPr="00C1379D">
              <w:rPr>
                <w:rFonts w:asciiTheme="minorHAnsi" w:hAnsiTheme="minorHAnsi" w:cs="Tahoma"/>
                <w:b/>
                <w:color w:val="000000"/>
                <w:sz w:val="22"/>
                <w:szCs w:val="22"/>
              </w:rPr>
              <w:t>Boxes</w:t>
            </w:r>
          </w:p>
        </w:tc>
        <w:tc>
          <w:tcPr>
            <w:tcW w:w="7229" w:type="dxa"/>
          </w:tcPr>
          <w:p w:rsidR="000F52A6" w:rsidRPr="007E5391" w:rsidRDefault="000F52A6" w:rsidP="007E5391">
            <w:pPr>
              <w:rPr>
                <w:rFonts w:asciiTheme="minorHAnsi" w:hAnsiTheme="minorHAnsi" w:cs="Tahoma"/>
                <w:color w:val="000000"/>
                <w:sz w:val="22"/>
                <w:szCs w:val="22"/>
              </w:rPr>
            </w:pPr>
          </w:p>
        </w:tc>
        <w:tc>
          <w:tcPr>
            <w:tcW w:w="667" w:type="dxa"/>
          </w:tcPr>
          <w:p w:rsidR="000F52A6" w:rsidRPr="007E5391" w:rsidRDefault="000F52A6" w:rsidP="00A3691C">
            <w:pPr>
              <w:jc w:val="center"/>
              <w:rPr>
                <w:rFonts w:asciiTheme="minorHAnsi" w:hAnsiTheme="minorHAnsi" w:cs="Tahoma"/>
                <w:color w:val="000000"/>
                <w:sz w:val="22"/>
                <w:szCs w:val="22"/>
              </w:rPr>
            </w:pPr>
          </w:p>
        </w:tc>
      </w:tr>
      <w:tr w:rsidR="000F52A6" w:rsidRPr="007E5391" w:rsidTr="00A40C6F">
        <w:tc>
          <w:tcPr>
            <w:tcW w:w="851" w:type="dxa"/>
          </w:tcPr>
          <w:p w:rsidR="000F52A6" w:rsidRPr="007E5391" w:rsidRDefault="000F52A6" w:rsidP="007E5391">
            <w:pPr>
              <w:rPr>
                <w:rFonts w:asciiTheme="minorHAnsi" w:hAnsiTheme="minorHAnsi" w:cs="Tahoma"/>
                <w:color w:val="000000"/>
                <w:sz w:val="22"/>
                <w:szCs w:val="22"/>
              </w:rPr>
            </w:pPr>
            <w:r w:rsidRPr="007E5391">
              <w:rPr>
                <w:rFonts w:asciiTheme="minorHAnsi" w:hAnsiTheme="minorHAnsi" w:cs="Tahoma"/>
                <w:color w:val="000000"/>
                <w:sz w:val="22"/>
                <w:szCs w:val="22"/>
              </w:rPr>
              <w:t>Box 1.</w:t>
            </w:r>
          </w:p>
        </w:tc>
        <w:tc>
          <w:tcPr>
            <w:tcW w:w="7229" w:type="dxa"/>
          </w:tcPr>
          <w:p w:rsidR="000F52A6" w:rsidRPr="007E5391" w:rsidRDefault="000F52A6" w:rsidP="007E5391">
            <w:pPr>
              <w:rPr>
                <w:rFonts w:asciiTheme="minorHAnsi" w:hAnsiTheme="minorHAnsi" w:cs="Tahoma"/>
                <w:color w:val="000000"/>
                <w:sz w:val="22"/>
                <w:szCs w:val="22"/>
              </w:rPr>
            </w:pPr>
            <w:r w:rsidRPr="007E5391">
              <w:rPr>
                <w:rFonts w:asciiTheme="minorHAnsi" w:hAnsiTheme="minorHAnsi" w:cs="Arial"/>
                <w:sz w:val="22"/>
                <w:szCs w:val="22"/>
              </w:rPr>
              <w:t>The Faculty of Humanities headline staff diversity targets for 2020</w:t>
            </w:r>
          </w:p>
        </w:tc>
        <w:tc>
          <w:tcPr>
            <w:tcW w:w="667" w:type="dxa"/>
          </w:tcPr>
          <w:p w:rsidR="000F52A6" w:rsidRPr="007E5391" w:rsidRDefault="00377853" w:rsidP="00A3691C">
            <w:pPr>
              <w:jc w:val="center"/>
              <w:rPr>
                <w:rFonts w:asciiTheme="minorHAnsi" w:hAnsiTheme="minorHAnsi" w:cs="Tahoma"/>
                <w:color w:val="000000"/>
                <w:sz w:val="22"/>
                <w:szCs w:val="22"/>
              </w:rPr>
            </w:pPr>
            <w:r>
              <w:rPr>
                <w:rFonts w:asciiTheme="minorHAnsi" w:hAnsiTheme="minorHAnsi" w:cs="Tahoma"/>
                <w:color w:val="000000"/>
                <w:sz w:val="22"/>
                <w:szCs w:val="22"/>
              </w:rPr>
              <w:t>2</w:t>
            </w:r>
          </w:p>
        </w:tc>
      </w:tr>
      <w:tr w:rsidR="000F52A6" w:rsidRPr="007E5391" w:rsidTr="00A40C6F">
        <w:tc>
          <w:tcPr>
            <w:tcW w:w="851" w:type="dxa"/>
          </w:tcPr>
          <w:p w:rsidR="000F52A6" w:rsidRPr="007E5391" w:rsidRDefault="000F52A6" w:rsidP="007E5391">
            <w:pPr>
              <w:rPr>
                <w:rFonts w:asciiTheme="minorHAnsi" w:hAnsiTheme="minorHAnsi" w:cs="Tahoma"/>
                <w:color w:val="000000"/>
                <w:sz w:val="22"/>
                <w:szCs w:val="22"/>
              </w:rPr>
            </w:pPr>
            <w:r w:rsidRPr="007E5391">
              <w:rPr>
                <w:rFonts w:asciiTheme="minorHAnsi" w:hAnsiTheme="minorHAnsi" w:cs="Tahoma"/>
                <w:color w:val="000000"/>
                <w:sz w:val="22"/>
                <w:szCs w:val="22"/>
              </w:rPr>
              <w:t>Box 2.</w:t>
            </w:r>
          </w:p>
        </w:tc>
        <w:tc>
          <w:tcPr>
            <w:tcW w:w="7229" w:type="dxa"/>
          </w:tcPr>
          <w:p w:rsidR="000F52A6" w:rsidRPr="007E5391" w:rsidRDefault="000F52A6" w:rsidP="007E5391">
            <w:pPr>
              <w:rPr>
                <w:rFonts w:asciiTheme="minorHAnsi" w:hAnsiTheme="minorHAnsi" w:cs="Arial"/>
                <w:sz w:val="22"/>
                <w:szCs w:val="22"/>
              </w:rPr>
            </w:pPr>
            <w:r w:rsidRPr="007E5391">
              <w:rPr>
                <w:rFonts w:asciiTheme="minorHAnsi" w:hAnsiTheme="minorHAnsi" w:cs="Arial"/>
                <w:sz w:val="22"/>
                <w:szCs w:val="22"/>
              </w:rPr>
              <w:t>The Equali</w:t>
            </w:r>
            <w:r w:rsidR="00A40C6F">
              <w:rPr>
                <w:rFonts w:asciiTheme="minorHAnsi" w:hAnsiTheme="minorHAnsi" w:cs="Arial"/>
                <w:sz w:val="22"/>
                <w:szCs w:val="22"/>
              </w:rPr>
              <w:t xml:space="preserve">ty Challenge Unit’s </w:t>
            </w:r>
            <w:r w:rsidRPr="007E5391">
              <w:rPr>
                <w:rFonts w:asciiTheme="minorHAnsi" w:hAnsiTheme="minorHAnsi" w:cs="Arial"/>
                <w:sz w:val="22"/>
                <w:szCs w:val="22"/>
              </w:rPr>
              <w:t>gender equality and race equality charter marks</w:t>
            </w:r>
          </w:p>
        </w:tc>
        <w:tc>
          <w:tcPr>
            <w:tcW w:w="667" w:type="dxa"/>
          </w:tcPr>
          <w:p w:rsidR="000F52A6" w:rsidRPr="007E5391" w:rsidRDefault="000F52A6" w:rsidP="00A3691C">
            <w:pPr>
              <w:jc w:val="center"/>
              <w:rPr>
                <w:rFonts w:asciiTheme="minorHAnsi" w:hAnsiTheme="minorHAnsi" w:cs="Tahoma"/>
                <w:color w:val="000000"/>
                <w:sz w:val="22"/>
                <w:szCs w:val="22"/>
              </w:rPr>
            </w:pPr>
            <w:r w:rsidRPr="007E5391">
              <w:rPr>
                <w:rFonts w:asciiTheme="minorHAnsi" w:hAnsiTheme="minorHAnsi" w:cs="Tahoma"/>
                <w:color w:val="000000"/>
                <w:sz w:val="22"/>
                <w:szCs w:val="22"/>
              </w:rPr>
              <w:t>2</w:t>
            </w:r>
          </w:p>
        </w:tc>
      </w:tr>
      <w:tr w:rsidR="005474BC" w:rsidRPr="005474BC" w:rsidTr="00A40C6F">
        <w:tc>
          <w:tcPr>
            <w:tcW w:w="851" w:type="dxa"/>
          </w:tcPr>
          <w:p w:rsidR="005474BC" w:rsidRPr="005474BC" w:rsidRDefault="005474BC" w:rsidP="007E5391">
            <w:pPr>
              <w:rPr>
                <w:rFonts w:asciiTheme="minorHAnsi" w:hAnsiTheme="minorHAnsi" w:cs="Tahoma"/>
                <w:color w:val="000000"/>
                <w:sz w:val="22"/>
                <w:szCs w:val="22"/>
              </w:rPr>
            </w:pPr>
            <w:r w:rsidRPr="005474BC">
              <w:rPr>
                <w:rFonts w:asciiTheme="minorHAnsi" w:hAnsiTheme="minorHAnsi" w:cs="Tahoma"/>
                <w:color w:val="000000"/>
                <w:sz w:val="22"/>
                <w:szCs w:val="22"/>
              </w:rPr>
              <w:t>Box 3</w:t>
            </w:r>
            <w:r>
              <w:rPr>
                <w:rFonts w:asciiTheme="minorHAnsi" w:hAnsiTheme="minorHAnsi" w:cs="Tahoma"/>
                <w:color w:val="000000"/>
                <w:sz w:val="22"/>
                <w:szCs w:val="22"/>
              </w:rPr>
              <w:t>.</w:t>
            </w:r>
          </w:p>
        </w:tc>
        <w:tc>
          <w:tcPr>
            <w:tcW w:w="7229" w:type="dxa"/>
          </w:tcPr>
          <w:p w:rsidR="005474BC" w:rsidRPr="005474BC" w:rsidRDefault="005474BC" w:rsidP="007E5391">
            <w:pPr>
              <w:rPr>
                <w:rFonts w:asciiTheme="minorHAnsi" w:hAnsiTheme="minorHAnsi" w:cs="Arial"/>
                <w:sz w:val="22"/>
                <w:szCs w:val="22"/>
              </w:rPr>
            </w:pPr>
            <w:r w:rsidRPr="005474BC">
              <w:rPr>
                <w:rFonts w:asciiTheme="minorHAnsi" w:hAnsiTheme="minorHAnsi"/>
                <w:sz w:val="22"/>
                <w:szCs w:val="22"/>
              </w:rPr>
              <w:t>Gender and BME under-representation in the Higher Education Institutes (HEIs) of the UK</w:t>
            </w:r>
          </w:p>
        </w:tc>
        <w:tc>
          <w:tcPr>
            <w:tcW w:w="667" w:type="dxa"/>
          </w:tcPr>
          <w:p w:rsidR="005474BC" w:rsidRPr="005474BC" w:rsidRDefault="00BF0884" w:rsidP="00A3691C">
            <w:pPr>
              <w:jc w:val="center"/>
              <w:rPr>
                <w:rFonts w:asciiTheme="minorHAnsi" w:hAnsiTheme="minorHAnsi" w:cs="Tahoma"/>
                <w:color w:val="000000"/>
                <w:sz w:val="22"/>
                <w:szCs w:val="22"/>
              </w:rPr>
            </w:pPr>
            <w:r>
              <w:rPr>
                <w:rFonts w:asciiTheme="minorHAnsi" w:hAnsiTheme="minorHAnsi" w:cs="Tahoma"/>
                <w:color w:val="000000"/>
                <w:sz w:val="22"/>
                <w:szCs w:val="22"/>
              </w:rPr>
              <w:t>6</w:t>
            </w:r>
          </w:p>
        </w:tc>
      </w:tr>
      <w:tr w:rsidR="005474BC" w:rsidRPr="005474BC" w:rsidTr="00A40C6F">
        <w:tc>
          <w:tcPr>
            <w:tcW w:w="851" w:type="dxa"/>
          </w:tcPr>
          <w:p w:rsidR="005474BC" w:rsidRPr="005474BC" w:rsidRDefault="005474BC" w:rsidP="007E5391">
            <w:pPr>
              <w:rPr>
                <w:rFonts w:asciiTheme="minorHAnsi" w:hAnsiTheme="minorHAnsi" w:cs="Tahoma"/>
                <w:color w:val="000000"/>
                <w:sz w:val="22"/>
                <w:szCs w:val="22"/>
              </w:rPr>
            </w:pPr>
            <w:r w:rsidRPr="005474BC">
              <w:rPr>
                <w:rFonts w:asciiTheme="minorHAnsi" w:hAnsiTheme="minorHAnsi" w:cs="Tahoma"/>
                <w:color w:val="000000"/>
                <w:sz w:val="22"/>
                <w:szCs w:val="22"/>
              </w:rPr>
              <w:t>Box 4.</w:t>
            </w:r>
          </w:p>
        </w:tc>
        <w:tc>
          <w:tcPr>
            <w:tcW w:w="7229" w:type="dxa"/>
          </w:tcPr>
          <w:p w:rsidR="005474BC" w:rsidRPr="005474BC" w:rsidRDefault="005474BC" w:rsidP="007E5391">
            <w:pPr>
              <w:rPr>
                <w:rFonts w:asciiTheme="minorHAnsi" w:hAnsiTheme="minorHAnsi" w:cs="Arial"/>
                <w:sz w:val="22"/>
                <w:szCs w:val="22"/>
              </w:rPr>
            </w:pPr>
            <w:r w:rsidRPr="005474BC">
              <w:rPr>
                <w:rFonts w:asciiTheme="minorHAnsi" w:hAnsiTheme="minorHAnsi"/>
                <w:sz w:val="22"/>
                <w:szCs w:val="22"/>
              </w:rPr>
              <w:t>Benchmarking the gender pay gap for The University of Manchester against the UK HEI sector average, 2011-12</w:t>
            </w:r>
          </w:p>
        </w:tc>
        <w:tc>
          <w:tcPr>
            <w:tcW w:w="667" w:type="dxa"/>
          </w:tcPr>
          <w:p w:rsidR="005474BC" w:rsidRPr="005474BC" w:rsidRDefault="00BF0884" w:rsidP="00A3691C">
            <w:pPr>
              <w:jc w:val="center"/>
              <w:rPr>
                <w:rFonts w:asciiTheme="minorHAnsi" w:hAnsiTheme="minorHAnsi" w:cs="Tahoma"/>
                <w:color w:val="000000"/>
                <w:sz w:val="22"/>
                <w:szCs w:val="22"/>
              </w:rPr>
            </w:pPr>
            <w:r>
              <w:rPr>
                <w:rFonts w:asciiTheme="minorHAnsi" w:hAnsiTheme="minorHAnsi" w:cs="Tahoma"/>
                <w:color w:val="000000"/>
                <w:sz w:val="22"/>
                <w:szCs w:val="22"/>
              </w:rPr>
              <w:t>6</w:t>
            </w:r>
          </w:p>
        </w:tc>
      </w:tr>
      <w:tr w:rsidR="005474BC" w:rsidRPr="005474BC" w:rsidTr="00A40C6F">
        <w:tc>
          <w:tcPr>
            <w:tcW w:w="851" w:type="dxa"/>
          </w:tcPr>
          <w:p w:rsidR="005474BC" w:rsidRPr="005474BC" w:rsidRDefault="005474BC" w:rsidP="007E5391">
            <w:pPr>
              <w:rPr>
                <w:rFonts w:asciiTheme="minorHAnsi" w:hAnsiTheme="minorHAnsi" w:cs="Tahoma"/>
                <w:color w:val="000000"/>
                <w:sz w:val="22"/>
                <w:szCs w:val="22"/>
              </w:rPr>
            </w:pPr>
            <w:r w:rsidRPr="005474BC">
              <w:rPr>
                <w:rFonts w:asciiTheme="minorHAnsi" w:hAnsiTheme="minorHAnsi" w:cs="Tahoma"/>
                <w:color w:val="000000"/>
                <w:sz w:val="22"/>
                <w:szCs w:val="22"/>
              </w:rPr>
              <w:t>Box 5.</w:t>
            </w:r>
          </w:p>
        </w:tc>
        <w:tc>
          <w:tcPr>
            <w:tcW w:w="7229" w:type="dxa"/>
          </w:tcPr>
          <w:p w:rsidR="005474BC" w:rsidRPr="00FC4BEA" w:rsidRDefault="00FC4BEA" w:rsidP="007E5391">
            <w:pPr>
              <w:rPr>
                <w:rFonts w:asciiTheme="minorHAnsi" w:hAnsiTheme="minorHAnsi"/>
                <w:sz w:val="22"/>
                <w:szCs w:val="22"/>
              </w:rPr>
            </w:pPr>
            <w:r w:rsidRPr="00FC4BEA">
              <w:rPr>
                <w:rFonts w:asciiTheme="minorHAnsi" w:hAnsiTheme="minorHAnsi"/>
                <w:color w:val="000000" w:themeColor="text1"/>
                <w:sz w:val="22"/>
                <w:szCs w:val="22"/>
              </w:rPr>
              <w:t>Ethnic Inequalities in Labour Market Participation in the UK</w:t>
            </w:r>
          </w:p>
        </w:tc>
        <w:tc>
          <w:tcPr>
            <w:tcW w:w="667" w:type="dxa"/>
          </w:tcPr>
          <w:p w:rsidR="005474BC" w:rsidRPr="005474BC" w:rsidRDefault="00BF0884" w:rsidP="00A3691C">
            <w:pPr>
              <w:jc w:val="center"/>
              <w:rPr>
                <w:rFonts w:asciiTheme="minorHAnsi" w:hAnsiTheme="minorHAnsi" w:cs="Tahoma"/>
                <w:color w:val="000000"/>
                <w:sz w:val="22"/>
                <w:szCs w:val="22"/>
              </w:rPr>
            </w:pPr>
            <w:r>
              <w:rPr>
                <w:rFonts w:asciiTheme="minorHAnsi" w:hAnsiTheme="minorHAnsi" w:cs="Tahoma"/>
                <w:color w:val="000000"/>
                <w:sz w:val="22"/>
                <w:szCs w:val="22"/>
              </w:rPr>
              <w:t>7</w:t>
            </w:r>
          </w:p>
        </w:tc>
      </w:tr>
      <w:tr w:rsidR="00C1379D" w:rsidRPr="00C1379D" w:rsidTr="00A40C6F">
        <w:tc>
          <w:tcPr>
            <w:tcW w:w="851" w:type="dxa"/>
          </w:tcPr>
          <w:p w:rsidR="00C1379D" w:rsidRPr="00C1379D" w:rsidRDefault="00C1379D" w:rsidP="007E5391">
            <w:pPr>
              <w:rPr>
                <w:rFonts w:asciiTheme="minorHAnsi" w:hAnsiTheme="minorHAnsi" w:cs="Tahoma"/>
                <w:b/>
                <w:color w:val="000000"/>
                <w:sz w:val="22"/>
                <w:szCs w:val="22"/>
              </w:rPr>
            </w:pPr>
            <w:r w:rsidRPr="00C1379D">
              <w:rPr>
                <w:rFonts w:asciiTheme="minorHAnsi" w:hAnsiTheme="minorHAnsi" w:cs="Tahoma"/>
                <w:b/>
                <w:color w:val="000000"/>
                <w:sz w:val="22"/>
                <w:szCs w:val="22"/>
              </w:rPr>
              <w:t>Tables</w:t>
            </w:r>
          </w:p>
        </w:tc>
        <w:tc>
          <w:tcPr>
            <w:tcW w:w="7229" w:type="dxa"/>
          </w:tcPr>
          <w:p w:rsidR="00C1379D" w:rsidRPr="00C1379D" w:rsidRDefault="00C1379D" w:rsidP="007E5391">
            <w:pPr>
              <w:rPr>
                <w:rFonts w:asciiTheme="minorHAnsi" w:hAnsiTheme="minorHAnsi"/>
                <w:color w:val="000000" w:themeColor="text1"/>
                <w:sz w:val="22"/>
                <w:szCs w:val="22"/>
              </w:rPr>
            </w:pPr>
          </w:p>
        </w:tc>
        <w:tc>
          <w:tcPr>
            <w:tcW w:w="667" w:type="dxa"/>
          </w:tcPr>
          <w:p w:rsidR="00C1379D" w:rsidRPr="00C1379D" w:rsidRDefault="00C1379D" w:rsidP="00A3691C">
            <w:pPr>
              <w:jc w:val="center"/>
              <w:rPr>
                <w:rFonts w:asciiTheme="minorHAnsi" w:hAnsiTheme="minorHAnsi" w:cs="Tahoma"/>
                <w:color w:val="000000"/>
                <w:sz w:val="22"/>
                <w:szCs w:val="22"/>
              </w:rPr>
            </w:pPr>
          </w:p>
        </w:tc>
      </w:tr>
      <w:tr w:rsidR="005474BC" w:rsidRPr="00A937B3" w:rsidTr="00A40C6F">
        <w:tc>
          <w:tcPr>
            <w:tcW w:w="851" w:type="dxa"/>
          </w:tcPr>
          <w:p w:rsidR="005474BC" w:rsidRPr="00A937B3" w:rsidRDefault="00A937B3" w:rsidP="007E5391">
            <w:pPr>
              <w:rPr>
                <w:rFonts w:asciiTheme="minorHAnsi" w:hAnsiTheme="minorHAnsi" w:cs="Tahoma"/>
                <w:color w:val="000000"/>
                <w:sz w:val="22"/>
                <w:szCs w:val="22"/>
              </w:rPr>
            </w:pPr>
            <w:r w:rsidRPr="00A937B3">
              <w:rPr>
                <w:rFonts w:asciiTheme="minorHAnsi" w:hAnsiTheme="minorHAnsi" w:cs="Tahoma"/>
                <w:color w:val="000000"/>
                <w:sz w:val="22"/>
                <w:szCs w:val="22"/>
              </w:rPr>
              <w:t>3.1</w:t>
            </w:r>
          </w:p>
        </w:tc>
        <w:tc>
          <w:tcPr>
            <w:tcW w:w="7229" w:type="dxa"/>
          </w:tcPr>
          <w:p w:rsidR="005474BC" w:rsidRPr="00A937B3" w:rsidRDefault="00A937B3" w:rsidP="007E5391">
            <w:pPr>
              <w:rPr>
                <w:rFonts w:asciiTheme="minorHAnsi" w:hAnsiTheme="minorHAnsi"/>
                <w:color w:val="000000" w:themeColor="text1"/>
                <w:sz w:val="22"/>
                <w:szCs w:val="22"/>
              </w:rPr>
            </w:pPr>
            <w:r w:rsidRPr="00A937B3">
              <w:rPr>
                <w:rFonts w:asciiTheme="minorHAnsi" w:hAnsiTheme="minorHAnsi"/>
                <w:color w:val="000000" w:themeColor="text1"/>
                <w:sz w:val="22"/>
                <w:szCs w:val="22"/>
              </w:rPr>
              <w:t>The gender and BME profile of PSS staff in the Faculty of Humanities</w:t>
            </w:r>
          </w:p>
        </w:tc>
        <w:tc>
          <w:tcPr>
            <w:tcW w:w="667" w:type="dxa"/>
          </w:tcPr>
          <w:p w:rsidR="005474BC" w:rsidRPr="00A937B3" w:rsidRDefault="00A3691C" w:rsidP="00A3691C">
            <w:pPr>
              <w:jc w:val="center"/>
              <w:rPr>
                <w:rFonts w:asciiTheme="minorHAnsi" w:hAnsiTheme="minorHAnsi" w:cs="Tahoma"/>
                <w:color w:val="000000"/>
                <w:sz w:val="22"/>
                <w:szCs w:val="22"/>
              </w:rPr>
            </w:pPr>
            <w:r>
              <w:rPr>
                <w:rFonts w:asciiTheme="minorHAnsi" w:hAnsiTheme="minorHAnsi" w:cs="Tahoma"/>
                <w:color w:val="000000"/>
                <w:sz w:val="22"/>
                <w:szCs w:val="22"/>
              </w:rPr>
              <w:t>8</w:t>
            </w:r>
          </w:p>
        </w:tc>
      </w:tr>
      <w:tr w:rsidR="00A937B3" w:rsidRPr="00A937B3" w:rsidTr="00A40C6F">
        <w:tc>
          <w:tcPr>
            <w:tcW w:w="851" w:type="dxa"/>
          </w:tcPr>
          <w:p w:rsidR="00A937B3" w:rsidRPr="00A937B3" w:rsidRDefault="00A937B3" w:rsidP="007E5391">
            <w:pPr>
              <w:rPr>
                <w:rFonts w:asciiTheme="minorHAnsi" w:hAnsiTheme="minorHAnsi" w:cs="Tahoma"/>
                <w:color w:val="000000"/>
                <w:sz w:val="22"/>
                <w:szCs w:val="22"/>
              </w:rPr>
            </w:pPr>
            <w:r w:rsidRPr="00A937B3">
              <w:rPr>
                <w:rFonts w:asciiTheme="minorHAnsi" w:hAnsiTheme="minorHAnsi" w:cs="Tahoma"/>
                <w:color w:val="000000"/>
                <w:sz w:val="22"/>
                <w:szCs w:val="22"/>
              </w:rPr>
              <w:t>3.2</w:t>
            </w:r>
          </w:p>
        </w:tc>
        <w:tc>
          <w:tcPr>
            <w:tcW w:w="7229" w:type="dxa"/>
          </w:tcPr>
          <w:p w:rsidR="00A937B3" w:rsidRPr="00A937B3" w:rsidRDefault="00A937B3" w:rsidP="007E5391">
            <w:pPr>
              <w:rPr>
                <w:rFonts w:asciiTheme="minorHAnsi" w:hAnsiTheme="minorHAnsi"/>
                <w:color w:val="000000" w:themeColor="text1"/>
                <w:sz w:val="22"/>
                <w:szCs w:val="22"/>
              </w:rPr>
            </w:pPr>
            <w:r w:rsidRPr="00A937B3">
              <w:rPr>
                <w:rFonts w:asciiTheme="minorHAnsi" w:hAnsiTheme="minorHAnsi"/>
                <w:sz w:val="22"/>
                <w:szCs w:val="22"/>
              </w:rPr>
              <w:t>The gender and BME profile of academic staff, by School</w:t>
            </w:r>
          </w:p>
        </w:tc>
        <w:tc>
          <w:tcPr>
            <w:tcW w:w="667" w:type="dxa"/>
          </w:tcPr>
          <w:p w:rsidR="00A937B3" w:rsidRPr="00A937B3" w:rsidRDefault="00A40C6F" w:rsidP="00A3691C">
            <w:pPr>
              <w:jc w:val="center"/>
              <w:rPr>
                <w:rFonts w:asciiTheme="minorHAnsi" w:hAnsiTheme="minorHAnsi" w:cs="Tahoma"/>
                <w:color w:val="000000"/>
                <w:sz w:val="22"/>
                <w:szCs w:val="22"/>
              </w:rPr>
            </w:pPr>
            <w:r>
              <w:rPr>
                <w:rFonts w:asciiTheme="minorHAnsi" w:hAnsiTheme="minorHAnsi" w:cs="Tahoma"/>
                <w:color w:val="000000"/>
                <w:sz w:val="22"/>
                <w:szCs w:val="22"/>
              </w:rPr>
              <w:t>10</w:t>
            </w:r>
          </w:p>
        </w:tc>
      </w:tr>
      <w:tr w:rsidR="00A937B3" w:rsidRPr="00A937B3" w:rsidTr="00A40C6F">
        <w:tc>
          <w:tcPr>
            <w:tcW w:w="851" w:type="dxa"/>
          </w:tcPr>
          <w:p w:rsidR="00A937B3" w:rsidRPr="00A43934" w:rsidRDefault="00A43934" w:rsidP="007E5391">
            <w:pPr>
              <w:rPr>
                <w:rFonts w:asciiTheme="minorHAnsi" w:hAnsiTheme="minorHAnsi" w:cs="Tahoma"/>
                <w:color w:val="000000"/>
                <w:sz w:val="22"/>
                <w:szCs w:val="22"/>
              </w:rPr>
            </w:pPr>
            <w:r w:rsidRPr="00A43934">
              <w:rPr>
                <w:rFonts w:asciiTheme="minorHAnsi" w:hAnsiTheme="minorHAnsi" w:cs="Tahoma"/>
                <w:color w:val="000000"/>
                <w:sz w:val="22"/>
                <w:szCs w:val="22"/>
              </w:rPr>
              <w:t>3.3</w:t>
            </w:r>
          </w:p>
        </w:tc>
        <w:tc>
          <w:tcPr>
            <w:tcW w:w="7229" w:type="dxa"/>
          </w:tcPr>
          <w:p w:rsidR="00A937B3" w:rsidRPr="00A43934" w:rsidRDefault="00A937B3" w:rsidP="007E5391">
            <w:pPr>
              <w:rPr>
                <w:rFonts w:asciiTheme="minorHAnsi" w:hAnsiTheme="minorHAnsi"/>
                <w:sz w:val="22"/>
                <w:szCs w:val="22"/>
              </w:rPr>
            </w:pPr>
            <w:r w:rsidRPr="00A43934">
              <w:rPr>
                <w:rFonts w:asciiTheme="minorHAnsi" w:hAnsiTheme="minorHAnsi" w:cs="Tahoma"/>
                <w:color w:val="000000"/>
                <w:sz w:val="22"/>
                <w:szCs w:val="22"/>
              </w:rPr>
              <w:t>The gender, BME and UK/non-UK profile of students by School</w:t>
            </w:r>
            <w:r w:rsidR="00A43934" w:rsidRPr="00A43934">
              <w:rPr>
                <w:rFonts w:asciiTheme="minorHAnsi" w:hAnsiTheme="minorHAnsi" w:cs="Tahoma"/>
                <w:color w:val="000000"/>
                <w:sz w:val="22"/>
                <w:szCs w:val="22"/>
              </w:rPr>
              <w:t xml:space="preserve"> </w:t>
            </w:r>
          </w:p>
        </w:tc>
        <w:tc>
          <w:tcPr>
            <w:tcW w:w="667" w:type="dxa"/>
          </w:tcPr>
          <w:p w:rsidR="00A937B3" w:rsidRPr="00A3691C" w:rsidRDefault="00A3691C" w:rsidP="00A3691C">
            <w:pPr>
              <w:jc w:val="center"/>
              <w:rPr>
                <w:rFonts w:asciiTheme="minorHAnsi" w:hAnsiTheme="minorHAnsi" w:cs="Tahoma"/>
                <w:color w:val="000000"/>
                <w:sz w:val="22"/>
                <w:szCs w:val="22"/>
              </w:rPr>
            </w:pPr>
            <w:r w:rsidRPr="00A3691C">
              <w:rPr>
                <w:rFonts w:asciiTheme="minorHAnsi" w:hAnsiTheme="minorHAnsi" w:cs="Tahoma"/>
                <w:color w:val="000000"/>
                <w:sz w:val="22"/>
                <w:szCs w:val="22"/>
              </w:rPr>
              <w:t>12</w:t>
            </w:r>
          </w:p>
        </w:tc>
      </w:tr>
      <w:tr w:rsidR="00A43934" w:rsidRPr="00A43934" w:rsidTr="00A40C6F">
        <w:tc>
          <w:tcPr>
            <w:tcW w:w="851" w:type="dxa"/>
          </w:tcPr>
          <w:p w:rsidR="00A43934" w:rsidRPr="00A43934" w:rsidRDefault="00A43934" w:rsidP="007E5391">
            <w:pPr>
              <w:rPr>
                <w:rFonts w:asciiTheme="minorHAnsi" w:hAnsiTheme="minorHAnsi" w:cs="Tahoma"/>
                <w:color w:val="000000"/>
                <w:sz w:val="22"/>
                <w:szCs w:val="22"/>
              </w:rPr>
            </w:pPr>
            <w:r w:rsidRPr="00A43934">
              <w:rPr>
                <w:rFonts w:asciiTheme="minorHAnsi" w:hAnsiTheme="minorHAnsi" w:cs="Tahoma"/>
                <w:color w:val="000000"/>
                <w:sz w:val="22"/>
                <w:szCs w:val="22"/>
              </w:rPr>
              <w:t>3.4</w:t>
            </w:r>
          </w:p>
        </w:tc>
        <w:tc>
          <w:tcPr>
            <w:tcW w:w="7229" w:type="dxa"/>
          </w:tcPr>
          <w:p w:rsidR="00A43934" w:rsidRPr="00A43934" w:rsidRDefault="00A43934" w:rsidP="007E5391">
            <w:pPr>
              <w:rPr>
                <w:rFonts w:asciiTheme="minorHAnsi" w:hAnsiTheme="minorHAnsi" w:cs="Tahoma"/>
                <w:color w:val="000000"/>
                <w:sz w:val="22"/>
                <w:szCs w:val="22"/>
              </w:rPr>
            </w:pPr>
            <w:r w:rsidRPr="00A43934">
              <w:rPr>
                <w:rFonts w:asciiTheme="minorHAnsi" w:hAnsiTheme="minorHAnsi" w:cs="Tahoma"/>
                <w:color w:val="000000"/>
                <w:sz w:val="22"/>
                <w:szCs w:val="22"/>
              </w:rPr>
              <w:t>Extract of the Equal Pay Audit for PSS and academic staff grades 1-8</w:t>
            </w:r>
          </w:p>
        </w:tc>
        <w:tc>
          <w:tcPr>
            <w:tcW w:w="667" w:type="dxa"/>
          </w:tcPr>
          <w:p w:rsidR="00A43934" w:rsidRPr="00A43934" w:rsidRDefault="00A3691C" w:rsidP="00A3691C">
            <w:pPr>
              <w:jc w:val="center"/>
              <w:rPr>
                <w:rFonts w:asciiTheme="minorHAnsi" w:hAnsiTheme="minorHAnsi" w:cs="Tahoma"/>
                <w:color w:val="000000"/>
                <w:sz w:val="22"/>
                <w:szCs w:val="22"/>
              </w:rPr>
            </w:pPr>
            <w:r>
              <w:rPr>
                <w:rFonts w:asciiTheme="minorHAnsi" w:hAnsiTheme="minorHAnsi" w:cs="Tahoma"/>
                <w:color w:val="000000"/>
                <w:sz w:val="22"/>
                <w:szCs w:val="22"/>
              </w:rPr>
              <w:t>1</w:t>
            </w:r>
            <w:r w:rsidR="00193798">
              <w:rPr>
                <w:rFonts w:asciiTheme="minorHAnsi" w:hAnsiTheme="minorHAnsi" w:cs="Tahoma"/>
                <w:color w:val="000000"/>
                <w:sz w:val="22"/>
                <w:szCs w:val="22"/>
              </w:rPr>
              <w:t>4</w:t>
            </w:r>
          </w:p>
        </w:tc>
      </w:tr>
      <w:tr w:rsidR="00193798" w:rsidRPr="00A43934" w:rsidTr="00A40C6F">
        <w:tc>
          <w:tcPr>
            <w:tcW w:w="851" w:type="dxa"/>
          </w:tcPr>
          <w:p w:rsidR="00193798" w:rsidRPr="00377853" w:rsidRDefault="00193798" w:rsidP="007E5391">
            <w:pPr>
              <w:rPr>
                <w:rFonts w:asciiTheme="minorHAnsi" w:hAnsiTheme="minorHAnsi" w:cs="Tahoma"/>
                <w:color w:val="000000"/>
                <w:sz w:val="22"/>
                <w:szCs w:val="22"/>
              </w:rPr>
            </w:pPr>
            <w:r w:rsidRPr="00377853">
              <w:rPr>
                <w:rFonts w:asciiTheme="minorHAnsi" w:hAnsiTheme="minorHAnsi" w:cs="Tahoma"/>
                <w:color w:val="000000"/>
                <w:sz w:val="22"/>
                <w:szCs w:val="22"/>
              </w:rPr>
              <w:t>3.5</w:t>
            </w:r>
          </w:p>
        </w:tc>
        <w:tc>
          <w:tcPr>
            <w:tcW w:w="7229" w:type="dxa"/>
          </w:tcPr>
          <w:p w:rsidR="00193798" w:rsidRPr="00193798" w:rsidRDefault="00193798" w:rsidP="007E5391">
            <w:pPr>
              <w:rPr>
                <w:rFonts w:asciiTheme="minorHAnsi" w:hAnsiTheme="minorHAnsi" w:cs="Tahoma"/>
                <w:color w:val="000000"/>
                <w:sz w:val="22"/>
                <w:szCs w:val="22"/>
              </w:rPr>
            </w:pPr>
            <w:r w:rsidRPr="00193798">
              <w:rPr>
                <w:rFonts w:asciiTheme="minorHAnsi" w:hAnsiTheme="minorHAnsi" w:cs="Tahoma"/>
                <w:color w:val="000000"/>
                <w:sz w:val="22"/>
                <w:szCs w:val="22"/>
              </w:rPr>
              <w:t>The average and median pay gaps for the University of Manchester professoriate, 2012</w:t>
            </w:r>
          </w:p>
        </w:tc>
        <w:tc>
          <w:tcPr>
            <w:tcW w:w="667" w:type="dxa"/>
          </w:tcPr>
          <w:p w:rsidR="00193798" w:rsidRPr="00193798" w:rsidRDefault="00193798" w:rsidP="00A3691C">
            <w:pPr>
              <w:jc w:val="center"/>
              <w:rPr>
                <w:rFonts w:asciiTheme="minorHAnsi" w:hAnsiTheme="minorHAnsi" w:cs="Tahoma"/>
                <w:color w:val="000000"/>
                <w:sz w:val="22"/>
                <w:szCs w:val="22"/>
              </w:rPr>
            </w:pPr>
            <w:r>
              <w:rPr>
                <w:rFonts w:asciiTheme="minorHAnsi" w:hAnsiTheme="minorHAnsi" w:cs="Tahoma"/>
                <w:color w:val="000000"/>
                <w:sz w:val="22"/>
                <w:szCs w:val="22"/>
              </w:rPr>
              <w:t>14</w:t>
            </w:r>
          </w:p>
        </w:tc>
      </w:tr>
      <w:tr w:rsidR="00A43934" w:rsidRPr="00A43934" w:rsidTr="00A40C6F">
        <w:tc>
          <w:tcPr>
            <w:tcW w:w="851" w:type="dxa"/>
          </w:tcPr>
          <w:p w:rsidR="00A43934" w:rsidRPr="00A43934" w:rsidRDefault="00193798" w:rsidP="007E5391">
            <w:pPr>
              <w:rPr>
                <w:rFonts w:asciiTheme="minorHAnsi" w:hAnsiTheme="minorHAnsi" w:cs="Tahoma"/>
                <w:color w:val="000000"/>
                <w:sz w:val="22"/>
                <w:szCs w:val="22"/>
              </w:rPr>
            </w:pPr>
            <w:r>
              <w:rPr>
                <w:rFonts w:asciiTheme="minorHAnsi" w:hAnsiTheme="minorHAnsi" w:cs="Tahoma"/>
                <w:color w:val="000000"/>
                <w:sz w:val="22"/>
                <w:szCs w:val="22"/>
              </w:rPr>
              <w:t>3.6</w:t>
            </w:r>
          </w:p>
        </w:tc>
        <w:tc>
          <w:tcPr>
            <w:tcW w:w="7229" w:type="dxa"/>
          </w:tcPr>
          <w:p w:rsidR="00A43934" w:rsidRPr="00A43934" w:rsidRDefault="00C94088" w:rsidP="007E5391">
            <w:pPr>
              <w:rPr>
                <w:rFonts w:asciiTheme="minorHAnsi" w:hAnsiTheme="minorHAnsi" w:cs="Tahoma"/>
                <w:color w:val="000000"/>
                <w:sz w:val="22"/>
                <w:szCs w:val="22"/>
              </w:rPr>
            </w:pPr>
            <w:r w:rsidRPr="00C94088">
              <w:rPr>
                <w:rFonts w:ascii="Calibri" w:eastAsia="Calibri" w:hAnsi="Calibri"/>
                <w:sz w:val="22"/>
                <w:szCs w:val="22"/>
              </w:rPr>
              <w:t>Average Annual Professorial FTE Salary by Zones C to E and Gender, 1 May 1</w:t>
            </w:r>
            <w:r w:rsidRPr="00C94088">
              <w:rPr>
                <w:rFonts w:ascii="Calibri" w:eastAsia="Calibri" w:hAnsi="Calibri"/>
                <w:sz w:val="22"/>
                <w:szCs w:val="22"/>
                <w:vertAlign w:val="superscript"/>
              </w:rPr>
              <w:t>st</w:t>
            </w:r>
            <w:r w:rsidRPr="00C94088">
              <w:rPr>
                <w:rFonts w:ascii="Calibri" w:eastAsia="Calibri" w:hAnsi="Calibri"/>
                <w:sz w:val="22"/>
                <w:szCs w:val="22"/>
              </w:rPr>
              <w:t xml:space="preserve"> 2014 (including pay gap information</w:t>
            </w:r>
            <w:r w:rsidRPr="00351EAB">
              <w:rPr>
                <w:rFonts w:ascii="Calibri" w:eastAsia="Calibri" w:hAnsi="Calibri"/>
                <w:b/>
              </w:rPr>
              <w:t>)</w:t>
            </w:r>
          </w:p>
        </w:tc>
        <w:tc>
          <w:tcPr>
            <w:tcW w:w="667" w:type="dxa"/>
          </w:tcPr>
          <w:p w:rsidR="00A43934" w:rsidRPr="00A43934" w:rsidRDefault="00193798" w:rsidP="00A3691C">
            <w:pPr>
              <w:jc w:val="center"/>
              <w:rPr>
                <w:rFonts w:asciiTheme="minorHAnsi" w:hAnsiTheme="minorHAnsi" w:cs="Tahoma"/>
                <w:color w:val="000000"/>
                <w:sz w:val="22"/>
                <w:szCs w:val="22"/>
              </w:rPr>
            </w:pPr>
            <w:r>
              <w:rPr>
                <w:rFonts w:asciiTheme="minorHAnsi" w:hAnsiTheme="minorHAnsi" w:cs="Tahoma"/>
                <w:color w:val="000000"/>
                <w:sz w:val="22"/>
                <w:szCs w:val="22"/>
              </w:rPr>
              <w:t>15</w:t>
            </w:r>
          </w:p>
        </w:tc>
      </w:tr>
      <w:tr w:rsidR="00C94088" w:rsidRPr="00A43934" w:rsidTr="00A40C6F">
        <w:tc>
          <w:tcPr>
            <w:tcW w:w="851" w:type="dxa"/>
          </w:tcPr>
          <w:p w:rsidR="00C94088" w:rsidRPr="00A40C6F" w:rsidRDefault="00C94088" w:rsidP="007E5391">
            <w:pPr>
              <w:rPr>
                <w:rFonts w:asciiTheme="minorHAnsi" w:hAnsiTheme="minorHAnsi" w:cs="Tahoma"/>
                <w:color w:val="000000"/>
                <w:sz w:val="22"/>
                <w:szCs w:val="22"/>
              </w:rPr>
            </w:pPr>
            <w:r w:rsidRPr="00A40C6F">
              <w:rPr>
                <w:rFonts w:asciiTheme="minorHAnsi" w:hAnsiTheme="minorHAnsi" w:cs="Tahoma"/>
                <w:color w:val="000000"/>
                <w:sz w:val="22"/>
                <w:szCs w:val="22"/>
              </w:rPr>
              <w:t>3.</w:t>
            </w:r>
            <w:r w:rsidR="00193798" w:rsidRPr="00A40C6F">
              <w:rPr>
                <w:rFonts w:asciiTheme="minorHAnsi" w:hAnsiTheme="minorHAnsi" w:cs="Tahoma"/>
                <w:color w:val="000000"/>
                <w:sz w:val="22"/>
                <w:szCs w:val="22"/>
              </w:rPr>
              <w:t>7</w:t>
            </w:r>
          </w:p>
        </w:tc>
        <w:tc>
          <w:tcPr>
            <w:tcW w:w="7229" w:type="dxa"/>
          </w:tcPr>
          <w:p w:rsidR="00C94088" w:rsidRPr="00C94088" w:rsidRDefault="00C94088" w:rsidP="00C94088">
            <w:pPr>
              <w:rPr>
                <w:rFonts w:ascii="Calibri" w:eastAsia="Calibri" w:hAnsi="Calibri"/>
              </w:rPr>
            </w:pPr>
            <w:r w:rsidRPr="00C94088">
              <w:rPr>
                <w:rFonts w:ascii="Calibri" w:eastAsia="Calibri" w:hAnsi="Calibri"/>
                <w:sz w:val="22"/>
                <w:szCs w:val="22"/>
              </w:rPr>
              <w:t xml:space="preserve">Average Annual Professorial FTE Salary by Zones C to E and </w:t>
            </w:r>
            <w:r>
              <w:rPr>
                <w:rFonts w:ascii="Calibri" w:eastAsia="Calibri" w:hAnsi="Calibri"/>
                <w:sz w:val="22"/>
                <w:szCs w:val="22"/>
              </w:rPr>
              <w:t>Ethnicity</w:t>
            </w:r>
            <w:r w:rsidRPr="00C94088">
              <w:rPr>
                <w:rFonts w:ascii="Calibri" w:eastAsia="Calibri" w:hAnsi="Calibri"/>
                <w:sz w:val="22"/>
                <w:szCs w:val="22"/>
              </w:rPr>
              <w:t>, 1 May 1</w:t>
            </w:r>
            <w:r w:rsidRPr="00C94088">
              <w:rPr>
                <w:rFonts w:ascii="Calibri" w:eastAsia="Calibri" w:hAnsi="Calibri"/>
                <w:sz w:val="22"/>
                <w:szCs w:val="22"/>
                <w:vertAlign w:val="superscript"/>
              </w:rPr>
              <w:t>st</w:t>
            </w:r>
            <w:r w:rsidRPr="00C94088">
              <w:rPr>
                <w:rFonts w:ascii="Calibri" w:eastAsia="Calibri" w:hAnsi="Calibri"/>
                <w:sz w:val="22"/>
                <w:szCs w:val="22"/>
              </w:rPr>
              <w:t xml:space="preserve"> 2014 (including pay gap information</w:t>
            </w:r>
            <w:r w:rsidRPr="00351EAB">
              <w:rPr>
                <w:rFonts w:ascii="Calibri" w:eastAsia="Calibri" w:hAnsi="Calibri"/>
                <w:b/>
              </w:rPr>
              <w:t>)</w:t>
            </w:r>
          </w:p>
        </w:tc>
        <w:tc>
          <w:tcPr>
            <w:tcW w:w="667" w:type="dxa"/>
          </w:tcPr>
          <w:p w:rsidR="00C94088" w:rsidRPr="00193798" w:rsidRDefault="00193798" w:rsidP="00A3691C">
            <w:pPr>
              <w:jc w:val="center"/>
              <w:rPr>
                <w:rFonts w:asciiTheme="minorHAnsi" w:hAnsiTheme="minorHAnsi" w:cs="Tahoma"/>
                <w:color w:val="000000"/>
                <w:sz w:val="22"/>
                <w:szCs w:val="22"/>
              </w:rPr>
            </w:pPr>
            <w:r>
              <w:rPr>
                <w:rFonts w:asciiTheme="minorHAnsi" w:hAnsiTheme="minorHAnsi" w:cs="Tahoma"/>
                <w:color w:val="000000"/>
                <w:sz w:val="22"/>
                <w:szCs w:val="22"/>
              </w:rPr>
              <w:t>15</w:t>
            </w:r>
          </w:p>
        </w:tc>
      </w:tr>
      <w:tr w:rsidR="00FC4BEA" w:rsidRPr="005474BC" w:rsidTr="00A43934">
        <w:tc>
          <w:tcPr>
            <w:tcW w:w="8080" w:type="dxa"/>
            <w:gridSpan w:val="2"/>
          </w:tcPr>
          <w:p w:rsidR="00FC4BEA" w:rsidRPr="00FC4BEA" w:rsidRDefault="00FC4BEA" w:rsidP="007E5391">
            <w:pPr>
              <w:rPr>
                <w:rFonts w:asciiTheme="minorHAnsi" w:hAnsiTheme="minorHAnsi" w:cs="Arial"/>
                <w:b/>
                <w:sz w:val="22"/>
                <w:szCs w:val="22"/>
              </w:rPr>
            </w:pPr>
            <w:r w:rsidRPr="00FC4BEA">
              <w:rPr>
                <w:rFonts w:asciiTheme="minorHAnsi" w:hAnsiTheme="minorHAnsi" w:cs="Arial"/>
                <w:b/>
                <w:sz w:val="22"/>
                <w:szCs w:val="22"/>
              </w:rPr>
              <w:t>Appendices</w:t>
            </w:r>
          </w:p>
        </w:tc>
        <w:tc>
          <w:tcPr>
            <w:tcW w:w="667" w:type="dxa"/>
          </w:tcPr>
          <w:p w:rsidR="00FC4BEA" w:rsidRPr="005474BC" w:rsidRDefault="00FC4BEA" w:rsidP="00A3691C">
            <w:pPr>
              <w:jc w:val="center"/>
              <w:rPr>
                <w:rFonts w:asciiTheme="minorHAnsi" w:hAnsiTheme="minorHAnsi" w:cs="Tahoma"/>
                <w:color w:val="000000"/>
                <w:sz w:val="22"/>
                <w:szCs w:val="22"/>
              </w:rPr>
            </w:pPr>
          </w:p>
        </w:tc>
      </w:tr>
      <w:tr w:rsidR="00FC4BEA" w:rsidRPr="00FC4BEA" w:rsidTr="00A40C6F">
        <w:tc>
          <w:tcPr>
            <w:tcW w:w="851" w:type="dxa"/>
          </w:tcPr>
          <w:p w:rsidR="00FC4BEA" w:rsidRPr="00FC4BEA" w:rsidRDefault="00FC4BEA" w:rsidP="007E5391">
            <w:pPr>
              <w:rPr>
                <w:rFonts w:asciiTheme="minorHAnsi" w:hAnsiTheme="minorHAnsi" w:cs="Tahoma"/>
                <w:color w:val="000000"/>
                <w:sz w:val="22"/>
                <w:szCs w:val="22"/>
              </w:rPr>
            </w:pPr>
            <w:r w:rsidRPr="00FC4BEA">
              <w:rPr>
                <w:rFonts w:asciiTheme="minorHAnsi" w:hAnsiTheme="minorHAnsi" w:cs="Tahoma"/>
                <w:color w:val="000000"/>
                <w:sz w:val="22"/>
                <w:szCs w:val="22"/>
              </w:rPr>
              <w:t>A1.</w:t>
            </w:r>
          </w:p>
        </w:tc>
        <w:tc>
          <w:tcPr>
            <w:tcW w:w="7229" w:type="dxa"/>
          </w:tcPr>
          <w:p w:rsidR="00FC4BEA" w:rsidRPr="00FC4BEA" w:rsidRDefault="00FC4BEA" w:rsidP="007E5391">
            <w:pPr>
              <w:rPr>
                <w:rFonts w:asciiTheme="minorHAnsi" w:hAnsiTheme="minorHAnsi" w:cs="Arial"/>
                <w:sz w:val="22"/>
                <w:szCs w:val="22"/>
              </w:rPr>
            </w:pPr>
            <w:r w:rsidRPr="00FC4BEA">
              <w:rPr>
                <w:rFonts w:asciiTheme="minorHAnsi" w:hAnsiTheme="minorHAnsi" w:cs="Arial"/>
                <w:sz w:val="22"/>
                <w:szCs w:val="22"/>
              </w:rPr>
              <w:t>The Faculty of Humanities’ Staff Equality and Diversity Action Plan - Terms of Reference and Working Group Membership</w:t>
            </w:r>
          </w:p>
        </w:tc>
        <w:tc>
          <w:tcPr>
            <w:tcW w:w="667" w:type="dxa"/>
          </w:tcPr>
          <w:p w:rsidR="00FC4BEA" w:rsidRPr="00FC4BEA" w:rsidRDefault="00A56235" w:rsidP="00A3691C">
            <w:pPr>
              <w:jc w:val="center"/>
              <w:rPr>
                <w:rFonts w:asciiTheme="minorHAnsi" w:hAnsiTheme="minorHAnsi" w:cs="Tahoma"/>
                <w:color w:val="000000"/>
                <w:sz w:val="22"/>
                <w:szCs w:val="22"/>
              </w:rPr>
            </w:pPr>
            <w:r>
              <w:rPr>
                <w:rFonts w:asciiTheme="minorHAnsi" w:hAnsiTheme="minorHAnsi" w:cs="Tahoma"/>
                <w:color w:val="000000"/>
                <w:sz w:val="22"/>
                <w:szCs w:val="22"/>
              </w:rPr>
              <w:t>22</w:t>
            </w:r>
          </w:p>
        </w:tc>
      </w:tr>
      <w:tr w:rsidR="00FC4BEA" w:rsidRPr="00FC4BEA" w:rsidTr="00A40C6F">
        <w:tc>
          <w:tcPr>
            <w:tcW w:w="851" w:type="dxa"/>
          </w:tcPr>
          <w:p w:rsidR="00FC4BEA" w:rsidRPr="00FC4BEA" w:rsidRDefault="00FC4BEA" w:rsidP="007E5391">
            <w:pPr>
              <w:rPr>
                <w:rFonts w:asciiTheme="minorHAnsi" w:hAnsiTheme="minorHAnsi" w:cs="Tahoma"/>
                <w:color w:val="000000"/>
                <w:sz w:val="22"/>
                <w:szCs w:val="22"/>
              </w:rPr>
            </w:pPr>
            <w:r w:rsidRPr="00FC4BEA">
              <w:rPr>
                <w:rFonts w:asciiTheme="minorHAnsi" w:hAnsiTheme="minorHAnsi" w:cs="Tahoma"/>
                <w:color w:val="000000"/>
                <w:sz w:val="22"/>
                <w:szCs w:val="22"/>
              </w:rPr>
              <w:t>A2.</w:t>
            </w:r>
          </w:p>
        </w:tc>
        <w:tc>
          <w:tcPr>
            <w:tcW w:w="7229" w:type="dxa"/>
          </w:tcPr>
          <w:p w:rsidR="00FC4BEA" w:rsidRPr="00FC4BEA" w:rsidRDefault="00FC4BEA" w:rsidP="00A40C6F">
            <w:pPr>
              <w:rPr>
                <w:rFonts w:asciiTheme="minorHAnsi" w:hAnsiTheme="minorHAnsi"/>
                <w:bCs/>
                <w:sz w:val="22"/>
                <w:szCs w:val="22"/>
                <w:lang w:val="en"/>
              </w:rPr>
            </w:pPr>
            <w:r w:rsidRPr="00FC4BEA">
              <w:rPr>
                <w:rFonts w:asciiTheme="minorHAnsi" w:hAnsiTheme="minorHAnsi"/>
                <w:sz w:val="22"/>
                <w:szCs w:val="22"/>
              </w:rPr>
              <w:t>The Institutional Equality and Diversity</w:t>
            </w:r>
            <w:r w:rsidR="00A40C6F">
              <w:rPr>
                <w:rFonts w:asciiTheme="minorHAnsi" w:hAnsiTheme="minorHAnsi"/>
                <w:sz w:val="22"/>
                <w:szCs w:val="22"/>
              </w:rPr>
              <w:t xml:space="preserve"> policy framework</w:t>
            </w:r>
            <w:r w:rsidRPr="00FC4BEA">
              <w:rPr>
                <w:rFonts w:asciiTheme="minorHAnsi" w:hAnsiTheme="minorHAnsi"/>
                <w:sz w:val="22"/>
                <w:szCs w:val="22"/>
              </w:rPr>
              <w:t xml:space="preserve"> – The University </w:t>
            </w:r>
            <w:r w:rsidRPr="00FC4BEA">
              <w:rPr>
                <w:rFonts w:asciiTheme="minorHAnsi" w:hAnsiTheme="minorHAnsi"/>
                <w:bCs/>
                <w:sz w:val="22"/>
                <w:szCs w:val="22"/>
                <w:lang w:val="en"/>
              </w:rPr>
              <w:t>of Manchester Employment policies and procedures as at February 2014</w:t>
            </w:r>
          </w:p>
        </w:tc>
        <w:tc>
          <w:tcPr>
            <w:tcW w:w="667" w:type="dxa"/>
          </w:tcPr>
          <w:p w:rsidR="00FC4BEA" w:rsidRPr="00FC4BEA" w:rsidRDefault="00A56235" w:rsidP="00A3691C">
            <w:pPr>
              <w:jc w:val="center"/>
              <w:rPr>
                <w:rFonts w:asciiTheme="minorHAnsi" w:hAnsiTheme="minorHAnsi" w:cs="Tahoma"/>
                <w:color w:val="000000"/>
                <w:sz w:val="22"/>
                <w:szCs w:val="22"/>
              </w:rPr>
            </w:pPr>
            <w:r>
              <w:rPr>
                <w:rFonts w:asciiTheme="minorHAnsi" w:hAnsiTheme="minorHAnsi" w:cs="Tahoma"/>
                <w:color w:val="000000"/>
                <w:sz w:val="22"/>
                <w:szCs w:val="22"/>
              </w:rPr>
              <w:t>27</w:t>
            </w:r>
          </w:p>
        </w:tc>
      </w:tr>
      <w:tr w:rsidR="00FC4BEA" w:rsidRPr="00FC4BEA" w:rsidTr="00A40C6F">
        <w:tc>
          <w:tcPr>
            <w:tcW w:w="851" w:type="dxa"/>
          </w:tcPr>
          <w:p w:rsidR="00FC4BEA" w:rsidRPr="00FC4BEA" w:rsidRDefault="00FC4BEA" w:rsidP="007E5391">
            <w:pPr>
              <w:rPr>
                <w:rFonts w:asciiTheme="minorHAnsi" w:hAnsiTheme="minorHAnsi" w:cs="Tahoma"/>
                <w:color w:val="000000"/>
                <w:sz w:val="22"/>
                <w:szCs w:val="22"/>
              </w:rPr>
            </w:pPr>
            <w:r w:rsidRPr="00FC4BEA">
              <w:rPr>
                <w:rFonts w:asciiTheme="minorHAnsi" w:hAnsiTheme="minorHAnsi" w:cs="Tahoma"/>
                <w:color w:val="000000"/>
                <w:sz w:val="22"/>
                <w:szCs w:val="22"/>
              </w:rPr>
              <w:t>A3.</w:t>
            </w:r>
          </w:p>
        </w:tc>
        <w:tc>
          <w:tcPr>
            <w:tcW w:w="7229" w:type="dxa"/>
          </w:tcPr>
          <w:p w:rsidR="00FC4BEA" w:rsidRPr="00FC4BEA" w:rsidRDefault="00FC4BEA" w:rsidP="007E5391">
            <w:pPr>
              <w:rPr>
                <w:rFonts w:asciiTheme="minorHAnsi" w:hAnsiTheme="minorHAnsi" w:cs="Arial"/>
                <w:sz w:val="22"/>
                <w:szCs w:val="22"/>
              </w:rPr>
            </w:pPr>
            <w:r w:rsidRPr="00FC4BEA">
              <w:rPr>
                <w:rFonts w:asciiTheme="minorHAnsi" w:hAnsiTheme="minorHAnsi"/>
                <w:sz w:val="22"/>
                <w:szCs w:val="22"/>
              </w:rPr>
              <w:t>Academic Staff Recruitment data by gender and ethnicity for the period 1 January to 31 December 2013</w:t>
            </w:r>
          </w:p>
        </w:tc>
        <w:tc>
          <w:tcPr>
            <w:tcW w:w="667" w:type="dxa"/>
          </w:tcPr>
          <w:p w:rsidR="00FC4BEA" w:rsidRPr="00FC4BEA" w:rsidRDefault="00A56235" w:rsidP="00A3691C">
            <w:pPr>
              <w:jc w:val="center"/>
              <w:rPr>
                <w:rFonts w:asciiTheme="minorHAnsi" w:hAnsiTheme="minorHAnsi" w:cs="Tahoma"/>
                <w:color w:val="000000"/>
                <w:sz w:val="22"/>
                <w:szCs w:val="22"/>
              </w:rPr>
            </w:pPr>
            <w:r>
              <w:rPr>
                <w:rFonts w:asciiTheme="minorHAnsi" w:hAnsiTheme="minorHAnsi" w:cs="Tahoma"/>
                <w:color w:val="000000"/>
                <w:sz w:val="22"/>
                <w:szCs w:val="22"/>
              </w:rPr>
              <w:t>30</w:t>
            </w:r>
          </w:p>
        </w:tc>
      </w:tr>
      <w:tr w:rsidR="00FC4BEA" w:rsidRPr="00FC4BEA" w:rsidTr="00A40C6F">
        <w:tc>
          <w:tcPr>
            <w:tcW w:w="851" w:type="dxa"/>
          </w:tcPr>
          <w:p w:rsidR="00FC4BEA" w:rsidRPr="00FC4BEA" w:rsidRDefault="00FC4BEA" w:rsidP="007E5391">
            <w:pPr>
              <w:rPr>
                <w:rFonts w:asciiTheme="minorHAnsi" w:hAnsiTheme="minorHAnsi" w:cs="Tahoma"/>
                <w:color w:val="000000"/>
                <w:sz w:val="22"/>
                <w:szCs w:val="22"/>
              </w:rPr>
            </w:pPr>
            <w:r w:rsidRPr="00FC4BEA">
              <w:rPr>
                <w:rFonts w:asciiTheme="minorHAnsi" w:hAnsiTheme="minorHAnsi" w:cs="Tahoma"/>
                <w:color w:val="000000"/>
                <w:sz w:val="22"/>
                <w:szCs w:val="22"/>
              </w:rPr>
              <w:t>A4.</w:t>
            </w:r>
          </w:p>
        </w:tc>
        <w:tc>
          <w:tcPr>
            <w:tcW w:w="7229" w:type="dxa"/>
          </w:tcPr>
          <w:p w:rsidR="00FC4BEA" w:rsidRPr="00FC4BEA" w:rsidRDefault="00FC4BEA" w:rsidP="007E5391">
            <w:pPr>
              <w:rPr>
                <w:rFonts w:asciiTheme="minorHAnsi" w:hAnsiTheme="minorHAnsi" w:cs="Arial"/>
                <w:sz w:val="22"/>
                <w:szCs w:val="22"/>
              </w:rPr>
            </w:pPr>
            <w:r w:rsidRPr="00FC4BEA">
              <w:rPr>
                <w:rFonts w:asciiTheme="minorHAnsi" w:hAnsiTheme="minorHAnsi"/>
                <w:sz w:val="22"/>
                <w:szCs w:val="22"/>
              </w:rPr>
              <w:t>Faculty of Humanities academic promotions data 2014</w:t>
            </w:r>
          </w:p>
        </w:tc>
        <w:tc>
          <w:tcPr>
            <w:tcW w:w="667" w:type="dxa"/>
          </w:tcPr>
          <w:p w:rsidR="00FC4BEA" w:rsidRPr="00FC4BEA" w:rsidRDefault="00A56235" w:rsidP="00A3691C">
            <w:pPr>
              <w:jc w:val="center"/>
              <w:rPr>
                <w:rFonts w:asciiTheme="minorHAnsi" w:hAnsiTheme="minorHAnsi" w:cs="Tahoma"/>
                <w:color w:val="000000"/>
                <w:sz w:val="22"/>
                <w:szCs w:val="22"/>
              </w:rPr>
            </w:pPr>
            <w:r>
              <w:rPr>
                <w:rFonts w:asciiTheme="minorHAnsi" w:hAnsiTheme="minorHAnsi" w:cs="Tahoma"/>
                <w:color w:val="000000"/>
                <w:sz w:val="22"/>
                <w:szCs w:val="22"/>
              </w:rPr>
              <w:t>33</w:t>
            </w:r>
          </w:p>
        </w:tc>
      </w:tr>
    </w:tbl>
    <w:p w:rsidR="00377853" w:rsidRDefault="00377853" w:rsidP="00351EAB">
      <w:pPr>
        <w:spacing w:after="0" w:line="240" w:lineRule="auto"/>
        <w:rPr>
          <w:rFonts w:eastAsia="Times New Roman" w:cs="Tahoma"/>
          <w:color w:val="000000"/>
          <w:lang w:eastAsia="en-GB"/>
        </w:rPr>
      </w:pPr>
    </w:p>
    <w:p w:rsidR="00351EAB" w:rsidRPr="00CD1809" w:rsidRDefault="00377853" w:rsidP="00C966E7">
      <w:pPr>
        <w:rPr>
          <w:rFonts w:eastAsia="Times New Roman" w:cs="Tahoma"/>
          <w:b/>
          <w:color w:val="000000"/>
          <w:sz w:val="28"/>
          <w:szCs w:val="28"/>
          <w:lang w:eastAsia="en-GB"/>
        </w:rPr>
      </w:pPr>
      <w:r>
        <w:rPr>
          <w:rFonts w:eastAsia="Times New Roman" w:cs="Tahoma"/>
          <w:color w:val="000000"/>
          <w:lang w:eastAsia="en-GB"/>
        </w:rPr>
        <w:br w:type="page"/>
      </w:r>
      <w:r w:rsidR="00E93A70" w:rsidRPr="00CD1809">
        <w:rPr>
          <w:rFonts w:eastAsia="Times New Roman" w:cs="Tahoma"/>
          <w:b/>
          <w:color w:val="000000"/>
          <w:sz w:val="28"/>
          <w:szCs w:val="28"/>
          <w:lang w:eastAsia="en-GB"/>
        </w:rPr>
        <w:lastRenderedPageBreak/>
        <w:t>I</w:t>
      </w:r>
      <w:r w:rsidR="00CD1809" w:rsidRPr="00CD1809">
        <w:rPr>
          <w:rFonts w:eastAsia="Times New Roman" w:cs="Tahoma"/>
          <w:b/>
          <w:color w:val="000000"/>
          <w:sz w:val="28"/>
          <w:szCs w:val="28"/>
          <w:lang w:eastAsia="en-GB"/>
        </w:rPr>
        <w:t>ntroduction</w:t>
      </w:r>
      <w:r w:rsidR="00DB671D">
        <w:rPr>
          <w:rFonts w:eastAsia="Times New Roman" w:cs="Tahoma"/>
          <w:b/>
          <w:color w:val="000000"/>
          <w:sz w:val="28"/>
          <w:szCs w:val="28"/>
          <w:lang w:eastAsia="en-GB"/>
        </w:rPr>
        <w:t xml:space="preserve"> </w:t>
      </w:r>
    </w:p>
    <w:p w:rsidR="00B56CA1" w:rsidRDefault="00351EAB" w:rsidP="00E93A70">
      <w:pPr>
        <w:spacing w:after="120"/>
        <w:jc w:val="both"/>
        <w:rPr>
          <w:rFonts w:cs="Arial"/>
        </w:rPr>
      </w:pPr>
      <w:r w:rsidRPr="00351EAB">
        <w:rPr>
          <w:rFonts w:cs="Arial"/>
        </w:rPr>
        <w:t>In May 20</w:t>
      </w:r>
      <w:r w:rsidR="00602496">
        <w:rPr>
          <w:rFonts w:cs="Arial"/>
        </w:rPr>
        <w:t>1</w:t>
      </w:r>
      <w:r w:rsidR="00B03C23">
        <w:rPr>
          <w:rFonts w:cs="Arial"/>
        </w:rPr>
        <w:t xml:space="preserve">3 HPRC </w:t>
      </w:r>
      <w:r w:rsidRPr="00351EAB">
        <w:rPr>
          <w:rFonts w:cs="Arial"/>
        </w:rPr>
        <w:t>adopt</w:t>
      </w:r>
      <w:r w:rsidR="00B03C23">
        <w:rPr>
          <w:rFonts w:cs="Arial"/>
        </w:rPr>
        <w:t>ed</w:t>
      </w:r>
      <w:r w:rsidRPr="00351EAB">
        <w:rPr>
          <w:rFonts w:cs="Arial"/>
        </w:rPr>
        <w:t xml:space="preserve"> Athena SWAN Charter type principles and processes in support of the Faculty staff equality and diversity agenda</w:t>
      </w:r>
      <w:r w:rsidR="00B56CA1">
        <w:rPr>
          <w:rFonts w:cs="Arial"/>
        </w:rPr>
        <w:t>. The terms of reference and the working group membership are appended (</w:t>
      </w:r>
      <w:r w:rsidRPr="00351EAB">
        <w:rPr>
          <w:rFonts w:cs="Arial"/>
          <w:b/>
        </w:rPr>
        <w:t>appendix 1</w:t>
      </w:r>
      <w:r w:rsidRPr="00351EAB">
        <w:rPr>
          <w:rFonts w:cs="Arial"/>
        </w:rPr>
        <w:t xml:space="preserve">). </w:t>
      </w:r>
    </w:p>
    <w:p w:rsidR="00CD1809" w:rsidRDefault="00351EAB" w:rsidP="00E93A70">
      <w:pPr>
        <w:spacing w:after="120"/>
        <w:jc w:val="both"/>
        <w:rPr>
          <w:rFonts w:cs="Arial"/>
        </w:rPr>
      </w:pPr>
      <w:r w:rsidRPr="00351EAB">
        <w:rPr>
          <w:rFonts w:cs="Arial"/>
        </w:rPr>
        <w:t xml:space="preserve">The </w:t>
      </w:r>
      <w:r w:rsidR="00B03C23">
        <w:rPr>
          <w:rFonts w:cs="Arial"/>
        </w:rPr>
        <w:t xml:space="preserve">Athena SWAN </w:t>
      </w:r>
      <w:r w:rsidRPr="00351EAB">
        <w:rPr>
          <w:rFonts w:cs="Arial"/>
        </w:rPr>
        <w:t>Charter</w:t>
      </w:r>
      <w:r w:rsidR="00B03C23">
        <w:rPr>
          <w:rFonts w:cs="Arial"/>
        </w:rPr>
        <w:t xml:space="preserve"> is </w:t>
      </w:r>
      <w:r w:rsidR="00B03C23" w:rsidRPr="00351EAB">
        <w:rPr>
          <w:rFonts w:cs="Arial"/>
        </w:rPr>
        <w:t xml:space="preserve">co-owned by </w:t>
      </w:r>
      <w:r w:rsidR="00B03C23">
        <w:rPr>
          <w:rFonts w:cs="Arial"/>
        </w:rPr>
        <w:t xml:space="preserve">the Higher Education Sector’s </w:t>
      </w:r>
      <w:r w:rsidR="00B03C23" w:rsidRPr="00351EAB">
        <w:rPr>
          <w:rFonts w:cs="Arial"/>
        </w:rPr>
        <w:t>Equality Challenge Unit (ECU) and the UKRC</w:t>
      </w:r>
      <w:r w:rsidR="00B03C23">
        <w:rPr>
          <w:rFonts w:cs="Arial"/>
        </w:rPr>
        <w:t>. It</w:t>
      </w:r>
      <w:r w:rsidR="00B03C23" w:rsidRPr="00351EAB">
        <w:rPr>
          <w:rFonts w:cs="Arial"/>
        </w:rPr>
        <w:t xml:space="preserve"> </w:t>
      </w:r>
      <w:r w:rsidRPr="00351EAB">
        <w:rPr>
          <w:rFonts w:cs="Arial"/>
        </w:rPr>
        <w:t>focuses upon the underre</w:t>
      </w:r>
      <w:r w:rsidR="00C228FA">
        <w:rPr>
          <w:rFonts w:cs="Arial"/>
        </w:rPr>
        <w:t xml:space="preserve">presentation of women in STEMM </w:t>
      </w:r>
      <w:r w:rsidR="00C228FA" w:rsidRPr="00C228FA">
        <w:rPr>
          <w:rFonts w:cs="Arial"/>
        </w:rPr>
        <w:t xml:space="preserve">(Science, Technology, Engineering, Maths and Medicine) </w:t>
      </w:r>
      <w:r w:rsidR="00C228FA">
        <w:rPr>
          <w:rFonts w:cs="Arial"/>
        </w:rPr>
        <w:t>s</w:t>
      </w:r>
      <w:r w:rsidRPr="00351EAB">
        <w:rPr>
          <w:rFonts w:cs="Arial"/>
        </w:rPr>
        <w:t xml:space="preserve">ubjects. </w:t>
      </w:r>
      <w:r w:rsidR="00B03C23">
        <w:rPr>
          <w:rFonts w:cs="Arial"/>
        </w:rPr>
        <w:t>I</w:t>
      </w:r>
      <w:r w:rsidR="00C228FA">
        <w:rPr>
          <w:rFonts w:cs="Arial"/>
        </w:rPr>
        <w:t xml:space="preserve">t </w:t>
      </w:r>
      <w:r w:rsidR="00C228FA" w:rsidRPr="00C228FA">
        <w:rPr>
          <w:rFonts w:cs="Arial"/>
        </w:rPr>
        <w:t xml:space="preserve">recognises commitment to the recruitment, retention and progression of women in STEMM </w:t>
      </w:r>
      <w:r w:rsidR="00C228FA">
        <w:rPr>
          <w:rFonts w:cs="Arial"/>
        </w:rPr>
        <w:t>areas</w:t>
      </w:r>
      <w:r w:rsidR="00B03C23">
        <w:rPr>
          <w:rFonts w:cs="Arial"/>
        </w:rPr>
        <w:t xml:space="preserve"> through three </w:t>
      </w:r>
      <w:r w:rsidR="00C228FA" w:rsidRPr="00C228FA">
        <w:rPr>
          <w:rFonts w:cs="Arial"/>
        </w:rPr>
        <w:t xml:space="preserve">levels of </w:t>
      </w:r>
      <w:r w:rsidR="00C228FA">
        <w:rPr>
          <w:rFonts w:cs="Arial"/>
        </w:rPr>
        <w:t>a</w:t>
      </w:r>
      <w:r w:rsidR="00C228FA" w:rsidRPr="00C228FA">
        <w:rPr>
          <w:rFonts w:cs="Arial"/>
        </w:rPr>
        <w:t>wards</w:t>
      </w:r>
      <w:r w:rsidR="00B03C23">
        <w:rPr>
          <w:rFonts w:cs="Arial"/>
        </w:rPr>
        <w:t>:</w:t>
      </w:r>
      <w:r w:rsidR="00C228FA" w:rsidRPr="00C228FA">
        <w:rPr>
          <w:rFonts w:cs="Arial"/>
        </w:rPr>
        <w:t xml:space="preserve"> Bronze (planning), Silver (doing) and Gold (sustaining). All Awards work towards equality in terms of the career progression of women in STEMM and are committed to evidencing a real culture change with the University and its individual Schools. </w:t>
      </w:r>
    </w:p>
    <w:p w:rsidR="00351EAB" w:rsidRPr="00351EAB" w:rsidRDefault="00351EAB" w:rsidP="00E93A70">
      <w:pPr>
        <w:spacing w:after="120"/>
        <w:jc w:val="both"/>
        <w:rPr>
          <w:rFonts w:cs="Arial"/>
        </w:rPr>
      </w:pPr>
      <w:r w:rsidRPr="00351EAB">
        <w:rPr>
          <w:rFonts w:cs="Arial"/>
        </w:rPr>
        <w:t>We agr</w:t>
      </w:r>
      <w:r w:rsidR="00AA7CA9">
        <w:rPr>
          <w:rFonts w:cs="Arial"/>
        </w:rPr>
        <w:t xml:space="preserve">eed that the scope of the </w:t>
      </w:r>
      <w:r w:rsidRPr="00351EAB">
        <w:rPr>
          <w:rFonts w:cs="Arial"/>
        </w:rPr>
        <w:t>Hum</w:t>
      </w:r>
      <w:r w:rsidR="00AA7CA9">
        <w:rPr>
          <w:rFonts w:cs="Arial"/>
        </w:rPr>
        <w:t xml:space="preserve">anities scheme would be widened to </w:t>
      </w:r>
      <w:r w:rsidRPr="00351EAB">
        <w:rPr>
          <w:rFonts w:cs="Arial"/>
        </w:rPr>
        <w:t xml:space="preserve">address </w:t>
      </w:r>
      <w:r w:rsidR="00AA7CA9">
        <w:rPr>
          <w:rFonts w:cs="Arial"/>
        </w:rPr>
        <w:t xml:space="preserve">the </w:t>
      </w:r>
      <w:r w:rsidRPr="00351EAB">
        <w:rPr>
          <w:rFonts w:cs="Arial"/>
        </w:rPr>
        <w:t>underrepresentation of BME staff as well as women</w:t>
      </w:r>
      <w:r w:rsidR="00AA7CA9">
        <w:rPr>
          <w:rFonts w:cs="Arial"/>
        </w:rPr>
        <w:t>, and to include</w:t>
      </w:r>
      <w:r w:rsidRPr="00351EAB">
        <w:rPr>
          <w:rFonts w:cs="Arial"/>
        </w:rPr>
        <w:t xml:space="preserve"> </w:t>
      </w:r>
      <w:r w:rsidR="00C62D5B">
        <w:rPr>
          <w:rFonts w:cs="Arial"/>
        </w:rPr>
        <w:t>professional support services (</w:t>
      </w:r>
      <w:r w:rsidRPr="00351EAB">
        <w:rPr>
          <w:rFonts w:cs="Arial"/>
        </w:rPr>
        <w:t>PSS</w:t>
      </w:r>
      <w:r w:rsidR="00C62D5B">
        <w:rPr>
          <w:rFonts w:cs="Arial"/>
        </w:rPr>
        <w:t>)</w:t>
      </w:r>
      <w:r w:rsidRPr="00351EAB">
        <w:rPr>
          <w:rFonts w:cs="Arial"/>
        </w:rPr>
        <w:t xml:space="preserve"> staff as well as academic and research staff.</w:t>
      </w:r>
    </w:p>
    <w:p w:rsidR="00F56086" w:rsidRPr="00351EAB" w:rsidRDefault="00351EAB" w:rsidP="00E93A70">
      <w:pPr>
        <w:spacing w:after="120"/>
        <w:jc w:val="both"/>
        <w:rPr>
          <w:rFonts w:cs="Arial"/>
        </w:rPr>
      </w:pPr>
      <w:r w:rsidRPr="00351EAB">
        <w:rPr>
          <w:rFonts w:cs="Arial"/>
        </w:rPr>
        <w:t>The action plan provide</w:t>
      </w:r>
      <w:r w:rsidR="00AA7CA9">
        <w:rPr>
          <w:rFonts w:cs="Arial"/>
        </w:rPr>
        <w:t>s</w:t>
      </w:r>
      <w:r w:rsidRPr="00351EAB">
        <w:rPr>
          <w:rFonts w:cs="Arial"/>
        </w:rPr>
        <w:t xml:space="preserve"> a systematic framework for promoting and advancing the Faculty’s equality and diversity agenda and objectives</w:t>
      </w:r>
      <w:r w:rsidR="00DB671D">
        <w:rPr>
          <w:rFonts w:cs="Arial"/>
        </w:rPr>
        <w:t xml:space="preserve"> to meet its</w:t>
      </w:r>
      <w:r w:rsidRPr="00351EAB">
        <w:rPr>
          <w:rFonts w:cs="Arial"/>
        </w:rPr>
        <w:t xml:space="preserve"> headline 2020 staff diversity targets</w:t>
      </w:r>
      <w:r w:rsidR="00F56086">
        <w:rPr>
          <w:rFonts w:cs="Arial"/>
        </w:rPr>
        <w:t xml:space="preserve"> (</w:t>
      </w:r>
      <w:r w:rsidR="00F56086" w:rsidRPr="00F56086">
        <w:rPr>
          <w:rFonts w:cs="Arial"/>
          <w:b/>
        </w:rPr>
        <w:t>Box1</w:t>
      </w:r>
      <w:r w:rsidR="00F56086">
        <w:rPr>
          <w:rFonts w:cs="Arial"/>
        </w:rPr>
        <w:t>)</w:t>
      </w:r>
    </w:p>
    <w:p w:rsidR="00F56086" w:rsidRPr="009630DB" w:rsidRDefault="00F56086" w:rsidP="00A32616">
      <w:pPr>
        <w:pBdr>
          <w:top w:val="single" w:sz="4" w:space="1" w:color="auto" w:shadow="1"/>
          <w:left w:val="single" w:sz="4" w:space="4" w:color="auto" w:shadow="1"/>
          <w:bottom w:val="single" w:sz="4" w:space="1" w:color="auto" w:shadow="1"/>
          <w:right w:val="single" w:sz="4" w:space="4" w:color="auto" w:shadow="1"/>
        </w:pBdr>
        <w:spacing w:after="0"/>
        <w:jc w:val="center"/>
        <w:rPr>
          <w:rFonts w:cs="Arial"/>
          <w:b/>
          <w:sz w:val="24"/>
          <w:szCs w:val="24"/>
        </w:rPr>
      </w:pPr>
      <w:r w:rsidRPr="009630DB">
        <w:rPr>
          <w:rFonts w:cs="Arial"/>
          <w:b/>
          <w:sz w:val="24"/>
          <w:szCs w:val="24"/>
        </w:rPr>
        <w:t>Box 1. The Faculty of Humanities headline staff diversity targets for 2020</w:t>
      </w:r>
    </w:p>
    <w:p w:rsidR="00351EAB" w:rsidRPr="00A32616" w:rsidRDefault="00E93A70" w:rsidP="006601FD">
      <w:pPr>
        <w:pStyle w:val="ListParagraph"/>
        <w:numPr>
          <w:ilvl w:val="0"/>
          <w:numId w:val="38"/>
        </w:numPr>
        <w:pBdr>
          <w:top w:val="single" w:sz="4" w:space="1" w:color="auto" w:shadow="1"/>
          <w:left w:val="single" w:sz="4" w:space="4" w:color="auto" w:shadow="1"/>
          <w:bottom w:val="single" w:sz="4" w:space="1" w:color="auto" w:shadow="1"/>
          <w:right w:val="single" w:sz="4" w:space="4" w:color="auto" w:shadow="1"/>
        </w:pBdr>
        <w:spacing w:after="0"/>
        <w:jc w:val="both"/>
        <w:rPr>
          <w:rFonts w:cs="Arial"/>
        </w:rPr>
      </w:pPr>
      <w:r w:rsidRPr="00A32616">
        <w:rPr>
          <w:rFonts w:cs="Arial"/>
        </w:rPr>
        <w:t>A</w:t>
      </w:r>
      <w:r w:rsidR="00351EAB" w:rsidRPr="00A32616">
        <w:rPr>
          <w:rFonts w:cs="Arial"/>
        </w:rPr>
        <w:t xml:space="preserve"> minimum of 47</w:t>
      </w:r>
      <w:r w:rsidR="00C1793D" w:rsidRPr="00A32616">
        <w:rPr>
          <w:rFonts w:cs="Arial"/>
        </w:rPr>
        <w:t xml:space="preserve"> per cent</w:t>
      </w:r>
      <w:r w:rsidR="00351EAB" w:rsidRPr="00A32616">
        <w:rPr>
          <w:rFonts w:cs="Arial"/>
        </w:rPr>
        <w:t xml:space="preserve"> of female staff at senior lecturer/professorial level and in academic leadership and management roles;</w:t>
      </w:r>
    </w:p>
    <w:p w:rsidR="00351EAB" w:rsidRPr="00A32616" w:rsidRDefault="00E93A70" w:rsidP="006601FD">
      <w:pPr>
        <w:pStyle w:val="ListParagraph"/>
        <w:numPr>
          <w:ilvl w:val="0"/>
          <w:numId w:val="38"/>
        </w:numPr>
        <w:pBdr>
          <w:top w:val="single" w:sz="4" w:space="1" w:color="auto" w:shadow="1"/>
          <w:left w:val="single" w:sz="4" w:space="4" w:color="auto" w:shadow="1"/>
          <w:bottom w:val="single" w:sz="4" w:space="1" w:color="auto" w:shadow="1"/>
          <w:right w:val="single" w:sz="4" w:space="4" w:color="auto" w:shadow="1"/>
        </w:pBdr>
        <w:spacing w:after="0"/>
        <w:jc w:val="both"/>
        <w:rPr>
          <w:rFonts w:cs="Arial"/>
        </w:rPr>
      </w:pPr>
      <w:r w:rsidRPr="00A32616">
        <w:rPr>
          <w:rFonts w:cs="Arial"/>
        </w:rPr>
        <w:t>A</w:t>
      </w:r>
      <w:r w:rsidR="00351EAB" w:rsidRPr="00A32616">
        <w:rPr>
          <w:rFonts w:cs="Arial"/>
        </w:rPr>
        <w:t xml:space="preserve"> minimum of 15</w:t>
      </w:r>
      <w:r w:rsidR="00C1793D" w:rsidRPr="00A32616">
        <w:rPr>
          <w:rFonts w:cs="Arial"/>
        </w:rPr>
        <w:t xml:space="preserve"> per cent</w:t>
      </w:r>
      <w:r w:rsidR="00351EAB" w:rsidRPr="00A32616">
        <w:rPr>
          <w:rFonts w:cs="Arial"/>
        </w:rPr>
        <w:t xml:space="preserve"> of BME staff at senior lecturer/professorial level and in academic leadership and management roles</w:t>
      </w:r>
      <w:r w:rsidR="005E5412" w:rsidRPr="00A32616">
        <w:rPr>
          <w:rFonts w:cs="Arial"/>
        </w:rPr>
        <w:t>;</w:t>
      </w:r>
    </w:p>
    <w:p w:rsidR="00351EAB" w:rsidRPr="00A32616" w:rsidRDefault="00E93A70" w:rsidP="006601FD">
      <w:pPr>
        <w:pStyle w:val="ListParagraph"/>
        <w:numPr>
          <w:ilvl w:val="0"/>
          <w:numId w:val="38"/>
        </w:numPr>
        <w:pBdr>
          <w:top w:val="single" w:sz="4" w:space="1" w:color="auto" w:shadow="1"/>
          <w:left w:val="single" w:sz="4" w:space="4" w:color="auto" w:shadow="1"/>
          <w:bottom w:val="single" w:sz="4" w:space="1" w:color="auto" w:shadow="1"/>
          <w:right w:val="single" w:sz="4" w:space="4" w:color="auto" w:shadow="1"/>
        </w:pBdr>
        <w:spacing w:after="120"/>
        <w:jc w:val="both"/>
        <w:rPr>
          <w:rFonts w:cs="Arial"/>
        </w:rPr>
      </w:pPr>
      <w:r w:rsidRPr="00A32616">
        <w:rPr>
          <w:rFonts w:cs="Arial"/>
        </w:rPr>
        <w:t>T</w:t>
      </w:r>
      <w:r w:rsidR="00351EAB" w:rsidRPr="00A32616">
        <w:rPr>
          <w:rFonts w:cs="Arial"/>
        </w:rPr>
        <w:t>o increase the BME representation amongst PSS staff from 7</w:t>
      </w:r>
      <w:r w:rsidR="00C1793D" w:rsidRPr="00A32616">
        <w:rPr>
          <w:rFonts w:cs="Arial"/>
        </w:rPr>
        <w:t xml:space="preserve"> per cent</w:t>
      </w:r>
      <w:r w:rsidR="00351EAB" w:rsidRPr="00A32616">
        <w:rPr>
          <w:rFonts w:cs="Arial"/>
        </w:rPr>
        <w:t xml:space="preserve"> to 12</w:t>
      </w:r>
      <w:r w:rsidR="00C1793D" w:rsidRPr="00A32616">
        <w:rPr>
          <w:rFonts w:cs="Arial"/>
        </w:rPr>
        <w:t xml:space="preserve"> per cent</w:t>
      </w:r>
      <w:r w:rsidR="00351EAB" w:rsidRPr="00A32616">
        <w:rPr>
          <w:rFonts w:cs="Arial"/>
        </w:rPr>
        <w:t>, which is the proportion of BME</w:t>
      </w:r>
      <w:r w:rsidR="00091365">
        <w:rPr>
          <w:rFonts w:cs="Arial"/>
        </w:rPr>
        <w:t xml:space="preserve"> men and women</w:t>
      </w:r>
      <w:r w:rsidR="00351EAB" w:rsidRPr="00A32616">
        <w:rPr>
          <w:rFonts w:cs="Arial"/>
        </w:rPr>
        <w:t xml:space="preserve"> in the working population of Greater Manchester.</w:t>
      </w:r>
    </w:p>
    <w:p w:rsidR="00DB671D" w:rsidRDefault="00DB671D" w:rsidP="00DB671D">
      <w:pPr>
        <w:spacing w:after="120"/>
        <w:jc w:val="both"/>
        <w:rPr>
          <w:rFonts w:cs="Arial"/>
        </w:rPr>
      </w:pPr>
      <w:r>
        <w:rPr>
          <w:rFonts w:cs="Arial"/>
        </w:rPr>
        <w:t>W</w:t>
      </w:r>
      <w:r w:rsidR="00AA7CA9" w:rsidRPr="00351EAB">
        <w:rPr>
          <w:rFonts w:cs="Arial"/>
        </w:rPr>
        <w:t>e adapt</w:t>
      </w:r>
      <w:r>
        <w:rPr>
          <w:rFonts w:cs="Arial"/>
        </w:rPr>
        <w:t>ed</w:t>
      </w:r>
      <w:r w:rsidR="00AA7CA9" w:rsidRPr="00351EAB">
        <w:rPr>
          <w:rFonts w:cs="Arial"/>
        </w:rPr>
        <w:t xml:space="preserve"> and supplement</w:t>
      </w:r>
      <w:r>
        <w:rPr>
          <w:rFonts w:cs="Arial"/>
        </w:rPr>
        <w:t>ed</w:t>
      </w:r>
      <w:r w:rsidR="00AA7CA9" w:rsidRPr="00351EAB">
        <w:rPr>
          <w:rFonts w:cs="Arial"/>
        </w:rPr>
        <w:t xml:space="preserve"> the Athena SWAN processes</w:t>
      </w:r>
      <w:r>
        <w:rPr>
          <w:rFonts w:cs="Arial"/>
        </w:rPr>
        <w:t xml:space="preserve"> in order to streamline effort across Schools and unit boundaries and to share the learning which had already taken place </w:t>
      </w:r>
      <w:r w:rsidR="00152562">
        <w:rPr>
          <w:rFonts w:cs="Arial"/>
        </w:rPr>
        <w:t>with</w:t>
      </w:r>
      <w:r>
        <w:rPr>
          <w:rFonts w:cs="Arial"/>
        </w:rPr>
        <w:t xml:space="preserve"> the implementation of Athena in the STEMM subjects and from local equality initiatives which had been introduced in some parts of the Faculty. </w:t>
      </w:r>
    </w:p>
    <w:p w:rsidR="00DB671D" w:rsidRDefault="00DB671D" w:rsidP="00DB671D">
      <w:pPr>
        <w:spacing w:after="120"/>
        <w:jc w:val="both"/>
        <w:rPr>
          <w:rFonts w:eastAsia="Times New Roman" w:cs="Tahoma"/>
          <w:color w:val="000000"/>
          <w:lang w:eastAsia="en-GB"/>
        </w:rPr>
      </w:pPr>
      <w:r w:rsidRPr="00602496">
        <w:rPr>
          <w:rFonts w:eastAsia="Times New Roman" w:cs="Tahoma"/>
          <w:color w:val="000000"/>
          <w:lang w:eastAsia="en-GB"/>
        </w:rPr>
        <w:t>The work</w:t>
      </w:r>
      <w:r>
        <w:rPr>
          <w:rFonts w:eastAsia="Times New Roman" w:cs="Tahoma"/>
          <w:color w:val="000000"/>
          <w:lang w:eastAsia="en-GB"/>
        </w:rPr>
        <w:t xml:space="preserve"> </w:t>
      </w:r>
      <w:r w:rsidRPr="00602496">
        <w:rPr>
          <w:rFonts w:eastAsia="Times New Roman" w:cs="Tahoma"/>
          <w:color w:val="000000"/>
          <w:lang w:eastAsia="en-GB"/>
        </w:rPr>
        <w:t xml:space="preserve">plan was devised in two stages with the aim of combining efficient economics of scale (Stage one: Faculty-wide Working Group) with School level granularity and ownership of the resulting action plan (Stage two: School focus), as detailed in appendix one. </w:t>
      </w:r>
      <w:r>
        <w:rPr>
          <w:rFonts w:eastAsia="Times New Roman" w:cs="Tahoma"/>
          <w:color w:val="000000"/>
          <w:lang w:eastAsia="en-GB"/>
        </w:rPr>
        <w:t xml:space="preserve"> </w:t>
      </w:r>
      <w:r w:rsidRPr="00602496">
        <w:rPr>
          <w:rFonts w:eastAsia="Times New Roman" w:cs="Tahoma"/>
          <w:color w:val="000000"/>
          <w:lang w:eastAsia="en-GB"/>
        </w:rPr>
        <w:t xml:space="preserve">In the period November 2013-September 2014 the </w:t>
      </w:r>
      <w:r>
        <w:rPr>
          <w:rFonts w:eastAsia="Times New Roman" w:cs="Tahoma"/>
          <w:color w:val="000000"/>
          <w:lang w:eastAsia="en-GB"/>
        </w:rPr>
        <w:t xml:space="preserve">Working Group (WG) completed the </w:t>
      </w:r>
      <w:r w:rsidRPr="00602496">
        <w:rPr>
          <w:rFonts w:eastAsia="Times New Roman" w:cs="Tahoma"/>
          <w:color w:val="000000"/>
          <w:lang w:eastAsia="en-GB"/>
        </w:rPr>
        <w:t xml:space="preserve">majority of Stage one tasks </w:t>
      </w:r>
      <w:r>
        <w:rPr>
          <w:rFonts w:eastAsia="Times New Roman" w:cs="Tahoma"/>
          <w:color w:val="000000"/>
          <w:lang w:eastAsia="en-GB"/>
        </w:rPr>
        <w:t>and devised the work plan for Stage 2</w:t>
      </w:r>
      <w:r w:rsidRPr="00602496">
        <w:rPr>
          <w:rFonts w:eastAsia="Times New Roman" w:cs="Tahoma"/>
          <w:color w:val="000000"/>
          <w:lang w:eastAsia="en-GB"/>
        </w:rPr>
        <w:t>. Over the next six months we will finalise the policy review and communication (from Stage one) while progressing the implementation of School action plans (Stage two).</w:t>
      </w:r>
    </w:p>
    <w:p w:rsidR="00A6779B" w:rsidRDefault="00D057ED" w:rsidP="00F56086">
      <w:pPr>
        <w:tabs>
          <w:tab w:val="left" w:pos="284"/>
        </w:tabs>
        <w:spacing w:after="120"/>
        <w:jc w:val="both"/>
        <w:rPr>
          <w:rFonts w:cs="Arial"/>
          <w:b/>
        </w:rPr>
      </w:pPr>
      <w:r w:rsidRPr="00D057ED">
        <w:rPr>
          <w:rFonts w:cs="Arial"/>
          <w:b/>
        </w:rPr>
        <w:t>Update: The Equality Challenge Unit has announced that new gender equality and race equality marks are to be introduced and extended to all subjects</w:t>
      </w:r>
      <w:r w:rsidR="00A6779B">
        <w:rPr>
          <w:rFonts w:cs="Arial"/>
          <w:b/>
        </w:rPr>
        <w:t>, see bo</w:t>
      </w:r>
      <w:r w:rsidR="00F56086">
        <w:rPr>
          <w:rFonts w:cs="Arial"/>
          <w:b/>
        </w:rPr>
        <w:t>x 2</w:t>
      </w:r>
      <w:r w:rsidR="00A6779B">
        <w:rPr>
          <w:rFonts w:cs="Arial"/>
          <w:b/>
        </w:rPr>
        <w:t xml:space="preserve"> below for detail</w:t>
      </w:r>
      <w:r>
        <w:rPr>
          <w:rFonts w:cs="Arial"/>
          <w:b/>
        </w:rPr>
        <w:t>.</w:t>
      </w:r>
    </w:p>
    <w:p w:rsidR="005E5412" w:rsidRDefault="00F56086" w:rsidP="006601FD">
      <w:pPr>
        <w:pStyle w:val="ListParagraph"/>
        <w:numPr>
          <w:ilvl w:val="0"/>
          <w:numId w:val="39"/>
        </w:numPr>
        <w:tabs>
          <w:tab w:val="left" w:pos="284"/>
        </w:tabs>
        <w:spacing w:after="120"/>
        <w:jc w:val="both"/>
        <w:rPr>
          <w:rFonts w:cs="Arial"/>
        </w:rPr>
      </w:pPr>
      <w:r>
        <w:rPr>
          <w:rFonts w:cs="Arial"/>
        </w:rPr>
        <w:t xml:space="preserve">Our work to date </w:t>
      </w:r>
      <w:r w:rsidR="00A6779B" w:rsidRPr="00F56086">
        <w:rPr>
          <w:rFonts w:cs="Arial"/>
        </w:rPr>
        <w:t>means we are well-placed to respond to these new sector-wide initiatives. We will pay close attention to the developments at the ECU to ensure we remain aligned and to take advantage of new guidance as it is developed.</w:t>
      </w:r>
    </w:p>
    <w:p w:rsidR="00C966E7" w:rsidRPr="00F56086" w:rsidRDefault="00C966E7" w:rsidP="00C966E7">
      <w:pPr>
        <w:pStyle w:val="ListParagraph"/>
        <w:tabs>
          <w:tab w:val="left" w:pos="284"/>
        </w:tabs>
        <w:spacing w:after="120"/>
        <w:ind w:left="644"/>
        <w:jc w:val="both"/>
        <w:rPr>
          <w:rFonts w:cs="Arial"/>
        </w:rPr>
      </w:pPr>
    </w:p>
    <w:p w:rsidR="005E5412" w:rsidRPr="005E5412" w:rsidRDefault="005E5412" w:rsidP="00A32616">
      <w:pPr>
        <w:pBdr>
          <w:top w:val="single" w:sz="4" w:space="1" w:color="auto" w:shadow="1"/>
          <w:left w:val="single" w:sz="4" w:space="4" w:color="auto" w:shadow="1"/>
          <w:bottom w:val="single" w:sz="4" w:space="1" w:color="auto" w:shadow="1"/>
          <w:right w:val="single" w:sz="4" w:space="4" w:color="auto" w:shadow="1"/>
        </w:pBdr>
        <w:tabs>
          <w:tab w:val="left" w:pos="284"/>
        </w:tabs>
        <w:spacing w:after="120"/>
        <w:jc w:val="center"/>
        <w:rPr>
          <w:rFonts w:cs="Arial"/>
          <w:b/>
          <w:sz w:val="24"/>
          <w:szCs w:val="24"/>
        </w:rPr>
      </w:pPr>
      <w:r w:rsidRPr="005E5412">
        <w:rPr>
          <w:rFonts w:cs="Arial"/>
          <w:b/>
          <w:sz w:val="24"/>
          <w:szCs w:val="24"/>
        </w:rPr>
        <w:lastRenderedPageBreak/>
        <w:t xml:space="preserve">Box </w:t>
      </w:r>
      <w:r w:rsidR="00F56086">
        <w:rPr>
          <w:rFonts w:cs="Arial"/>
          <w:b/>
          <w:sz w:val="24"/>
          <w:szCs w:val="24"/>
        </w:rPr>
        <w:t>2</w:t>
      </w:r>
      <w:r w:rsidRPr="005E5412">
        <w:rPr>
          <w:rFonts w:cs="Arial"/>
          <w:b/>
          <w:sz w:val="24"/>
          <w:szCs w:val="24"/>
        </w:rPr>
        <w:t>. The Equali</w:t>
      </w:r>
      <w:r w:rsidR="00A40C6F">
        <w:rPr>
          <w:rFonts w:cs="Arial"/>
          <w:b/>
          <w:sz w:val="24"/>
          <w:szCs w:val="24"/>
        </w:rPr>
        <w:t xml:space="preserve">ty Challenge Unit’s </w:t>
      </w:r>
      <w:r w:rsidRPr="005E5412">
        <w:rPr>
          <w:rFonts w:cs="Arial"/>
          <w:b/>
          <w:sz w:val="24"/>
          <w:szCs w:val="24"/>
        </w:rPr>
        <w:t>gender equality and race equality charter marks</w:t>
      </w:r>
    </w:p>
    <w:p w:rsidR="00A6779B" w:rsidRPr="005E5412" w:rsidRDefault="00D057ED" w:rsidP="00A32616">
      <w:pPr>
        <w:pBdr>
          <w:top w:val="single" w:sz="4" w:space="1" w:color="auto" w:shadow="1"/>
          <w:left w:val="single" w:sz="4" w:space="4" w:color="auto" w:shadow="1"/>
          <w:bottom w:val="single" w:sz="4" w:space="1" w:color="auto" w:shadow="1"/>
          <w:right w:val="single" w:sz="4" w:space="4" w:color="auto" w:shadow="1"/>
        </w:pBdr>
        <w:tabs>
          <w:tab w:val="left" w:pos="284"/>
        </w:tabs>
        <w:spacing w:after="120"/>
        <w:jc w:val="both"/>
        <w:rPr>
          <w:rFonts w:cs="Arial"/>
          <w:b/>
        </w:rPr>
      </w:pPr>
      <w:r w:rsidRPr="005E5412">
        <w:rPr>
          <w:rFonts w:cs="Arial"/>
        </w:rPr>
        <w:t>In November 2014 the Equality Challenge Unit announced that the Athena SWAN charter will be expanding in 2015 to include arts, humanities, social science, business and law departments alongside the current focus on STEMM subjects. This follows a successful gender equality charter mark trial (October 2013-September 2014)</w:t>
      </w:r>
      <w:r w:rsidR="00A6779B" w:rsidRPr="005E5412">
        <w:rPr>
          <w:rFonts w:cs="Arial"/>
        </w:rPr>
        <w:t xml:space="preserve"> with a small number of institutions.</w:t>
      </w:r>
    </w:p>
    <w:p w:rsidR="00A6779B" w:rsidRPr="005E5412" w:rsidRDefault="00A6779B" w:rsidP="00A32616">
      <w:pPr>
        <w:pBdr>
          <w:top w:val="single" w:sz="4" w:space="1" w:color="auto" w:shadow="1"/>
          <w:left w:val="single" w:sz="4" w:space="4" w:color="auto" w:shadow="1"/>
          <w:bottom w:val="single" w:sz="4" w:space="1" w:color="auto" w:shadow="1"/>
          <w:right w:val="single" w:sz="4" w:space="4" w:color="auto" w:shadow="1"/>
        </w:pBdr>
        <w:tabs>
          <w:tab w:val="left" w:pos="284"/>
        </w:tabs>
        <w:spacing w:after="120"/>
        <w:jc w:val="both"/>
        <w:rPr>
          <w:rFonts w:cs="Arial"/>
          <w:b/>
        </w:rPr>
      </w:pPr>
      <w:r w:rsidRPr="005E5412">
        <w:rPr>
          <w:rFonts w:cs="Arial"/>
        </w:rPr>
        <w:t>The gender equality charter make will encompass equality for men and trans staff as well as women, professional and support staff, honorary staff and those on atypical (non-standard contracts such as fixed-term or part-time) contracts. Athena SWAN will be extended to cover these areas.</w:t>
      </w:r>
    </w:p>
    <w:p w:rsidR="00A6779B" w:rsidRPr="005E5412" w:rsidRDefault="00A6779B" w:rsidP="00A32616">
      <w:pPr>
        <w:pBdr>
          <w:top w:val="single" w:sz="4" w:space="1" w:color="auto" w:shadow="1"/>
          <w:left w:val="single" w:sz="4" w:space="4" w:color="auto" w:shadow="1"/>
          <w:bottom w:val="single" w:sz="4" w:space="1" w:color="auto" w:shadow="1"/>
          <w:right w:val="single" w:sz="4" w:space="4" w:color="auto" w:shadow="1"/>
        </w:pBdr>
        <w:tabs>
          <w:tab w:val="left" w:pos="284"/>
        </w:tabs>
        <w:spacing w:after="120"/>
        <w:jc w:val="both"/>
        <w:rPr>
          <w:rFonts w:cs="Arial"/>
          <w:b/>
        </w:rPr>
      </w:pPr>
      <w:r w:rsidRPr="005E5412">
        <w:rPr>
          <w:rFonts w:cs="Arial"/>
        </w:rPr>
        <w:t xml:space="preserve">The ECU is currently running a trial of its race equality charter, due to finish in July 2015; after this the ECU will further review the Athena SWAN and gender equality charter mark materials and processes. </w:t>
      </w:r>
    </w:p>
    <w:p w:rsidR="00A6779B" w:rsidRPr="005E5412" w:rsidRDefault="00A6779B" w:rsidP="00A32616">
      <w:pPr>
        <w:pBdr>
          <w:top w:val="single" w:sz="4" w:space="1" w:color="auto" w:shadow="1"/>
          <w:left w:val="single" w:sz="4" w:space="4" w:color="auto" w:shadow="1"/>
          <w:bottom w:val="single" w:sz="4" w:space="1" w:color="auto" w:shadow="1"/>
          <w:right w:val="single" w:sz="4" w:space="4" w:color="auto" w:shadow="1"/>
        </w:pBdr>
        <w:tabs>
          <w:tab w:val="left" w:pos="284"/>
        </w:tabs>
        <w:spacing w:after="120"/>
        <w:jc w:val="both"/>
        <w:rPr>
          <w:rFonts w:cs="Arial"/>
          <w:b/>
        </w:rPr>
      </w:pPr>
      <w:r w:rsidRPr="005E5412">
        <w:rPr>
          <w:rFonts w:cs="Arial"/>
        </w:rPr>
        <w:t>The ECU is in the process of consulting with a number of key stakeholders, including ECU funders, the royal societies and BIS on the future shape and direction of the charter marks.</w:t>
      </w:r>
    </w:p>
    <w:p w:rsidR="00A6779B" w:rsidRPr="005E5412" w:rsidRDefault="005E5412" w:rsidP="00A32616">
      <w:pPr>
        <w:pBdr>
          <w:top w:val="single" w:sz="4" w:space="1" w:color="auto" w:shadow="1"/>
          <w:left w:val="single" w:sz="4" w:space="4" w:color="auto" w:shadow="1"/>
          <w:bottom w:val="single" w:sz="4" w:space="1" w:color="auto" w:shadow="1"/>
          <w:right w:val="single" w:sz="4" w:space="4" w:color="auto" w:shadow="1"/>
        </w:pBdr>
        <w:tabs>
          <w:tab w:val="left" w:pos="284"/>
        </w:tabs>
        <w:spacing w:after="120"/>
        <w:jc w:val="right"/>
        <w:rPr>
          <w:rFonts w:cs="Arial"/>
          <w:i/>
        </w:rPr>
      </w:pPr>
      <w:r w:rsidRPr="005E5412">
        <w:rPr>
          <w:rFonts w:cs="Arial"/>
          <w:i/>
        </w:rPr>
        <w:t>Equality Challenge Unit press release, 11 November 2014</w:t>
      </w:r>
    </w:p>
    <w:p w:rsidR="00E93A70" w:rsidRDefault="00E93A70">
      <w:pPr>
        <w:rPr>
          <w:rFonts w:eastAsia="Times New Roman" w:cs="Tahoma"/>
          <w:color w:val="000000"/>
          <w:lang w:eastAsia="en-GB"/>
        </w:rPr>
      </w:pPr>
    </w:p>
    <w:p w:rsidR="00351EAB" w:rsidRPr="00CD1809" w:rsidRDefault="005E5412" w:rsidP="006601FD">
      <w:pPr>
        <w:numPr>
          <w:ilvl w:val="0"/>
          <w:numId w:val="1"/>
        </w:numPr>
        <w:spacing w:after="120" w:line="240" w:lineRule="auto"/>
        <w:ind w:left="357" w:hanging="357"/>
        <w:contextualSpacing/>
        <w:rPr>
          <w:rFonts w:eastAsia="Times New Roman" w:cs="Tahoma"/>
          <w:b/>
          <w:color w:val="000000"/>
          <w:sz w:val="28"/>
          <w:szCs w:val="28"/>
          <w:lang w:eastAsia="en-GB"/>
        </w:rPr>
      </w:pPr>
      <w:r>
        <w:rPr>
          <w:rFonts w:eastAsia="Times New Roman" w:cs="Tahoma"/>
          <w:b/>
          <w:color w:val="000000"/>
          <w:sz w:val="28"/>
          <w:szCs w:val="28"/>
          <w:lang w:eastAsia="en-GB"/>
        </w:rPr>
        <w:t xml:space="preserve">Progress Report on </w:t>
      </w:r>
      <w:r w:rsidR="00351EAB" w:rsidRPr="00CD1809">
        <w:rPr>
          <w:rFonts w:eastAsia="Times New Roman" w:cs="Tahoma"/>
          <w:b/>
          <w:color w:val="000000"/>
          <w:sz w:val="28"/>
          <w:szCs w:val="28"/>
          <w:lang w:eastAsia="en-GB"/>
        </w:rPr>
        <w:t xml:space="preserve">Working Group </w:t>
      </w:r>
      <w:r w:rsidR="00CD2A9C">
        <w:rPr>
          <w:rFonts w:eastAsia="Times New Roman" w:cs="Tahoma"/>
          <w:b/>
          <w:color w:val="000000"/>
          <w:sz w:val="28"/>
          <w:szCs w:val="28"/>
          <w:lang w:eastAsia="en-GB"/>
        </w:rPr>
        <w:t>activity</w:t>
      </w:r>
      <w:r>
        <w:rPr>
          <w:rFonts w:eastAsia="Times New Roman" w:cs="Tahoma"/>
          <w:b/>
          <w:color w:val="000000"/>
          <w:sz w:val="28"/>
          <w:szCs w:val="28"/>
          <w:lang w:eastAsia="en-GB"/>
        </w:rPr>
        <w:t xml:space="preserve"> (</w:t>
      </w:r>
      <w:r w:rsidR="00D057ED">
        <w:rPr>
          <w:rFonts w:eastAsia="Times New Roman" w:cs="Tahoma"/>
          <w:b/>
          <w:color w:val="000000"/>
          <w:sz w:val="28"/>
          <w:szCs w:val="28"/>
          <w:lang w:eastAsia="en-GB"/>
        </w:rPr>
        <w:t>November 2013-October 2014</w:t>
      </w:r>
      <w:r>
        <w:rPr>
          <w:rFonts w:eastAsia="Times New Roman" w:cs="Tahoma"/>
          <w:b/>
          <w:color w:val="000000"/>
          <w:sz w:val="28"/>
          <w:szCs w:val="28"/>
          <w:lang w:eastAsia="en-GB"/>
        </w:rPr>
        <w:t>)</w:t>
      </w:r>
    </w:p>
    <w:p w:rsidR="00351EAB" w:rsidRPr="00351EAB" w:rsidRDefault="00351EAB" w:rsidP="00351EAB">
      <w:pPr>
        <w:spacing w:after="120" w:line="240" w:lineRule="auto"/>
        <w:ind w:left="357"/>
        <w:contextualSpacing/>
        <w:rPr>
          <w:rFonts w:eastAsia="Times New Roman" w:cs="Tahoma"/>
          <w:b/>
          <w:color w:val="000000"/>
          <w:lang w:eastAsia="en-GB"/>
        </w:rPr>
      </w:pPr>
    </w:p>
    <w:p w:rsidR="00CD2A9C" w:rsidRDefault="00351EAB" w:rsidP="00E445FA">
      <w:pPr>
        <w:spacing w:after="120"/>
        <w:jc w:val="both"/>
        <w:rPr>
          <w:rFonts w:eastAsia="Times New Roman" w:cs="Tahoma"/>
          <w:color w:val="000000"/>
          <w:lang w:eastAsia="en-GB"/>
        </w:rPr>
      </w:pPr>
      <w:r w:rsidRPr="00351EAB">
        <w:rPr>
          <w:rFonts w:eastAsia="Times New Roman" w:cs="Tahoma"/>
          <w:color w:val="000000"/>
          <w:lang w:eastAsia="en-GB"/>
        </w:rPr>
        <w:t>The W</w:t>
      </w:r>
      <w:r w:rsidR="006E544B">
        <w:rPr>
          <w:rFonts w:eastAsia="Times New Roman" w:cs="Tahoma"/>
          <w:color w:val="000000"/>
          <w:lang w:eastAsia="en-GB"/>
        </w:rPr>
        <w:t xml:space="preserve">orking Group </w:t>
      </w:r>
      <w:r w:rsidRPr="00351EAB">
        <w:rPr>
          <w:rFonts w:eastAsia="Times New Roman" w:cs="Tahoma"/>
          <w:color w:val="000000"/>
          <w:lang w:eastAsia="en-GB"/>
        </w:rPr>
        <w:t>commenced in November 2013</w:t>
      </w:r>
      <w:r w:rsidR="00CD2A9C">
        <w:rPr>
          <w:rFonts w:eastAsia="Times New Roman" w:cs="Tahoma"/>
          <w:color w:val="000000"/>
          <w:lang w:eastAsia="en-GB"/>
        </w:rPr>
        <w:t xml:space="preserve">.  </w:t>
      </w:r>
      <w:r w:rsidRPr="00351EAB">
        <w:rPr>
          <w:rFonts w:eastAsia="Times New Roman" w:cs="Tahoma"/>
          <w:color w:val="000000"/>
          <w:lang w:eastAsia="en-GB"/>
        </w:rPr>
        <w:t xml:space="preserve">Following the completion of the preparation work undertaken by HR and the </w:t>
      </w:r>
      <w:r w:rsidR="00CD2A9C">
        <w:rPr>
          <w:rFonts w:eastAsia="Times New Roman" w:cs="Tahoma"/>
          <w:color w:val="000000"/>
          <w:lang w:eastAsia="en-GB"/>
        </w:rPr>
        <w:t xml:space="preserve">WG </w:t>
      </w:r>
      <w:r w:rsidRPr="00351EAB">
        <w:rPr>
          <w:rFonts w:eastAsia="Times New Roman" w:cs="Tahoma"/>
          <w:color w:val="000000"/>
          <w:lang w:eastAsia="en-GB"/>
        </w:rPr>
        <w:t xml:space="preserve">chair </w:t>
      </w:r>
      <w:r w:rsidR="00CD2A9C">
        <w:rPr>
          <w:rFonts w:eastAsia="Times New Roman" w:cs="Tahoma"/>
          <w:color w:val="000000"/>
          <w:lang w:eastAsia="en-GB"/>
        </w:rPr>
        <w:t xml:space="preserve">the </w:t>
      </w:r>
      <w:r w:rsidRPr="00351EAB">
        <w:rPr>
          <w:rFonts w:eastAsia="Times New Roman" w:cs="Tahoma"/>
          <w:color w:val="000000"/>
          <w:lang w:eastAsia="en-GB"/>
        </w:rPr>
        <w:t xml:space="preserve">meetings of the Working Group took place on 5 March, 15 May, 23 June, 24 September and 20 October 2014. </w:t>
      </w:r>
      <w:r w:rsidR="00CD2A9C">
        <w:rPr>
          <w:rFonts w:eastAsia="Times New Roman" w:cs="Tahoma"/>
          <w:color w:val="000000"/>
          <w:lang w:eastAsia="en-GB"/>
        </w:rPr>
        <w:t>By the end of October 2014, the following ha</w:t>
      </w:r>
      <w:r w:rsidR="00152562">
        <w:rPr>
          <w:rFonts w:eastAsia="Times New Roman" w:cs="Tahoma"/>
          <w:color w:val="000000"/>
          <w:lang w:eastAsia="en-GB"/>
        </w:rPr>
        <w:t>d</w:t>
      </w:r>
      <w:r w:rsidR="00CD2A9C">
        <w:rPr>
          <w:rFonts w:eastAsia="Times New Roman" w:cs="Tahoma"/>
          <w:color w:val="000000"/>
          <w:lang w:eastAsia="en-GB"/>
        </w:rPr>
        <w:t xml:space="preserve"> been completed.</w:t>
      </w:r>
    </w:p>
    <w:p w:rsidR="00351EAB" w:rsidRPr="00CD1809" w:rsidRDefault="005E5412" w:rsidP="00A40116">
      <w:pPr>
        <w:spacing w:before="240" w:after="120"/>
        <w:rPr>
          <w:rFonts w:eastAsia="Times New Roman" w:cs="Tahoma"/>
          <w:b/>
          <w:color w:val="000000"/>
          <w:sz w:val="24"/>
          <w:szCs w:val="24"/>
          <w:lang w:eastAsia="en-GB"/>
        </w:rPr>
      </w:pPr>
      <w:r>
        <w:rPr>
          <w:rFonts w:eastAsia="Times New Roman" w:cs="Tahoma"/>
          <w:b/>
          <w:color w:val="000000"/>
          <w:sz w:val="24"/>
          <w:szCs w:val="24"/>
          <w:lang w:eastAsia="en-GB"/>
        </w:rPr>
        <w:t>2</w:t>
      </w:r>
      <w:r w:rsidR="00351EAB" w:rsidRPr="00CD1809">
        <w:rPr>
          <w:rFonts w:eastAsia="Times New Roman" w:cs="Tahoma"/>
          <w:b/>
          <w:color w:val="000000"/>
          <w:sz w:val="24"/>
          <w:szCs w:val="24"/>
          <w:lang w:eastAsia="en-GB"/>
        </w:rPr>
        <w:t>.</w:t>
      </w:r>
      <w:r w:rsidR="00CD2A9C">
        <w:rPr>
          <w:rFonts w:eastAsia="Times New Roman" w:cs="Tahoma"/>
          <w:b/>
          <w:color w:val="000000"/>
          <w:sz w:val="24"/>
          <w:szCs w:val="24"/>
          <w:lang w:eastAsia="en-GB"/>
        </w:rPr>
        <w:t>1</w:t>
      </w:r>
      <w:r w:rsidR="00351EAB" w:rsidRPr="00CD1809">
        <w:rPr>
          <w:rFonts w:eastAsia="Times New Roman" w:cs="Tahoma"/>
          <w:b/>
          <w:color w:val="000000"/>
          <w:sz w:val="24"/>
          <w:szCs w:val="24"/>
          <w:lang w:eastAsia="en-GB"/>
        </w:rPr>
        <w:t xml:space="preserve"> Data and policy audit</w:t>
      </w:r>
    </w:p>
    <w:p w:rsidR="00351EAB" w:rsidRPr="00351EAB" w:rsidRDefault="00CD2A9C" w:rsidP="00351EAB">
      <w:pPr>
        <w:spacing w:after="120"/>
        <w:jc w:val="both"/>
        <w:rPr>
          <w:rFonts w:eastAsia="Times New Roman" w:cs="Tahoma"/>
          <w:color w:val="000000"/>
          <w:lang w:eastAsia="en-GB"/>
        </w:rPr>
      </w:pPr>
      <w:r>
        <w:rPr>
          <w:rFonts w:eastAsia="Times New Roman" w:cs="Tahoma"/>
          <w:color w:val="000000"/>
          <w:lang w:eastAsia="en-GB"/>
        </w:rPr>
        <w:t>HR assembled t</w:t>
      </w:r>
      <w:r w:rsidR="00351EAB" w:rsidRPr="00351EAB">
        <w:rPr>
          <w:rFonts w:eastAsia="Times New Roman" w:cs="Tahoma"/>
          <w:color w:val="000000"/>
          <w:lang w:eastAsia="en-GB"/>
        </w:rPr>
        <w:t xml:space="preserve">he following information </w:t>
      </w:r>
      <w:r w:rsidR="00CD1809">
        <w:rPr>
          <w:rFonts w:eastAsia="Times New Roman" w:cs="Tahoma"/>
          <w:color w:val="000000"/>
          <w:lang w:eastAsia="en-GB"/>
        </w:rPr>
        <w:t xml:space="preserve">to inform the work </w:t>
      </w:r>
      <w:r w:rsidR="00351EAB" w:rsidRPr="00351EAB">
        <w:rPr>
          <w:rFonts w:eastAsia="Times New Roman" w:cs="Tahoma"/>
          <w:color w:val="000000"/>
          <w:lang w:eastAsia="en-GB"/>
        </w:rPr>
        <w:t>programme:</w:t>
      </w:r>
    </w:p>
    <w:p w:rsidR="007506B2" w:rsidRPr="00E445FA" w:rsidRDefault="007506B2" w:rsidP="006601FD">
      <w:pPr>
        <w:numPr>
          <w:ilvl w:val="0"/>
          <w:numId w:val="10"/>
        </w:numPr>
        <w:spacing w:after="0" w:line="240" w:lineRule="auto"/>
        <w:contextualSpacing/>
        <w:jc w:val="both"/>
        <w:rPr>
          <w:rFonts w:eastAsia="Times New Roman" w:cs="Tahoma"/>
          <w:b/>
          <w:i/>
          <w:color w:val="000000"/>
          <w:lang w:eastAsia="en-GB"/>
        </w:rPr>
      </w:pPr>
      <w:r w:rsidRPr="00E445FA">
        <w:rPr>
          <w:rFonts w:eastAsia="Times New Roman" w:cs="Tahoma"/>
          <w:b/>
          <w:i/>
          <w:color w:val="000000"/>
          <w:lang w:eastAsia="en-GB"/>
        </w:rPr>
        <w:t>Sector context</w:t>
      </w:r>
    </w:p>
    <w:p w:rsidR="007506B2" w:rsidRPr="007506B2" w:rsidRDefault="007506B2" w:rsidP="006601FD">
      <w:pPr>
        <w:pStyle w:val="ListParagraph"/>
        <w:numPr>
          <w:ilvl w:val="0"/>
          <w:numId w:val="43"/>
        </w:numPr>
        <w:spacing w:after="120"/>
        <w:jc w:val="both"/>
        <w:rPr>
          <w:rFonts w:eastAsia="Times New Roman" w:cs="Tahoma"/>
          <w:color w:val="000000"/>
          <w:lang w:eastAsia="en-GB"/>
        </w:rPr>
      </w:pPr>
      <w:r>
        <w:rPr>
          <w:rFonts w:eastAsia="Times New Roman" w:cs="Tahoma"/>
          <w:color w:val="000000"/>
          <w:lang w:eastAsia="en-GB"/>
        </w:rPr>
        <w:t>D</w:t>
      </w:r>
      <w:r w:rsidRPr="007506B2">
        <w:rPr>
          <w:rFonts w:eastAsia="Times New Roman" w:cs="Tahoma"/>
          <w:color w:val="000000"/>
          <w:lang w:eastAsia="en-GB"/>
        </w:rPr>
        <w:t xml:space="preserve">ata for the diversity profile of the UK HE sector were collected where </w:t>
      </w:r>
      <w:r>
        <w:rPr>
          <w:rFonts w:eastAsia="Times New Roman" w:cs="Tahoma"/>
          <w:color w:val="000000"/>
          <w:lang w:eastAsia="en-GB"/>
        </w:rPr>
        <w:t xml:space="preserve">readily </w:t>
      </w:r>
      <w:r w:rsidRPr="007506B2">
        <w:rPr>
          <w:rFonts w:eastAsia="Times New Roman" w:cs="Tahoma"/>
          <w:color w:val="000000"/>
          <w:lang w:eastAsia="en-GB"/>
        </w:rPr>
        <w:t xml:space="preserve">available to benchmark the </w:t>
      </w:r>
      <w:r>
        <w:rPr>
          <w:rFonts w:eastAsia="Times New Roman" w:cs="Tahoma"/>
          <w:color w:val="000000"/>
          <w:lang w:eastAsia="en-GB"/>
        </w:rPr>
        <w:t xml:space="preserve">position at the University of Manchester and in </w:t>
      </w:r>
      <w:r w:rsidRPr="007506B2">
        <w:rPr>
          <w:rFonts w:eastAsia="Times New Roman" w:cs="Tahoma"/>
          <w:color w:val="000000"/>
          <w:lang w:eastAsia="en-GB"/>
        </w:rPr>
        <w:t>the Faculty of Humanities.</w:t>
      </w:r>
    </w:p>
    <w:p w:rsidR="00351EAB" w:rsidRPr="00E445FA" w:rsidRDefault="007506B2" w:rsidP="006601FD">
      <w:pPr>
        <w:numPr>
          <w:ilvl w:val="0"/>
          <w:numId w:val="2"/>
        </w:numPr>
        <w:spacing w:after="120"/>
        <w:contextualSpacing/>
        <w:rPr>
          <w:rFonts w:eastAsia="Times New Roman" w:cs="Tahoma"/>
          <w:b/>
          <w:i/>
          <w:color w:val="000000"/>
          <w:lang w:eastAsia="en-GB"/>
        </w:rPr>
      </w:pPr>
      <w:r w:rsidRPr="00E445FA">
        <w:rPr>
          <w:rFonts w:eastAsia="Times New Roman" w:cs="Tahoma"/>
          <w:b/>
          <w:i/>
          <w:color w:val="000000"/>
          <w:lang w:eastAsia="en-GB"/>
        </w:rPr>
        <w:t>T</w:t>
      </w:r>
      <w:r w:rsidR="00246EC4" w:rsidRPr="00E445FA">
        <w:rPr>
          <w:rFonts w:eastAsia="Times New Roman" w:cs="Tahoma"/>
          <w:b/>
          <w:i/>
          <w:color w:val="000000"/>
          <w:lang w:eastAsia="en-GB"/>
        </w:rPr>
        <w:t xml:space="preserve">he gender and </w:t>
      </w:r>
      <w:r w:rsidR="00152562" w:rsidRPr="00E445FA">
        <w:rPr>
          <w:rFonts w:eastAsia="Times New Roman" w:cs="Tahoma"/>
          <w:b/>
          <w:i/>
          <w:color w:val="000000"/>
          <w:lang w:eastAsia="en-GB"/>
        </w:rPr>
        <w:t>B</w:t>
      </w:r>
      <w:r w:rsidR="00246EC4" w:rsidRPr="00E445FA">
        <w:rPr>
          <w:rFonts w:eastAsia="Times New Roman" w:cs="Tahoma"/>
          <w:b/>
          <w:i/>
          <w:color w:val="000000"/>
          <w:lang w:eastAsia="en-GB"/>
        </w:rPr>
        <w:t>M</w:t>
      </w:r>
      <w:r w:rsidR="00152562" w:rsidRPr="00E445FA">
        <w:rPr>
          <w:rFonts w:eastAsia="Times New Roman" w:cs="Tahoma"/>
          <w:b/>
          <w:i/>
          <w:color w:val="000000"/>
          <w:lang w:eastAsia="en-GB"/>
        </w:rPr>
        <w:t>E profile of academics, PSS staff and students</w:t>
      </w:r>
      <w:r w:rsidRPr="00E445FA">
        <w:rPr>
          <w:rFonts w:eastAsia="Times New Roman" w:cs="Tahoma"/>
          <w:b/>
          <w:i/>
          <w:color w:val="000000"/>
          <w:lang w:eastAsia="en-GB"/>
        </w:rPr>
        <w:t xml:space="preserve"> at the Faculty and School level</w:t>
      </w:r>
    </w:p>
    <w:p w:rsidR="00351EAB" w:rsidRPr="00351EAB" w:rsidRDefault="00246EC4" w:rsidP="006601FD">
      <w:pPr>
        <w:numPr>
          <w:ilvl w:val="0"/>
          <w:numId w:val="6"/>
        </w:numPr>
        <w:spacing w:after="120"/>
        <w:contextualSpacing/>
        <w:jc w:val="both"/>
        <w:rPr>
          <w:rFonts w:eastAsia="Times New Roman" w:cs="Tahoma"/>
          <w:color w:val="000000"/>
          <w:lang w:eastAsia="en-GB"/>
        </w:rPr>
      </w:pPr>
      <w:r>
        <w:rPr>
          <w:rFonts w:eastAsia="Times New Roman" w:cs="Tahoma"/>
          <w:color w:val="000000"/>
          <w:lang w:eastAsia="en-GB"/>
        </w:rPr>
        <w:t xml:space="preserve">Staff </w:t>
      </w:r>
      <w:r w:rsidR="00351EAB" w:rsidRPr="00351EAB">
        <w:rPr>
          <w:rFonts w:eastAsia="Times New Roman" w:cs="Tahoma"/>
          <w:color w:val="000000"/>
          <w:lang w:eastAsia="en-GB"/>
        </w:rPr>
        <w:t xml:space="preserve">gender and </w:t>
      </w:r>
      <w:r>
        <w:rPr>
          <w:rFonts w:eastAsia="Times New Roman" w:cs="Tahoma"/>
          <w:color w:val="000000"/>
          <w:lang w:eastAsia="en-GB"/>
        </w:rPr>
        <w:t xml:space="preserve">BME profile </w:t>
      </w:r>
      <w:r w:rsidR="00351EAB" w:rsidRPr="00351EAB">
        <w:rPr>
          <w:rFonts w:eastAsia="Times New Roman" w:cs="Tahoma"/>
          <w:color w:val="000000"/>
          <w:lang w:eastAsia="en-GB"/>
        </w:rPr>
        <w:t xml:space="preserve">for academic/research and PSS staff </w:t>
      </w:r>
      <w:r>
        <w:rPr>
          <w:rFonts w:eastAsia="Times New Roman" w:cs="Tahoma"/>
          <w:color w:val="000000"/>
          <w:lang w:eastAsia="en-GB"/>
        </w:rPr>
        <w:t>by grade for 2012/13 and comparable data for 2011/12 and 2012/13</w:t>
      </w:r>
    </w:p>
    <w:p w:rsidR="00351EAB" w:rsidRPr="00351EAB" w:rsidRDefault="00152562" w:rsidP="006601FD">
      <w:pPr>
        <w:numPr>
          <w:ilvl w:val="0"/>
          <w:numId w:val="6"/>
        </w:numPr>
        <w:spacing w:after="120"/>
        <w:contextualSpacing/>
        <w:jc w:val="both"/>
        <w:rPr>
          <w:rFonts w:eastAsia="Times New Roman" w:cs="Tahoma"/>
          <w:color w:val="000000"/>
          <w:lang w:eastAsia="en-GB"/>
        </w:rPr>
      </w:pPr>
      <w:r>
        <w:rPr>
          <w:rFonts w:eastAsia="Times New Roman" w:cs="Tahoma"/>
          <w:color w:val="000000"/>
          <w:lang w:eastAsia="en-GB"/>
        </w:rPr>
        <w:t>S</w:t>
      </w:r>
      <w:r w:rsidR="00351EAB" w:rsidRPr="00351EAB">
        <w:rPr>
          <w:rFonts w:eastAsia="Times New Roman" w:cs="Tahoma"/>
          <w:color w:val="000000"/>
          <w:lang w:eastAsia="en-GB"/>
        </w:rPr>
        <w:t>tudent profile by gender and ethnicity for UG, PGT and PGR cohorts</w:t>
      </w:r>
      <w:r>
        <w:rPr>
          <w:rFonts w:eastAsia="Times New Roman" w:cs="Tahoma"/>
          <w:color w:val="000000"/>
          <w:lang w:eastAsia="en-GB"/>
        </w:rPr>
        <w:t xml:space="preserve"> for each School</w:t>
      </w:r>
      <w:r w:rsidR="00246EC4">
        <w:rPr>
          <w:rFonts w:eastAsia="Times New Roman" w:cs="Tahoma"/>
          <w:color w:val="000000"/>
          <w:lang w:eastAsia="en-GB"/>
        </w:rPr>
        <w:t xml:space="preserve"> </w:t>
      </w:r>
    </w:p>
    <w:p w:rsidR="00351EAB" w:rsidRPr="00351EAB" w:rsidRDefault="00351EAB" w:rsidP="006601FD">
      <w:pPr>
        <w:numPr>
          <w:ilvl w:val="0"/>
          <w:numId w:val="6"/>
        </w:numPr>
        <w:spacing w:after="120"/>
        <w:contextualSpacing/>
        <w:jc w:val="both"/>
        <w:rPr>
          <w:rFonts w:eastAsia="Times New Roman" w:cs="Tahoma"/>
          <w:color w:val="000000"/>
          <w:lang w:eastAsia="en-GB"/>
        </w:rPr>
      </w:pPr>
      <w:r w:rsidRPr="00351EAB">
        <w:rPr>
          <w:rFonts w:eastAsia="Times New Roman" w:cs="Tahoma"/>
          <w:color w:val="000000"/>
          <w:lang w:eastAsia="en-GB"/>
        </w:rPr>
        <w:t xml:space="preserve">Comparative </w:t>
      </w:r>
      <w:r w:rsidR="00246EC4">
        <w:rPr>
          <w:rFonts w:eastAsia="Times New Roman" w:cs="Tahoma"/>
          <w:color w:val="000000"/>
          <w:lang w:eastAsia="en-GB"/>
        </w:rPr>
        <w:t xml:space="preserve">student profile data </w:t>
      </w:r>
      <w:r w:rsidRPr="00351EAB">
        <w:rPr>
          <w:rFonts w:eastAsia="Times New Roman" w:cs="Tahoma"/>
          <w:color w:val="000000"/>
          <w:lang w:eastAsia="en-GB"/>
        </w:rPr>
        <w:t>for the five years from 2008/09 to 2012/13</w:t>
      </w:r>
    </w:p>
    <w:p w:rsidR="00351EAB" w:rsidRPr="00351EAB" w:rsidRDefault="00246EC4" w:rsidP="006601FD">
      <w:pPr>
        <w:numPr>
          <w:ilvl w:val="0"/>
          <w:numId w:val="6"/>
        </w:numPr>
        <w:spacing w:after="120"/>
        <w:ind w:left="1077" w:hanging="357"/>
        <w:jc w:val="both"/>
        <w:rPr>
          <w:rFonts w:eastAsia="Times New Roman" w:cs="Tahoma"/>
          <w:color w:val="000000"/>
          <w:lang w:eastAsia="en-GB"/>
        </w:rPr>
      </w:pPr>
      <w:r>
        <w:rPr>
          <w:rFonts w:eastAsia="Times New Roman" w:cs="Tahoma"/>
          <w:color w:val="000000"/>
          <w:lang w:eastAsia="en-GB"/>
        </w:rPr>
        <w:t>S</w:t>
      </w:r>
      <w:r w:rsidR="00351EAB" w:rsidRPr="00351EAB">
        <w:rPr>
          <w:rFonts w:eastAsia="Times New Roman" w:cs="Tahoma"/>
          <w:color w:val="000000"/>
          <w:lang w:eastAsia="en-GB"/>
        </w:rPr>
        <w:t>tudent-staff “pipeline” for women for each School by an analysis of proportion of females, at UG, PGT, PGR, Researcher, Lecturer, SL, Professorial level.</w:t>
      </w:r>
    </w:p>
    <w:p w:rsidR="00351EAB" w:rsidRDefault="00351EAB" w:rsidP="006601FD">
      <w:pPr>
        <w:numPr>
          <w:ilvl w:val="0"/>
          <w:numId w:val="2"/>
        </w:numPr>
        <w:spacing w:before="120" w:after="120"/>
        <w:ind w:left="357" w:hanging="357"/>
        <w:jc w:val="both"/>
        <w:rPr>
          <w:rFonts w:eastAsia="Times New Roman" w:cs="Tahoma"/>
          <w:b/>
          <w:i/>
          <w:color w:val="000000"/>
          <w:lang w:eastAsia="en-GB"/>
        </w:rPr>
      </w:pPr>
      <w:r w:rsidRPr="00E445FA">
        <w:rPr>
          <w:rFonts w:eastAsia="Times New Roman" w:cs="Tahoma"/>
          <w:b/>
          <w:i/>
          <w:color w:val="000000"/>
          <w:lang w:eastAsia="en-GB"/>
        </w:rPr>
        <w:t>A list of</w:t>
      </w:r>
      <w:r w:rsidR="007506B2" w:rsidRPr="00E445FA">
        <w:rPr>
          <w:rFonts w:eastAsia="Times New Roman" w:cs="Tahoma"/>
          <w:b/>
          <w:i/>
          <w:color w:val="000000"/>
          <w:lang w:eastAsia="en-GB"/>
        </w:rPr>
        <w:t xml:space="preserve"> </w:t>
      </w:r>
      <w:r w:rsidRPr="00E445FA">
        <w:rPr>
          <w:rFonts w:eastAsia="Times New Roman" w:cs="Tahoma"/>
          <w:b/>
          <w:i/>
          <w:color w:val="000000"/>
          <w:lang w:eastAsia="en-GB"/>
        </w:rPr>
        <w:t>the University’s employment-related policies and procedures</w:t>
      </w:r>
      <w:r w:rsidR="007506B2" w:rsidRPr="00E445FA">
        <w:rPr>
          <w:rFonts w:eastAsia="Times New Roman" w:cs="Tahoma"/>
          <w:b/>
          <w:i/>
          <w:color w:val="000000"/>
          <w:lang w:eastAsia="en-GB"/>
        </w:rPr>
        <w:t>, with url links</w:t>
      </w:r>
      <w:r w:rsidRPr="00E445FA">
        <w:rPr>
          <w:rFonts w:eastAsia="Times New Roman" w:cs="Tahoma"/>
          <w:b/>
          <w:i/>
          <w:color w:val="000000"/>
          <w:lang w:eastAsia="en-GB"/>
        </w:rPr>
        <w:t xml:space="preserve"> (appendix </w:t>
      </w:r>
      <w:r w:rsidR="00C228FA" w:rsidRPr="00E445FA">
        <w:rPr>
          <w:rFonts w:eastAsia="Times New Roman" w:cs="Tahoma"/>
          <w:b/>
          <w:i/>
          <w:color w:val="000000"/>
          <w:lang w:eastAsia="en-GB"/>
        </w:rPr>
        <w:t>2</w:t>
      </w:r>
      <w:r w:rsidRPr="00E445FA">
        <w:rPr>
          <w:rFonts w:eastAsia="Times New Roman" w:cs="Tahoma"/>
          <w:b/>
          <w:i/>
          <w:color w:val="000000"/>
          <w:lang w:eastAsia="en-GB"/>
        </w:rPr>
        <w:t>)</w:t>
      </w:r>
    </w:p>
    <w:p w:rsidR="00A40C6F" w:rsidRPr="00E445FA" w:rsidRDefault="00A40C6F" w:rsidP="00A40C6F">
      <w:pPr>
        <w:rPr>
          <w:rFonts w:eastAsia="Times New Roman" w:cs="Tahoma"/>
          <w:b/>
          <w:i/>
          <w:color w:val="000000"/>
          <w:lang w:eastAsia="en-GB"/>
        </w:rPr>
      </w:pPr>
    </w:p>
    <w:p w:rsidR="00351EAB" w:rsidRPr="00E445FA" w:rsidRDefault="00351EAB" w:rsidP="006601FD">
      <w:pPr>
        <w:numPr>
          <w:ilvl w:val="0"/>
          <w:numId w:val="2"/>
        </w:numPr>
        <w:spacing w:after="120"/>
        <w:contextualSpacing/>
        <w:rPr>
          <w:i/>
        </w:rPr>
      </w:pPr>
      <w:r w:rsidRPr="00E445FA">
        <w:rPr>
          <w:b/>
          <w:i/>
        </w:rPr>
        <w:lastRenderedPageBreak/>
        <w:t xml:space="preserve">Guidelines for advancing Equality and Diversity in Organizations (url links at appendix </w:t>
      </w:r>
      <w:r w:rsidR="00C228FA" w:rsidRPr="00E445FA">
        <w:rPr>
          <w:b/>
          <w:i/>
        </w:rPr>
        <w:t>2</w:t>
      </w:r>
      <w:r w:rsidRPr="00E445FA">
        <w:rPr>
          <w:b/>
          <w:i/>
        </w:rPr>
        <w:t>)</w:t>
      </w:r>
    </w:p>
    <w:p w:rsidR="00351EAB" w:rsidRPr="00351EAB" w:rsidRDefault="00351EAB" w:rsidP="006601FD">
      <w:pPr>
        <w:numPr>
          <w:ilvl w:val="0"/>
          <w:numId w:val="9"/>
        </w:numPr>
        <w:spacing w:after="120"/>
        <w:contextualSpacing/>
        <w:rPr>
          <w:rFonts w:eastAsia="Times New Roman" w:cs="Tahoma"/>
          <w:color w:val="000000"/>
          <w:lang w:eastAsia="en-GB"/>
        </w:rPr>
      </w:pPr>
      <w:r w:rsidRPr="00351EAB">
        <w:rPr>
          <w:rFonts w:eastAsia="Times New Roman" w:cs="Tahoma"/>
          <w:color w:val="000000"/>
          <w:lang w:eastAsia="en-GB"/>
        </w:rPr>
        <w:t xml:space="preserve">Equality and Human Rights Commission’s (EHRC): </w:t>
      </w:r>
      <w:r w:rsidRPr="00351EAB">
        <w:rPr>
          <w:rFonts w:eastAsia="Times New Roman" w:cs="Tahoma"/>
          <w:i/>
          <w:color w:val="000000"/>
          <w:lang w:eastAsia="en-GB"/>
        </w:rPr>
        <w:t>An employer's guide to... Creating an inclusive workplace</w:t>
      </w:r>
    </w:p>
    <w:p w:rsidR="00351EAB" w:rsidRPr="00351EAB" w:rsidRDefault="00351EAB" w:rsidP="006601FD">
      <w:pPr>
        <w:numPr>
          <w:ilvl w:val="0"/>
          <w:numId w:val="9"/>
        </w:numPr>
        <w:spacing w:after="120"/>
        <w:contextualSpacing/>
        <w:rPr>
          <w:rFonts w:eastAsia="Times New Roman" w:cs="Tahoma"/>
          <w:color w:val="000000"/>
          <w:lang w:eastAsia="en-GB"/>
        </w:rPr>
      </w:pPr>
      <w:r w:rsidRPr="00351EAB">
        <w:rPr>
          <w:rFonts w:eastAsia="Times New Roman" w:cs="Tahoma"/>
          <w:color w:val="000000"/>
          <w:lang w:eastAsia="en-GB"/>
        </w:rPr>
        <w:t xml:space="preserve">Business in the Community’s (BITC) Opportunity Now </w:t>
      </w:r>
      <w:r w:rsidRPr="00351EAB">
        <w:rPr>
          <w:rFonts w:eastAsia="Times New Roman" w:cs="Tahoma"/>
          <w:i/>
          <w:color w:val="000000"/>
          <w:lang w:eastAsia="en-GB"/>
        </w:rPr>
        <w:t>Exemplar employer best practice</w:t>
      </w:r>
    </w:p>
    <w:p w:rsidR="00351EAB" w:rsidRPr="00351EAB" w:rsidRDefault="00351EAB" w:rsidP="006601FD">
      <w:pPr>
        <w:numPr>
          <w:ilvl w:val="0"/>
          <w:numId w:val="9"/>
        </w:numPr>
        <w:spacing w:after="120"/>
        <w:contextualSpacing/>
        <w:rPr>
          <w:rFonts w:eastAsia="Times New Roman" w:cs="Tahoma"/>
          <w:color w:val="000000"/>
          <w:lang w:eastAsia="en-GB"/>
        </w:rPr>
      </w:pPr>
      <w:r w:rsidRPr="00351EAB">
        <w:rPr>
          <w:rFonts w:eastAsia="Times New Roman" w:cs="Tahoma"/>
          <w:color w:val="000000"/>
          <w:lang w:eastAsia="en-GB"/>
        </w:rPr>
        <w:t xml:space="preserve">BITC’s Race for Opportunity </w:t>
      </w:r>
      <w:r w:rsidRPr="00351EAB">
        <w:rPr>
          <w:rFonts w:eastAsia="Times New Roman" w:cs="Tahoma"/>
          <w:i/>
          <w:color w:val="000000"/>
          <w:lang w:eastAsia="en-GB"/>
        </w:rPr>
        <w:t>Getting Started with Race Diversity</w:t>
      </w:r>
    </w:p>
    <w:p w:rsidR="00351EAB" w:rsidRPr="00351EAB" w:rsidRDefault="00351EAB" w:rsidP="006601FD">
      <w:pPr>
        <w:numPr>
          <w:ilvl w:val="0"/>
          <w:numId w:val="9"/>
        </w:numPr>
        <w:spacing w:after="120"/>
        <w:ind w:left="1077" w:hanging="357"/>
        <w:rPr>
          <w:rFonts w:eastAsia="Times New Roman" w:cs="Tahoma"/>
          <w:color w:val="000000"/>
          <w:lang w:eastAsia="en-GB"/>
        </w:rPr>
      </w:pPr>
      <w:r w:rsidRPr="00351EAB">
        <w:rPr>
          <w:rFonts w:eastAsia="Times New Roman" w:cs="Tahoma"/>
          <w:color w:val="000000"/>
          <w:lang w:eastAsia="en-GB"/>
        </w:rPr>
        <w:t xml:space="preserve">Equality Challenge Unit’s (ECU) </w:t>
      </w:r>
      <w:r w:rsidRPr="00351EAB">
        <w:rPr>
          <w:rFonts w:eastAsia="Times New Roman" w:cs="Tahoma"/>
          <w:i/>
          <w:color w:val="000000"/>
          <w:lang w:eastAsia="en-GB"/>
        </w:rPr>
        <w:t>Gender equality and race equality charter marks</w:t>
      </w:r>
    </w:p>
    <w:p w:rsidR="00246EC4" w:rsidRPr="00E445FA" w:rsidRDefault="00246EC4" w:rsidP="006601FD">
      <w:pPr>
        <w:numPr>
          <w:ilvl w:val="0"/>
          <w:numId w:val="7"/>
        </w:numPr>
        <w:spacing w:after="120"/>
        <w:ind w:left="357" w:hanging="357"/>
        <w:jc w:val="both"/>
        <w:rPr>
          <w:rFonts w:eastAsia="Times New Roman" w:cs="Segoe UI"/>
          <w:b/>
          <w:i/>
          <w:lang w:eastAsia="en-GB"/>
        </w:rPr>
      </w:pPr>
      <w:r w:rsidRPr="00E445FA">
        <w:rPr>
          <w:rFonts w:eastAsia="Times New Roman" w:cs="Segoe UI"/>
          <w:b/>
          <w:i/>
          <w:lang w:eastAsia="en-GB"/>
        </w:rPr>
        <w:t>Pay Gap data</w:t>
      </w:r>
    </w:p>
    <w:p w:rsidR="007506B2" w:rsidRDefault="00351EAB" w:rsidP="006601FD">
      <w:pPr>
        <w:numPr>
          <w:ilvl w:val="1"/>
          <w:numId w:val="7"/>
        </w:numPr>
        <w:spacing w:after="120"/>
        <w:jc w:val="both"/>
        <w:rPr>
          <w:rFonts w:eastAsia="Times New Roman" w:cs="Segoe UI"/>
          <w:lang w:eastAsia="en-GB"/>
        </w:rPr>
      </w:pPr>
      <w:r w:rsidRPr="00351EAB">
        <w:rPr>
          <w:rFonts w:eastAsia="Times New Roman" w:cs="Segoe UI"/>
          <w:lang w:eastAsia="en-GB"/>
        </w:rPr>
        <w:t>The University’s equal pay audit for all staff groups (i.e. both academic and non-academic) below professorial and Grade 9 level</w:t>
      </w:r>
      <w:r w:rsidR="00602496">
        <w:rPr>
          <w:rFonts w:eastAsia="Times New Roman" w:cs="Segoe UI"/>
          <w:lang w:eastAsia="en-GB"/>
        </w:rPr>
        <w:t xml:space="preserve"> conducted in 2013 and the equal pay audit for professorial staff in 2012.</w:t>
      </w:r>
      <w:r w:rsidR="007E5391">
        <w:rPr>
          <w:rFonts w:eastAsia="Times New Roman" w:cs="Segoe UI"/>
          <w:lang w:eastAsia="en-GB"/>
        </w:rPr>
        <w:t xml:space="preserve"> </w:t>
      </w:r>
      <w:r w:rsidRPr="007E5391">
        <w:rPr>
          <w:rFonts w:eastAsia="Times New Roman" w:cs="Segoe UI"/>
          <w:lang w:eastAsia="en-GB"/>
        </w:rPr>
        <w:t xml:space="preserve">An article about, and summary report of, the University’s equal pay audit of its staff, </w:t>
      </w:r>
      <w:r w:rsidR="00E93A70" w:rsidRPr="007E5391">
        <w:rPr>
          <w:rFonts w:eastAsia="Times New Roman" w:cs="Segoe UI"/>
          <w:lang w:eastAsia="en-GB"/>
        </w:rPr>
        <w:t>w</w:t>
      </w:r>
      <w:r w:rsidRPr="007E5391">
        <w:rPr>
          <w:rFonts w:eastAsia="Times New Roman" w:cs="Segoe UI"/>
          <w:lang w:eastAsia="en-GB"/>
        </w:rPr>
        <w:t xml:space="preserve">as published on StaffNet: </w:t>
      </w:r>
      <w:hyperlink r:id="rId9" w:history="1">
        <w:r w:rsidRPr="007E5391">
          <w:rPr>
            <w:rFonts w:eastAsia="Times New Roman" w:cs="Segoe UI"/>
            <w:color w:val="0000FF"/>
            <w:u w:val="single"/>
            <w:lang w:eastAsia="en-GB"/>
          </w:rPr>
          <w:t>http://documents.manchester.ac.uk/DocuInfo.aspx?DocID=19997</w:t>
        </w:r>
      </w:hyperlink>
    </w:p>
    <w:p w:rsidR="00246EC4" w:rsidRPr="007506B2" w:rsidRDefault="007506B2" w:rsidP="006601FD">
      <w:pPr>
        <w:numPr>
          <w:ilvl w:val="1"/>
          <w:numId w:val="7"/>
        </w:numPr>
        <w:spacing w:after="120"/>
        <w:jc w:val="both"/>
        <w:rPr>
          <w:rFonts w:eastAsia="Times New Roman" w:cs="Segoe UI"/>
          <w:lang w:eastAsia="en-GB"/>
        </w:rPr>
      </w:pPr>
      <w:r>
        <w:rPr>
          <w:rFonts w:eastAsia="Times New Roman" w:cs="Tahoma"/>
          <w:color w:val="000000"/>
          <w:lang w:eastAsia="en-GB"/>
        </w:rPr>
        <w:t>HR carried out a</w:t>
      </w:r>
      <w:r w:rsidRPr="007506B2">
        <w:rPr>
          <w:rFonts w:eastAsia="Times New Roman" w:cs="Tahoma"/>
          <w:color w:val="000000"/>
          <w:lang w:eastAsia="en-GB"/>
        </w:rPr>
        <w:t xml:space="preserve">n up-to-date </w:t>
      </w:r>
      <w:r>
        <w:rPr>
          <w:rFonts w:eastAsia="Times New Roman" w:cs="Tahoma"/>
          <w:color w:val="000000"/>
          <w:lang w:eastAsia="en-GB"/>
        </w:rPr>
        <w:t xml:space="preserve">professorial pay </w:t>
      </w:r>
      <w:r w:rsidRPr="007506B2">
        <w:rPr>
          <w:rFonts w:eastAsia="Times New Roman" w:cs="Tahoma"/>
          <w:color w:val="000000"/>
          <w:lang w:eastAsia="en-GB"/>
        </w:rPr>
        <w:t>audit within Humanities as at 1 May 2014</w:t>
      </w:r>
      <w:r>
        <w:rPr>
          <w:rFonts w:eastAsia="Times New Roman" w:cs="Tahoma"/>
          <w:color w:val="000000"/>
          <w:lang w:eastAsia="en-GB"/>
        </w:rPr>
        <w:t xml:space="preserve"> for the Working Group.</w:t>
      </w:r>
      <w:r w:rsidRPr="007506B2">
        <w:rPr>
          <w:rFonts w:eastAsia="Times New Roman" w:cs="Tahoma"/>
          <w:color w:val="000000"/>
          <w:lang w:eastAsia="en-GB"/>
        </w:rPr>
        <w:t xml:space="preserve">  </w:t>
      </w:r>
    </w:p>
    <w:p w:rsidR="00351EAB" w:rsidRPr="00E445FA" w:rsidRDefault="00351EAB" w:rsidP="006601FD">
      <w:pPr>
        <w:pStyle w:val="ListParagraph"/>
        <w:numPr>
          <w:ilvl w:val="0"/>
          <w:numId w:val="7"/>
        </w:numPr>
        <w:spacing w:after="120" w:line="240" w:lineRule="auto"/>
        <w:rPr>
          <w:rFonts w:eastAsia="Times New Roman" w:cs="Tahoma"/>
          <w:b/>
          <w:i/>
          <w:color w:val="000000"/>
          <w:lang w:eastAsia="en-GB"/>
        </w:rPr>
      </w:pPr>
      <w:r w:rsidRPr="00E445FA">
        <w:rPr>
          <w:rFonts w:eastAsia="Times New Roman" w:cs="Tahoma"/>
          <w:b/>
          <w:i/>
          <w:color w:val="000000"/>
          <w:lang w:eastAsia="en-GB"/>
        </w:rPr>
        <w:t>Staff recruitment data</w:t>
      </w:r>
    </w:p>
    <w:p w:rsidR="00351EAB" w:rsidRDefault="00351EAB" w:rsidP="00351EAB">
      <w:pPr>
        <w:spacing w:after="120"/>
        <w:jc w:val="both"/>
        <w:rPr>
          <w:rFonts w:eastAsia="Times New Roman" w:cs="Segoe UI"/>
          <w:iCs/>
          <w:lang w:eastAsia="en-GB"/>
        </w:rPr>
      </w:pPr>
      <w:r w:rsidRPr="00351EAB">
        <w:rPr>
          <w:rFonts w:eastAsia="Times New Roman" w:cs="Segoe UI"/>
          <w:lang w:eastAsia="en-GB"/>
        </w:rPr>
        <w:t xml:space="preserve">HR </w:t>
      </w:r>
      <w:r w:rsidRPr="00351EAB">
        <w:rPr>
          <w:rFonts w:eastAsia="Times New Roman" w:cs="Segoe UI"/>
          <w:iCs/>
          <w:lang w:eastAsia="en-GB"/>
        </w:rPr>
        <w:t xml:space="preserve">invested in new software early in 2014 to improve reporting capability on job applicants so that granular reports could be generated that show the progress of candidates through the recruitment cycle by gender and ethnicity. </w:t>
      </w:r>
      <w:r w:rsidR="003A22D9">
        <w:rPr>
          <w:rFonts w:eastAsia="Times New Roman" w:cs="Segoe UI"/>
          <w:iCs/>
          <w:lang w:eastAsia="en-GB"/>
        </w:rPr>
        <w:t xml:space="preserve"> </w:t>
      </w:r>
      <w:r>
        <w:rPr>
          <w:rFonts w:eastAsia="Times New Roman" w:cs="Segoe UI"/>
          <w:iCs/>
          <w:lang w:eastAsia="en-GB"/>
        </w:rPr>
        <w:t>It was intended that this would</w:t>
      </w:r>
      <w:r w:rsidRPr="00351EAB">
        <w:rPr>
          <w:rFonts w:eastAsia="Times New Roman" w:cs="Segoe UI"/>
          <w:iCs/>
          <w:lang w:eastAsia="en-GB"/>
        </w:rPr>
        <w:t xml:space="preserve"> show this information by vacancy, occupational group, level and School.  Reports were produced by School/Faculty Admin</w:t>
      </w:r>
      <w:r w:rsidR="003A22D9">
        <w:rPr>
          <w:rFonts w:eastAsia="Times New Roman" w:cs="Segoe UI"/>
          <w:iCs/>
          <w:lang w:eastAsia="en-GB"/>
        </w:rPr>
        <w:t>istration</w:t>
      </w:r>
      <w:r w:rsidRPr="00351EAB">
        <w:rPr>
          <w:rFonts w:eastAsia="Times New Roman" w:cs="Segoe UI"/>
          <w:iCs/>
          <w:lang w:eastAsia="en-GB"/>
        </w:rPr>
        <w:t xml:space="preserve"> </w:t>
      </w:r>
      <w:r w:rsidR="00152562">
        <w:rPr>
          <w:rFonts w:eastAsia="Times New Roman" w:cs="Segoe UI"/>
          <w:iCs/>
          <w:lang w:eastAsia="en-GB"/>
        </w:rPr>
        <w:t xml:space="preserve">that showed </w:t>
      </w:r>
      <w:r>
        <w:rPr>
          <w:rFonts w:eastAsia="Times New Roman" w:cs="Segoe UI"/>
          <w:iCs/>
          <w:lang w:eastAsia="en-GB"/>
        </w:rPr>
        <w:t>the progress of applicants</w:t>
      </w:r>
      <w:r w:rsidRPr="00351EAB">
        <w:rPr>
          <w:rFonts w:eastAsia="Times New Roman" w:cs="Segoe UI"/>
          <w:iCs/>
          <w:lang w:eastAsia="en-GB"/>
        </w:rPr>
        <w:t xml:space="preserve"> by ethnicity and gender at application, shortlisting and appointment stages at each level</w:t>
      </w:r>
      <w:r>
        <w:rPr>
          <w:rFonts w:eastAsia="Times New Roman" w:cs="Segoe UI"/>
          <w:iCs/>
          <w:lang w:eastAsia="en-GB"/>
        </w:rPr>
        <w:t>/grade</w:t>
      </w:r>
      <w:r w:rsidRPr="00351EAB">
        <w:rPr>
          <w:rFonts w:eastAsia="Times New Roman" w:cs="Segoe UI"/>
          <w:iCs/>
          <w:lang w:eastAsia="en-GB"/>
        </w:rPr>
        <w:t xml:space="preserve">.  As the samples </w:t>
      </w:r>
      <w:r w:rsidR="003A22D9">
        <w:rPr>
          <w:rFonts w:eastAsia="Times New Roman" w:cs="Segoe UI"/>
          <w:iCs/>
          <w:lang w:eastAsia="en-GB"/>
        </w:rPr>
        <w:t xml:space="preserve">at unit level </w:t>
      </w:r>
      <w:r w:rsidRPr="00351EAB">
        <w:rPr>
          <w:rFonts w:eastAsia="Times New Roman" w:cs="Segoe UI"/>
          <w:iCs/>
          <w:lang w:eastAsia="en-GB"/>
        </w:rPr>
        <w:t>were small</w:t>
      </w:r>
      <w:r w:rsidR="003A22D9">
        <w:rPr>
          <w:rFonts w:eastAsia="Times New Roman" w:cs="Segoe UI"/>
          <w:iCs/>
          <w:lang w:eastAsia="en-GB"/>
        </w:rPr>
        <w:t>,</w:t>
      </w:r>
      <w:r w:rsidRPr="00351EAB">
        <w:rPr>
          <w:rFonts w:eastAsia="Times New Roman" w:cs="Segoe UI"/>
          <w:iCs/>
          <w:lang w:eastAsia="en-GB"/>
        </w:rPr>
        <w:t xml:space="preserve"> the data was aggregated at each level by occupational group and level across the Faculty so that the WG could consider broader trends</w:t>
      </w:r>
      <w:r w:rsidR="00BC67B8">
        <w:rPr>
          <w:rFonts w:eastAsia="Times New Roman" w:cs="Segoe UI"/>
          <w:iCs/>
          <w:lang w:eastAsia="en-GB"/>
        </w:rPr>
        <w:t xml:space="preserve"> (</w:t>
      </w:r>
      <w:r w:rsidR="00BC67B8" w:rsidRPr="003A22D9">
        <w:rPr>
          <w:rFonts w:eastAsia="Times New Roman" w:cs="Segoe UI"/>
          <w:b/>
          <w:iCs/>
          <w:lang w:eastAsia="en-GB"/>
        </w:rPr>
        <w:t>appendix</w:t>
      </w:r>
      <w:r w:rsidR="003A22D9" w:rsidRPr="003A22D9">
        <w:rPr>
          <w:rFonts w:eastAsia="Times New Roman" w:cs="Segoe UI"/>
          <w:b/>
          <w:iCs/>
          <w:lang w:eastAsia="en-GB"/>
        </w:rPr>
        <w:t xml:space="preserve"> 3</w:t>
      </w:r>
      <w:r w:rsidR="00BC67B8">
        <w:rPr>
          <w:rFonts w:eastAsia="Times New Roman" w:cs="Segoe UI"/>
          <w:iCs/>
          <w:lang w:eastAsia="en-GB"/>
        </w:rPr>
        <w:t>)</w:t>
      </w:r>
      <w:r w:rsidRPr="00351EAB">
        <w:rPr>
          <w:rFonts w:eastAsia="Times New Roman" w:cs="Segoe UI"/>
          <w:iCs/>
          <w:lang w:eastAsia="en-GB"/>
        </w:rPr>
        <w:t xml:space="preserve">.  </w:t>
      </w:r>
    </w:p>
    <w:p w:rsidR="00351EAB" w:rsidRPr="00E93A70" w:rsidRDefault="00351EAB" w:rsidP="006601FD">
      <w:pPr>
        <w:numPr>
          <w:ilvl w:val="0"/>
          <w:numId w:val="10"/>
        </w:numPr>
        <w:spacing w:after="120"/>
        <w:contextualSpacing/>
        <w:jc w:val="both"/>
        <w:rPr>
          <w:rFonts w:eastAsia="Times New Roman" w:cs="Tahoma"/>
          <w:b/>
          <w:i/>
          <w:color w:val="000000"/>
          <w:lang w:eastAsia="en-GB"/>
        </w:rPr>
      </w:pPr>
      <w:r w:rsidRPr="00E93A70">
        <w:rPr>
          <w:rFonts w:eastAsia="Times New Roman" w:cs="Tahoma"/>
          <w:b/>
          <w:i/>
          <w:color w:val="000000"/>
          <w:lang w:eastAsia="en-GB"/>
        </w:rPr>
        <w:t>Academic promotions data</w:t>
      </w:r>
    </w:p>
    <w:p w:rsidR="00351EAB" w:rsidRDefault="00351EAB" w:rsidP="00E445FA">
      <w:pPr>
        <w:spacing w:after="240"/>
        <w:jc w:val="both"/>
        <w:rPr>
          <w:rFonts w:eastAsia="Times New Roman" w:cs="Tahoma"/>
          <w:color w:val="000000"/>
          <w:lang w:eastAsia="en-GB"/>
        </w:rPr>
      </w:pPr>
      <w:r w:rsidRPr="00351EAB">
        <w:rPr>
          <w:rFonts w:eastAsia="Times New Roman" w:cs="Tahoma"/>
          <w:color w:val="000000"/>
          <w:lang w:eastAsia="en-GB"/>
        </w:rPr>
        <w:t xml:space="preserve">The summary of </w:t>
      </w:r>
      <w:r w:rsidR="00E93A70">
        <w:rPr>
          <w:rFonts w:eastAsia="Times New Roman" w:cs="Tahoma"/>
          <w:color w:val="000000"/>
          <w:lang w:eastAsia="en-GB"/>
        </w:rPr>
        <w:t xml:space="preserve">the </w:t>
      </w:r>
      <w:r w:rsidRPr="00351EAB">
        <w:rPr>
          <w:rFonts w:eastAsia="Times New Roman" w:cs="Tahoma"/>
          <w:color w:val="000000"/>
          <w:lang w:eastAsia="en-GB"/>
        </w:rPr>
        <w:t xml:space="preserve">numbers of cases </w:t>
      </w:r>
      <w:r>
        <w:rPr>
          <w:rFonts w:eastAsia="Times New Roman" w:cs="Tahoma"/>
          <w:color w:val="000000"/>
          <w:lang w:eastAsia="en-GB"/>
        </w:rPr>
        <w:t xml:space="preserve">in 2013/14 </w:t>
      </w:r>
      <w:r w:rsidRPr="00351EAB">
        <w:rPr>
          <w:rFonts w:eastAsia="Times New Roman" w:cs="Tahoma"/>
          <w:color w:val="000000"/>
          <w:lang w:eastAsia="en-GB"/>
        </w:rPr>
        <w:t xml:space="preserve">at each stage </w:t>
      </w:r>
      <w:r>
        <w:rPr>
          <w:rFonts w:eastAsia="Times New Roman" w:cs="Tahoma"/>
          <w:color w:val="000000"/>
          <w:lang w:eastAsia="en-GB"/>
        </w:rPr>
        <w:t xml:space="preserve">by gender and ethnicity was circulated to the WG on 1 July </w:t>
      </w:r>
      <w:r w:rsidR="00CD1809">
        <w:rPr>
          <w:rFonts w:eastAsia="Times New Roman" w:cs="Tahoma"/>
          <w:color w:val="000000"/>
          <w:lang w:eastAsia="en-GB"/>
        </w:rPr>
        <w:t xml:space="preserve">(see </w:t>
      </w:r>
      <w:r w:rsidR="00CD1809" w:rsidRPr="00CD1809">
        <w:rPr>
          <w:rFonts w:eastAsia="Times New Roman" w:cs="Tahoma"/>
          <w:b/>
          <w:color w:val="000000"/>
          <w:lang w:eastAsia="en-GB"/>
        </w:rPr>
        <w:t>appendix 4</w:t>
      </w:r>
      <w:r w:rsidR="00CD1809">
        <w:rPr>
          <w:rFonts w:eastAsia="Times New Roman" w:cs="Tahoma"/>
          <w:color w:val="000000"/>
          <w:lang w:eastAsia="en-GB"/>
        </w:rPr>
        <w:t xml:space="preserve">), </w:t>
      </w:r>
      <w:r w:rsidRPr="00351EAB">
        <w:rPr>
          <w:rFonts w:eastAsia="Times New Roman" w:cs="Tahoma"/>
          <w:color w:val="000000"/>
          <w:lang w:eastAsia="en-GB"/>
        </w:rPr>
        <w:t xml:space="preserve">as well as a table showing comparisons for the </w:t>
      </w:r>
      <w:r w:rsidR="00CD1809">
        <w:rPr>
          <w:rFonts w:eastAsia="Times New Roman" w:cs="Tahoma"/>
          <w:color w:val="000000"/>
          <w:lang w:eastAsia="en-GB"/>
        </w:rPr>
        <w:t>previous three years.</w:t>
      </w:r>
    </w:p>
    <w:p w:rsidR="00351EAB" w:rsidRPr="00CD1809" w:rsidRDefault="005E5412" w:rsidP="00A40116">
      <w:pPr>
        <w:tabs>
          <w:tab w:val="left" w:pos="284"/>
        </w:tabs>
        <w:spacing w:before="240" w:after="120"/>
        <w:jc w:val="both"/>
        <w:rPr>
          <w:rFonts w:eastAsia="Times New Roman" w:cs="Tahoma"/>
          <w:b/>
          <w:color w:val="000000"/>
          <w:sz w:val="24"/>
          <w:szCs w:val="24"/>
          <w:lang w:eastAsia="en-GB"/>
        </w:rPr>
      </w:pPr>
      <w:r>
        <w:rPr>
          <w:rFonts w:eastAsia="Times New Roman" w:cs="Tahoma"/>
          <w:b/>
          <w:color w:val="000000"/>
          <w:sz w:val="24"/>
          <w:szCs w:val="24"/>
          <w:lang w:eastAsia="en-GB"/>
        </w:rPr>
        <w:t>2</w:t>
      </w:r>
      <w:r w:rsidR="00351EAB" w:rsidRPr="00CD1809">
        <w:rPr>
          <w:rFonts w:eastAsia="Times New Roman" w:cs="Tahoma"/>
          <w:b/>
          <w:color w:val="000000"/>
          <w:sz w:val="24"/>
          <w:szCs w:val="24"/>
          <w:lang w:eastAsia="en-GB"/>
        </w:rPr>
        <w:t>.</w:t>
      </w:r>
      <w:r w:rsidR="00CD2A9C">
        <w:rPr>
          <w:rFonts w:eastAsia="Times New Roman" w:cs="Tahoma"/>
          <w:b/>
          <w:color w:val="000000"/>
          <w:sz w:val="24"/>
          <w:szCs w:val="24"/>
          <w:lang w:eastAsia="en-GB"/>
        </w:rPr>
        <w:t>2</w:t>
      </w:r>
      <w:r w:rsidR="00351EAB" w:rsidRPr="00CD1809">
        <w:rPr>
          <w:rFonts w:eastAsia="Times New Roman" w:cs="Tahoma"/>
          <w:b/>
          <w:color w:val="000000"/>
          <w:sz w:val="24"/>
          <w:szCs w:val="24"/>
          <w:lang w:eastAsia="en-GB"/>
        </w:rPr>
        <w:t xml:space="preserve"> Interim analysis</w:t>
      </w:r>
    </w:p>
    <w:p w:rsidR="00351EAB" w:rsidRPr="00351EAB" w:rsidRDefault="00B66054" w:rsidP="00E445FA">
      <w:pPr>
        <w:tabs>
          <w:tab w:val="left" w:pos="284"/>
        </w:tabs>
        <w:spacing w:after="240"/>
        <w:jc w:val="both"/>
        <w:rPr>
          <w:rFonts w:eastAsia="Times New Roman" w:cs="Tahoma"/>
          <w:color w:val="000000"/>
          <w:lang w:eastAsia="en-GB"/>
        </w:rPr>
      </w:pPr>
      <w:r>
        <w:rPr>
          <w:rFonts w:eastAsia="Times New Roman" w:cs="Tahoma"/>
          <w:color w:val="000000"/>
          <w:lang w:eastAsia="en-GB"/>
        </w:rPr>
        <w:t xml:space="preserve">The Working Group </w:t>
      </w:r>
      <w:r w:rsidR="00351EAB" w:rsidRPr="00351EAB">
        <w:rPr>
          <w:rFonts w:eastAsia="Times New Roman" w:cs="Tahoma"/>
          <w:color w:val="000000"/>
          <w:lang w:eastAsia="en-GB"/>
        </w:rPr>
        <w:t xml:space="preserve">used the data audit to start to identify the particular issues in relation to gender and BME inequalities at the School and Faculty PSS level, with the University policy framework as a background resource at this first step in the analysis. </w:t>
      </w:r>
      <w:r w:rsidR="00602496">
        <w:rPr>
          <w:rFonts w:eastAsia="Times New Roman" w:cs="Tahoma"/>
          <w:color w:val="000000"/>
          <w:lang w:eastAsia="en-GB"/>
        </w:rPr>
        <w:t xml:space="preserve">An </w:t>
      </w:r>
      <w:r w:rsidR="00351EAB" w:rsidRPr="00351EAB">
        <w:rPr>
          <w:rFonts w:eastAsia="Times New Roman" w:cs="Tahoma"/>
          <w:color w:val="000000"/>
          <w:lang w:eastAsia="en-GB"/>
        </w:rPr>
        <w:t xml:space="preserve">interim </w:t>
      </w:r>
      <w:r w:rsidR="00602496">
        <w:rPr>
          <w:rFonts w:eastAsia="Times New Roman" w:cs="Tahoma"/>
          <w:color w:val="000000"/>
          <w:lang w:eastAsia="en-GB"/>
        </w:rPr>
        <w:t xml:space="preserve">report was </w:t>
      </w:r>
      <w:r w:rsidR="00351EAB" w:rsidRPr="00351EAB">
        <w:rPr>
          <w:rFonts w:eastAsia="Times New Roman" w:cs="Tahoma"/>
          <w:color w:val="000000"/>
          <w:lang w:eastAsia="en-GB"/>
        </w:rPr>
        <w:t xml:space="preserve">presented in </w:t>
      </w:r>
      <w:r w:rsidR="00602496">
        <w:rPr>
          <w:rFonts w:eastAsia="Times New Roman" w:cs="Tahoma"/>
          <w:color w:val="000000"/>
          <w:lang w:eastAsia="en-GB"/>
        </w:rPr>
        <w:t>May 201</w:t>
      </w:r>
      <w:r w:rsidR="00351EAB" w:rsidRPr="00351EAB">
        <w:rPr>
          <w:rFonts w:eastAsia="Times New Roman" w:cs="Tahoma"/>
          <w:color w:val="000000"/>
          <w:lang w:eastAsia="en-GB"/>
        </w:rPr>
        <w:t>4.</w:t>
      </w:r>
    </w:p>
    <w:p w:rsidR="00351EAB" w:rsidRPr="005E5412" w:rsidRDefault="00351EAB" w:rsidP="006601FD">
      <w:pPr>
        <w:pStyle w:val="ListParagraph"/>
        <w:numPr>
          <w:ilvl w:val="1"/>
          <w:numId w:val="37"/>
        </w:numPr>
        <w:spacing w:before="240" w:after="120" w:line="240" w:lineRule="auto"/>
        <w:rPr>
          <w:rFonts w:eastAsia="Times New Roman" w:cs="Tahoma"/>
          <w:b/>
          <w:color w:val="000000"/>
          <w:sz w:val="24"/>
          <w:szCs w:val="24"/>
          <w:lang w:eastAsia="en-GB"/>
        </w:rPr>
      </w:pPr>
      <w:r w:rsidRPr="005E5412">
        <w:rPr>
          <w:rFonts w:eastAsia="Times New Roman" w:cs="Tahoma"/>
          <w:b/>
          <w:color w:val="000000"/>
          <w:sz w:val="24"/>
          <w:szCs w:val="24"/>
          <w:lang w:eastAsia="en-GB"/>
        </w:rPr>
        <w:t>Communications and consultation</w:t>
      </w:r>
    </w:p>
    <w:p w:rsidR="00351EAB" w:rsidRDefault="00351EAB" w:rsidP="00351EAB">
      <w:pPr>
        <w:tabs>
          <w:tab w:val="left" w:pos="426"/>
        </w:tabs>
        <w:spacing w:after="120"/>
        <w:jc w:val="both"/>
        <w:rPr>
          <w:rFonts w:eastAsia="Times New Roman" w:cs="Tahoma"/>
          <w:color w:val="000000"/>
          <w:lang w:eastAsia="en-GB"/>
        </w:rPr>
      </w:pPr>
      <w:r w:rsidRPr="00351EAB">
        <w:rPr>
          <w:rFonts w:eastAsia="Times New Roman" w:cs="Tahoma"/>
          <w:color w:val="000000"/>
          <w:lang w:eastAsia="en-GB"/>
        </w:rPr>
        <w:t xml:space="preserve">The WG remit and membership has been communicated within Schools by the Head of </w:t>
      </w:r>
      <w:r w:rsidRPr="00351EAB">
        <w:rPr>
          <w:rFonts w:eastAsia="Times New Roman" w:cs="Tahoma"/>
          <w:color w:val="000000"/>
          <w:lang w:eastAsia="en-GB"/>
        </w:rPr>
        <w:tab/>
        <w:t>School,</w:t>
      </w:r>
      <w:r w:rsidR="00B66054">
        <w:rPr>
          <w:rFonts w:eastAsia="Times New Roman" w:cs="Tahoma"/>
          <w:color w:val="000000"/>
          <w:lang w:eastAsia="en-GB"/>
        </w:rPr>
        <w:t xml:space="preserve"> in </w:t>
      </w:r>
      <w:r w:rsidRPr="00351EAB">
        <w:rPr>
          <w:rFonts w:eastAsia="Times New Roman" w:cs="Tahoma"/>
          <w:i/>
          <w:color w:val="000000"/>
          <w:lang w:eastAsia="en-GB"/>
        </w:rPr>
        <w:t>Humanities eNews</w:t>
      </w:r>
      <w:r w:rsidRPr="00351EAB">
        <w:rPr>
          <w:rFonts w:eastAsia="Times New Roman" w:cs="Tahoma"/>
          <w:color w:val="000000"/>
          <w:lang w:eastAsia="en-GB"/>
        </w:rPr>
        <w:t xml:space="preserve"> (no.26, April 2014)</w:t>
      </w:r>
      <w:r w:rsidR="00CD2A9C">
        <w:rPr>
          <w:rFonts w:eastAsia="Times New Roman" w:cs="Tahoma"/>
          <w:color w:val="000000"/>
          <w:lang w:eastAsia="en-GB"/>
        </w:rPr>
        <w:t>,</w:t>
      </w:r>
      <w:r w:rsidRPr="00351EAB">
        <w:rPr>
          <w:rFonts w:eastAsia="Times New Roman" w:cs="Tahoma"/>
          <w:color w:val="000000"/>
          <w:lang w:eastAsia="en-GB"/>
        </w:rPr>
        <w:t xml:space="preserve"> and as an item in the April </w:t>
      </w:r>
      <w:r w:rsidRPr="00351EAB">
        <w:rPr>
          <w:rFonts w:eastAsia="Times New Roman" w:cs="Tahoma"/>
          <w:i/>
          <w:color w:val="000000"/>
          <w:lang w:eastAsia="en-GB"/>
        </w:rPr>
        <w:t>PSS CoreMunicate</w:t>
      </w:r>
      <w:r w:rsidRPr="00351EAB">
        <w:rPr>
          <w:rFonts w:eastAsia="Times New Roman" w:cs="Tahoma"/>
          <w:color w:val="000000"/>
          <w:lang w:eastAsia="en-GB"/>
        </w:rPr>
        <w:t>.</w:t>
      </w:r>
    </w:p>
    <w:p w:rsidR="00602496" w:rsidRPr="00351EAB" w:rsidRDefault="00602496" w:rsidP="00351EAB">
      <w:pPr>
        <w:tabs>
          <w:tab w:val="left" w:pos="426"/>
        </w:tabs>
        <w:spacing w:after="120"/>
        <w:jc w:val="both"/>
        <w:rPr>
          <w:rFonts w:eastAsia="Times New Roman" w:cs="Tahoma"/>
          <w:color w:val="000000"/>
          <w:lang w:eastAsia="en-GB"/>
        </w:rPr>
      </w:pPr>
      <w:r w:rsidRPr="00602496">
        <w:rPr>
          <w:rFonts w:eastAsia="Times New Roman" w:cs="Tahoma"/>
          <w:color w:val="000000"/>
          <w:lang w:eastAsia="en-GB"/>
        </w:rPr>
        <w:t xml:space="preserve">The results from the interim report were presented to the Faculty Senior Management Team and the Heads of Schools’ leadership teams </w:t>
      </w:r>
      <w:r w:rsidR="00CD2A9C">
        <w:rPr>
          <w:rFonts w:eastAsia="Times New Roman" w:cs="Tahoma"/>
          <w:color w:val="000000"/>
          <w:lang w:eastAsia="en-GB"/>
        </w:rPr>
        <w:t xml:space="preserve">at the Faculty core brief </w:t>
      </w:r>
      <w:r w:rsidRPr="00602496">
        <w:rPr>
          <w:rFonts w:eastAsia="Times New Roman" w:cs="Tahoma"/>
          <w:color w:val="000000"/>
          <w:lang w:eastAsia="en-GB"/>
        </w:rPr>
        <w:t>in May 2014.</w:t>
      </w:r>
    </w:p>
    <w:p w:rsidR="00351EAB" w:rsidRPr="00351EAB" w:rsidRDefault="00351EAB" w:rsidP="00351EAB">
      <w:pPr>
        <w:tabs>
          <w:tab w:val="left" w:pos="426"/>
        </w:tabs>
        <w:spacing w:after="120"/>
        <w:jc w:val="both"/>
        <w:rPr>
          <w:rFonts w:eastAsia="Times New Roman" w:cs="Tahoma"/>
          <w:color w:val="000000"/>
          <w:lang w:eastAsia="en-GB"/>
        </w:rPr>
      </w:pPr>
      <w:r w:rsidRPr="00351EAB">
        <w:rPr>
          <w:rFonts w:eastAsia="Times New Roman" w:cs="Tahoma"/>
          <w:color w:val="000000"/>
          <w:lang w:eastAsia="en-GB"/>
        </w:rPr>
        <w:t>This communication, and the President’s Q&amp;A event on 1 April 2014, triggered a modest flow of email queries and suggestions, which have been handled by HR.</w:t>
      </w:r>
    </w:p>
    <w:p w:rsidR="00602496" w:rsidRPr="00602496" w:rsidRDefault="00602496" w:rsidP="00602496">
      <w:pPr>
        <w:tabs>
          <w:tab w:val="left" w:pos="426"/>
        </w:tabs>
        <w:spacing w:after="120"/>
        <w:jc w:val="both"/>
        <w:rPr>
          <w:rFonts w:eastAsia="Times New Roman" w:cs="Tahoma"/>
          <w:color w:val="000000"/>
          <w:lang w:eastAsia="en-GB"/>
        </w:rPr>
      </w:pPr>
      <w:r w:rsidRPr="00602496">
        <w:rPr>
          <w:rFonts w:eastAsia="Times New Roman" w:cs="Tahoma"/>
          <w:color w:val="000000"/>
          <w:lang w:eastAsia="en-GB"/>
        </w:rPr>
        <w:t xml:space="preserve">The working group is now developing a communications plan for: </w:t>
      </w:r>
    </w:p>
    <w:p w:rsidR="00602496" w:rsidRPr="00602496" w:rsidRDefault="00602496" w:rsidP="00602496">
      <w:pPr>
        <w:tabs>
          <w:tab w:val="left" w:pos="426"/>
        </w:tabs>
        <w:spacing w:after="120"/>
        <w:jc w:val="both"/>
        <w:rPr>
          <w:rFonts w:eastAsia="Times New Roman" w:cs="Tahoma"/>
          <w:color w:val="000000"/>
          <w:lang w:eastAsia="en-GB"/>
        </w:rPr>
      </w:pPr>
      <w:r w:rsidRPr="00602496">
        <w:rPr>
          <w:rFonts w:eastAsia="Times New Roman" w:cs="Tahoma"/>
          <w:color w:val="000000"/>
          <w:lang w:eastAsia="en-GB"/>
        </w:rPr>
        <w:lastRenderedPageBreak/>
        <w:t xml:space="preserve">(a) The results of this first stage of work, presented in this report </w:t>
      </w:r>
    </w:p>
    <w:p w:rsidR="00602496" w:rsidRPr="00602496" w:rsidRDefault="00602496" w:rsidP="00602496">
      <w:pPr>
        <w:tabs>
          <w:tab w:val="left" w:pos="426"/>
        </w:tabs>
        <w:spacing w:after="120"/>
        <w:jc w:val="both"/>
        <w:rPr>
          <w:rFonts w:eastAsia="Times New Roman" w:cs="Tahoma"/>
          <w:color w:val="000000"/>
          <w:lang w:eastAsia="en-GB"/>
        </w:rPr>
      </w:pPr>
      <w:r w:rsidRPr="00602496">
        <w:rPr>
          <w:rFonts w:eastAsia="Times New Roman" w:cs="Tahoma"/>
          <w:color w:val="000000"/>
          <w:lang w:eastAsia="en-GB"/>
        </w:rPr>
        <w:t xml:space="preserve">(b) A campaign in the Faculty to raise awareness and use of the policies we already have in place to promote Equality and Diversity (listed in appendix </w:t>
      </w:r>
      <w:r w:rsidR="00B66054">
        <w:rPr>
          <w:rFonts w:eastAsia="Times New Roman" w:cs="Tahoma"/>
          <w:color w:val="000000"/>
          <w:lang w:eastAsia="en-GB"/>
        </w:rPr>
        <w:t>2</w:t>
      </w:r>
      <w:r w:rsidRPr="00602496">
        <w:rPr>
          <w:rFonts w:eastAsia="Times New Roman" w:cs="Tahoma"/>
          <w:color w:val="000000"/>
          <w:lang w:eastAsia="en-GB"/>
        </w:rPr>
        <w:t>)</w:t>
      </w:r>
    </w:p>
    <w:p w:rsidR="00602496" w:rsidRDefault="00602496" w:rsidP="00E445FA">
      <w:pPr>
        <w:tabs>
          <w:tab w:val="left" w:pos="426"/>
        </w:tabs>
        <w:spacing w:after="240"/>
        <w:jc w:val="both"/>
        <w:rPr>
          <w:rFonts w:eastAsia="Times New Roman" w:cs="Tahoma"/>
          <w:color w:val="000000"/>
          <w:lang w:eastAsia="en-GB"/>
        </w:rPr>
      </w:pPr>
      <w:r w:rsidRPr="00602496">
        <w:rPr>
          <w:rFonts w:eastAsia="Times New Roman" w:cs="Tahoma"/>
          <w:color w:val="000000"/>
          <w:lang w:eastAsia="en-GB"/>
        </w:rPr>
        <w:t>(c) The School level action plans being developed in order to inform and engage staff in the activity being taken forward in their School</w:t>
      </w:r>
      <w:r>
        <w:rPr>
          <w:rFonts w:eastAsia="Times New Roman" w:cs="Tahoma"/>
          <w:color w:val="000000"/>
          <w:lang w:eastAsia="en-GB"/>
        </w:rPr>
        <w:t>.</w:t>
      </w:r>
    </w:p>
    <w:p w:rsidR="00BF0884" w:rsidRDefault="00BF0884" w:rsidP="00E445FA">
      <w:pPr>
        <w:tabs>
          <w:tab w:val="left" w:pos="426"/>
        </w:tabs>
        <w:spacing w:after="240"/>
        <w:jc w:val="both"/>
        <w:rPr>
          <w:rFonts w:eastAsia="Times New Roman" w:cs="Tahoma"/>
          <w:color w:val="000000"/>
          <w:lang w:eastAsia="en-GB"/>
        </w:rPr>
      </w:pPr>
      <w:r>
        <w:rPr>
          <w:rFonts w:eastAsia="Times New Roman" w:cs="Tahoma"/>
          <w:color w:val="000000"/>
          <w:lang w:eastAsia="en-GB"/>
        </w:rPr>
        <w:t xml:space="preserve">The proposal for staff consultation and engagement in Stage is presented in </w:t>
      </w:r>
      <w:r w:rsidRPr="000E0A13">
        <w:rPr>
          <w:rFonts w:eastAsia="Times New Roman" w:cs="Tahoma"/>
          <w:color w:val="000000"/>
          <w:highlight w:val="yellow"/>
          <w:lang w:eastAsia="en-GB"/>
        </w:rPr>
        <w:t xml:space="preserve">section </w:t>
      </w:r>
      <w:r w:rsidR="00C966E7">
        <w:rPr>
          <w:rFonts w:eastAsia="Times New Roman" w:cs="Tahoma"/>
          <w:color w:val="000000"/>
          <w:highlight w:val="yellow"/>
          <w:lang w:eastAsia="en-GB"/>
        </w:rPr>
        <w:t>6</w:t>
      </w:r>
      <w:r w:rsidRPr="000E0A13">
        <w:rPr>
          <w:rFonts w:eastAsia="Times New Roman" w:cs="Tahoma"/>
          <w:color w:val="000000"/>
          <w:highlight w:val="yellow"/>
          <w:lang w:eastAsia="en-GB"/>
        </w:rPr>
        <w:t>.</w:t>
      </w:r>
    </w:p>
    <w:p w:rsidR="00A40116" w:rsidRPr="00351EAB" w:rsidRDefault="00A40116" w:rsidP="00351EAB">
      <w:pPr>
        <w:tabs>
          <w:tab w:val="left" w:pos="426"/>
        </w:tabs>
        <w:spacing w:after="120"/>
        <w:jc w:val="both"/>
        <w:rPr>
          <w:rFonts w:eastAsia="Times New Roman" w:cs="Tahoma"/>
          <w:color w:val="000000"/>
          <w:lang w:eastAsia="en-GB"/>
        </w:rPr>
      </w:pPr>
    </w:p>
    <w:p w:rsidR="00351EAB" w:rsidRPr="00A40116" w:rsidRDefault="00351EAB" w:rsidP="006601FD">
      <w:pPr>
        <w:pStyle w:val="ListParagraph"/>
        <w:numPr>
          <w:ilvl w:val="0"/>
          <w:numId w:val="37"/>
        </w:numPr>
        <w:spacing w:after="120" w:line="240" w:lineRule="auto"/>
        <w:ind w:left="357" w:hanging="357"/>
        <w:contextualSpacing w:val="0"/>
        <w:rPr>
          <w:rFonts w:eastAsia="Times New Roman" w:cs="Tahoma"/>
          <w:b/>
          <w:color w:val="000000"/>
          <w:sz w:val="28"/>
          <w:szCs w:val="28"/>
          <w:lang w:eastAsia="en-GB"/>
        </w:rPr>
      </w:pPr>
      <w:r w:rsidRPr="00A40116">
        <w:rPr>
          <w:rFonts w:eastAsia="Times New Roman" w:cs="Tahoma"/>
          <w:b/>
          <w:color w:val="000000"/>
          <w:sz w:val="28"/>
          <w:szCs w:val="28"/>
          <w:lang w:eastAsia="en-GB"/>
        </w:rPr>
        <w:t xml:space="preserve">Equality and Diversity Headlines for Humanities </w:t>
      </w:r>
    </w:p>
    <w:p w:rsidR="00351EAB" w:rsidRPr="00A40116" w:rsidRDefault="003C47C7" w:rsidP="00A40116">
      <w:pPr>
        <w:spacing w:after="120" w:line="240" w:lineRule="auto"/>
        <w:jc w:val="both"/>
      </w:pPr>
      <w:r>
        <w:t xml:space="preserve">This section </w:t>
      </w:r>
      <w:r w:rsidR="00A40116" w:rsidRPr="00A40116">
        <w:t>presents</w:t>
      </w:r>
      <w:r w:rsidR="00A40116">
        <w:t xml:space="preserve"> the results of the first stage analysis</w:t>
      </w:r>
      <w:r w:rsidR="005E5412">
        <w:t xml:space="preserve"> which audits the Faculty’s gender and BME profile</w:t>
      </w:r>
      <w:r w:rsidR="00A40116">
        <w:t>.</w:t>
      </w:r>
    </w:p>
    <w:p w:rsidR="00351EAB" w:rsidRPr="00A40116" w:rsidRDefault="005E5412" w:rsidP="00A40116">
      <w:pPr>
        <w:spacing w:before="240" w:after="120"/>
        <w:jc w:val="both"/>
        <w:rPr>
          <w:b/>
          <w:sz w:val="24"/>
          <w:szCs w:val="24"/>
        </w:rPr>
      </w:pPr>
      <w:r>
        <w:rPr>
          <w:b/>
          <w:sz w:val="24"/>
          <w:szCs w:val="24"/>
        </w:rPr>
        <w:t xml:space="preserve">3.1 </w:t>
      </w:r>
      <w:r w:rsidR="00351EAB" w:rsidRPr="00A40116">
        <w:rPr>
          <w:b/>
          <w:sz w:val="24"/>
          <w:szCs w:val="24"/>
        </w:rPr>
        <w:t>Sector context</w:t>
      </w:r>
      <w:r w:rsidR="00602496" w:rsidRPr="00A40116">
        <w:rPr>
          <w:b/>
          <w:sz w:val="24"/>
          <w:szCs w:val="24"/>
        </w:rPr>
        <w:t xml:space="preserve"> and benchmarking</w:t>
      </w:r>
      <w:r w:rsidR="00F56086">
        <w:rPr>
          <w:b/>
          <w:sz w:val="24"/>
          <w:szCs w:val="24"/>
        </w:rPr>
        <w:t xml:space="preserve"> of The University of Manchester</w:t>
      </w:r>
    </w:p>
    <w:p w:rsidR="00E40CB7" w:rsidRPr="000852D0" w:rsidRDefault="00E40CB7" w:rsidP="00E40CB7">
      <w:pPr>
        <w:spacing w:after="120"/>
        <w:jc w:val="both"/>
      </w:pPr>
      <w:r w:rsidRPr="000852D0">
        <w:t xml:space="preserve">There are </w:t>
      </w:r>
      <w:r>
        <w:t xml:space="preserve">some institutional benchmarking data for the gender and BME profile of academic staff but not for the </w:t>
      </w:r>
      <w:r w:rsidRPr="000852D0">
        <w:t>gender and BME profile of PSS staff in the HEI sector.</w:t>
      </w:r>
    </w:p>
    <w:p w:rsidR="00351EAB" w:rsidRDefault="00351EAB" w:rsidP="00351EAB">
      <w:pPr>
        <w:spacing w:after="120"/>
        <w:jc w:val="both"/>
      </w:pPr>
      <w:r w:rsidRPr="00351EAB">
        <w:t>Women have increased their presence at each academic level in the sector in the UK; and by 2011/12 held 21</w:t>
      </w:r>
      <w:r w:rsidR="00C1793D">
        <w:t xml:space="preserve"> per cent</w:t>
      </w:r>
      <w:r w:rsidRPr="00351EAB">
        <w:t xml:space="preserve"> of professorial compared with 7</w:t>
      </w:r>
      <w:r w:rsidR="00C1793D">
        <w:t xml:space="preserve"> per cent</w:t>
      </w:r>
      <w:r w:rsidRPr="00351EAB">
        <w:t xml:space="preserve"> in 1994/5. Women have gained ground at the senior management positions in higher education as well, and by 2011 17</w:t>
      </w:r>
      <w:r w:rsidR="00C1793D">
        <w:t xml:space="preserve"> per cent</w:t>
      </w:r>
      <w:r w:rsidRPr="00351EAB">
        <w:t xml:space="preserve"> of vice-chancellors were women, up from 14</w:t>
      </w:r>
      <w:r w:rsidR="00C1793D">
        <w:t xml:space="preserve"> per cent</w:t>
      </w:r>
      <w:r w:rsidRPr="00351EAB">
        <w:t xml:space="preserve"> in 2007/8</w:t>
      </w:r>
      <w:r w:rsidRPr="00351EAB">
        <w:rPr>
          <w:vertAlign w:val="superscript"/>
        </w:rPr>
        <w:footnoteReference w:id="1"/>
      </w:r>
      <w:r w:rsidRPr="00351EAB">
        <w:t>. Yet this is still an under-representation given that 39</w:t>
      </w:r>
      <w:r w:rsidR="00C1793D">
        <w:t xml:space="preserve"> per cent</w:t>
      </w:r>
      <w:r w:rsidRPr="00351EAB">
        <w:t xml:space="preserve"> of all academic</w:t>
      </w:r>
      <w:r w:rsidR="009630DB">
        <w:t xml:space="preserve">s and 47% of non-professorial academics </w:t>
      </w:r>
      <w:r w:rsidRPr="00351EAB">
        <w:t>are now women; and some distance from 50/50 gender parity in the sector.</w:t>
      </w:r>
    </w:p>
    <w:p w:rsidR="00602496" w:rsidRPr="00602496" w:rsidRDefault="00602496" w:rsidP="00602496">
      <w:pPr>
        <w:spacing w:after="120"/>
        <w:jc w:val="both"/>
      </w:pPr>
      <w:r w:rsidRPr="00602496">
        <w:t>Statistics for the UK Higher Education sector indicate that some institutions have made more progress than others in closing the gender gap, and international comparisons reveal salient differences between countries even if the over-riding pictur</w:t>
      </w:r>
      <w:r w:rsidR="009630DB">
        <w:t>e is still one of women’s under</w:t>
      </w:r>
      <w:r w:rsidRPr="00602496">
        <w:t>representation in academic life</w:t>
      </w:r>
      <w:r w:rsidRPr="00602496">
        <w:rPr>
          <w:vertAlign w:val="superscript"/>
        </w:rPr>
        <w:footnoteReference w:id="2"/>
      </w:r>
      <w:r w:rsidRPr="00602496">
        <w:t>.</w:t>
      </w:r>
    </w:p>
    <w:p w:rsidR="009630DB" w:rsidRDefault="00FD480E" w:rsidP="000852D0">
      <w:pPr>
        <w:spacing w:after="120"/>
        <w:jc w:val="both"/>
      </w:pPr>
      <w:r>
        <w:t>BME</w:t>
      </w:r>
      <w:r w:rsidR="009630DB">
        <w:t xml:space="preserve"> people</w:t>
      </w:r>
      <w:r>
        <w:t xml:space="preserve"> are under-represented</w:t>
      </w:r>
      <w:r w:rsidR="009630DB">
        <w:t xml:space="preserve"> as well</w:t>
      </w:r>
      <w:r>
        <w:t>; across the sector they hold 13% of non-professorial positions but only 7.3% of professorial ones</w:t>
      </w:r>
      <w:r w:rsidR="009630DB">
        <w:t xml:space="preserve"> (Box 3)</w:t>
      </w:r>
      <w:r>
        <w:t xml:space="preserve">. </w:t>
      </w:r>
    </w:p>
    <w:p w:rsidR="009D181F" w:rsidRDefault="00FD480E" w:rsidP="009D181F">
      <w:pPr>
        <w:spacing w:after="120"/>
        <w:jc w:val="both"/>
      </w:pPr>
      <w:r>
        <w:t>In the sector’s JNCHES negotiating guidelines for equal pay a pay gap greater than 5% is considered significant</w:t>
      </w:r>
      <w:r>
        <w:rPr>
          <w:rStyle w:val="FootnoteReference"/>
        </w:rPr>
        <w:footnoteReference w:id="3"/>
      </w:r>
      <w:r>
        <w:t>.</w:t>
      </w:r>
      <w:r w:rsidRPr="00FD480E">
        <w:rPr>
          <w:rFonts w:cs="DIN-MediumAlternate"/>
          <w:sz w:val="18"/>
          <w:szCs w:val="18"/>
        </w:rPr>
        <w:t xml:space="preserve"> </w:t>
      </w:r>
      <w:r>
        <w:t xml:space="preserve">Among professors, the pay gap between BME and White staff is even higher than the gender pay gap, and both exceed this 5% threshold (Box 3). </w:t>
      </w:r>
    </w:p>
    <w:p w:rsidR="00142989" w:rsidRDefault="00BF0884" w:rsidP="000852D0">
      <w:pPr>
        <w:spacing w:after="120"/>
        <w:jc w:val="both"/>
      </w:pPr>
      <w:r>
        <w:t>An analysis of the gender pay gap for 2011/12 provides a comparison for The University of Manchester against the sector average (Box 4). There is no comparable data available to benchmark performance for the White:BME pay gap among academics.</w:t>
      </w:r>
    </w:p>
    <w:p w:rsidR="00BF0884" w:rsidRDefault="00BF0884">
      <w:r>
        <w:br w:type="page"/>
      </w:r>
    </w:p>
    <w:p w:rsidR="00BF0884" w:rsidRDefault="00BF0884" w:rsidP="000852D0">
      <w:pPr>
        <w:spacing w:after="120"/>
        <w:jc w:val="both"/>
      </w:pPr>
    </w:p>
    <w:p w:rsidR="00FD480E" w:rsidRPr="00E40CB7" w:rsidRDefault="00E40CB7" w:rsidP="00A32616">
      <w:pPr>
        <w:pBdr>
          <w:top w:val="single" w:sz="4" w:space="1" w:color="auto" w:shadow="1"/>
          <w:left w:val="single" w:sz="4" w:space="4" w:color="auto" w:shadow="1"/>
          <w:bottom w:val="single" w:sz="4" w:space="1" w:color="auto" w:shadow="1"/>
          <w:right w:val="single" w:sz="4" w:space="4" w:color="auto" w:shadow="1"/>
        </w:pBdr>
        <w:spacing w:after="120"/>
        <w:jc w:val="center"/>
        <w:rPr>
          <w:b/>
          <w:sz w:val="24"/>
          <w:szCs w:val="24"/>
        </w:rPr>
      </w:pPr>
      <w:r w:rsidRPr="00E40CB7">
        <w:rPr>
          <w:b/>
          <w:sz w:val="24"/>
          <w:szCs w:val="24"/>
        </w:rPr>
        <w:t>Box 3. Gender and BME under-representation in the Higher Education Institutes (HEIs) of the UK</w:t>
      </w:r>
    </w:p>
    <w:p w:rsidR="00E40CB7" w:rsidRDefault="00E40CB7" w:rsidP="006601FD">
      <w:pPr>
        <w:pStyle w:val="ListParagraph"/>
        <w:numPr>
          <w:ilvl w:val="0"/>
          <w:numId w:val="42"/>
        </w:numPr>
        <w:pBdr>
          <w:top w:val="single" w:sz="4" w:space="1" w:color="auto" w:shadow="1"/>
          <w:left w:val="single" w:sz="4" w:space="4" w:color="auto" w:shadow="1"/>
          <w:bottom w:val="single" w:sz="4" w:space="1" w:color="auto" w:shadow="1"/>
          <w:right w:val="single" w:sz="4" w:space="4" w:color="auto" w:shadow="1"/>
        </w:pBdr>
        <w:spacing w:after="120"/>
        <w:jc w:val="both"/>
      </w:pPr>
      <w:r>
        <w:t>BME staff hold 13% of non-professorial positions and 7.3% of professorial positions in the UK’s HEIs</w:t>
      </w:r>
    </w:p>
    <w:p w:rsidR="00E40CB7" w:rsidRDefault="00E40CB7" w:rsidP="006601FD">
      <w:pPr>
        <w:pStyle w:val="ListParagraph"/>
        <w:numPr>
          <w:ilvl w:val="0"/>
          <w:numId w:val="42"/>
        </w:numPr>
        <w:pBdr>
          <w:top w:val="single" w:sz="4" w:space="1" w:color="auto" w:shadow="1"/>
          <w:left w:val="single" w:sz="4" w:space="4" w:color="auto" w:shadow="1"/>
          <w:bottom w:val="single" w:sz="4" w:space="1" w:color="auto" w:shadow="1"/>
          <w:right w:val="single" w:sz="4" w:space="4" w:color="auto" w:shadow="1"/>
        </w:pBdr>
        <w:spacing w:after="120"/>
        <w:jc w:val="both"/>
      </w:pPr>
      <w:r>
        <w:t>Women hold 46.8% of non-professorial positions and 19.8% of professorial positions</w:t>
      </w:r>
    </w:p>
    <w:p w:rsidR="00E40CB7" w:rsidRDefault="00E40CB7" w:rsidP="006601FD">
      <w:pPr>
        <w:pStyle w:val="ListParagraph"/>
        <w:numPr>
          <w:ilvl w:val="0"/>
          <w:numId w:val="42"/>
        </w:numPr>
        <w:pBdr>
          <w:top w:val="single" w:sz="4" w:space="1" w:color="auto" w:shadow="1"/>
          <w:left w:val="single" w:sz="4" w:space="4" w:color="auto" w:shadow="1"/>
          <w:bottom w:val="single" w:sz="4" w:space="1" w:color="auto" w:shadow="1"/>
          <w:right w:val="single" w:sz="4" w:space="4" w:color="auto" w:shadow="1"/>
        </w:pBdr>
        <w:spacing w:after="120"/>
        <w:jc w:val="both"/>
      </w:pPr>
      <w:r>
        <w:t>On average, BME professors earn 9.4% less than their white counterparts</w:t>
      </w:r>
    </w:p>
    <w:p w:rsidR="00E40CB7" w:rsidRDefault="00E40CB7" w:rsidP="006601FD">
      <w:pPr>
        <w:pStyle w:val="ListParagraph"/>
        <w:numPr>
          <w:ilvl w:val="0"/>
          <w:numId w:val="42"/>
        </w:numPr>
        <w:pBdr>
          <w:top w:val="single" w:sz="4" w:space="1" w:color="auto" w:shadow="1"/>
          <w:left w:val="single" w:sz="4" w:space="4" w:color="auto" w:shadow="1"/>
          <w:bottom w:val="single" w:sz="4" w:space="1" w:color="auto" w:shadow="1"/>
          <w:right w:val="single" w:sz="4" w:space="4" w:color="auto" w:shadow="1"/>
        </w:pBdr>
        <w:spacing w:after="120"/>
        <w:jc w:val="both"/>
      </w:pPr>
      <w:r>
        <w:t>On average, female professors earn 6.3% less than their white counterparts</w:t>
      </w:r>
    </w:p>
    <w:p w:rsidR="00E40CB7" w:rsidRDefault="00E40CB7" w:rsidP="006601FD">
      <w:pPr>
        <w:pStyle w:val="ListParagraph"/>
        <w:numPr>
          <w:ilvl w:val="0"/>
          <w:numId w:val="42"/>
        </w:numPr>
        <w:pBdr>
          <w:top w:val="single" w:sz="4" w:space="1" w:color="auto" w:shadow="1"/>
          <w:left w:val="single" w:sz="4" w:space="4" w:color="auto" w:shadow="1"/>
          <w:bottom w:val="single" w:sz="4" w:space="1" w:color="auto" w:shadow="1"/>
          <w:right w:val="single" w:sz="4" w:space="4" w:color="auto" w:shadow="1"/>
        </w:pBdr>
        <w:spacing w:after="120"/>
        <w:jc w:val="both"/>
      </w:pPr>
      <w:r>
        <w:t>At the current pace of change it is estimated that it will take 38.8 years for women to be represented at the same proportion at professorial level as they are at on-professorial level; for BME staff it will take 15.8 years</w:t>
      </w:r>
    </w:p>
    <w:p w:rsidR="00E40CB7" w:rsidRPr="00E40CB7" w:rsidRDefault="00E40CB7" w:rsidP="00A32616">
      <w:pPr>
        <w:pBdr>
          <w:top w:val="single" w:sz="4" w:space="1" w:color="auto" w:shadow="1"/>
          <w:left w:val="single" w:sz="4" w:space="4" w:color="auto" w:shadow="1"/>
          <w:bottom w:val="single" w:sz="4" w:space="1" w:color="auto" w:shadow="1"/>
          <w:right w:val="single" w:sz="4" w:space="4" w:color="auto" w:shadow="1"/>
        </w:pBdr>
        <w:spacing w:after="240"/>
        <w:jc w:val="both"/>
        <w:rPr>
          <w:i/>
          <w:sz w:val="20"/>
          <w:szCs w:val="20"/>
        </w:rPr>
      </w:pPr>
      <w:r w:rsidRPr="00E40CB7">
        <w:rPr>
          <w:i/>
          <w:sz w:val="20"/>
          <w:szCs w:val="20"/>
        </w:rPr>
        <w:t>Source: University and College Union (2012) ‘The position of women and BME staff in professional roles in HEIs in the UK, calculations based on HESA staff records 2010/11</w:t>
      </w:r>
    </w:p>
    <w:p w:rsidR="005474BC" w:rsidRDefault="005474BC" w:rsidP="000852D0">
      <w:pPr>
        <w:spacing w:after="120"/>
        <w:jc w:val="both"/>
      </w:pPr>
    </w:p>
    <w:p w:rsidR="009D181F" w:rsidRPr="00744B05" w:rsidRDefault="009D181F" w:rsidP="00A32616">
      <w:pPr>
        <w:pBdr>
          <w:top w:val="single" w:sz="4" w:space="1" w:color="auto" w:shadow="1"/>
          <w:left w:val="single" w:sz="4" w:space="4" w:color="auto" w:shadow="1"/>
          <w:bottom w:val="single" w:sz="4" w:space="1" w:color="auto" w:shadow="1"/>
          <w:right w:val="single" w:sz="4" w:space="4" w:color="auto" w:shadow="1"/>
        </w:pBdr>
        <w:spacing w:after="120"/>
        <w:jc w:val="center"/>
        <w:rPr>
          <w:b/>
          <w:sz w:val="24"/>
          <w:szCs w:val="24"/>
        </w:rPr>
      </w:pPr>
      <w:r w:rsidRPr="00744B05">
        <w:rPr>
          <w:b/>
          <w:sz w:val="24"/>
          <w:szCs w:val="24"/>
        </w:rPr>
        <w:t>Box 4. Benchmarking the gender pay gap for The University of Manchester against the UK HEI sector average, 2011-12</w:t>
      </w:r>
    </w:p>
    <w:p w:rsidR="009D181F" w:rsidRDefault="009D181F" w:rsidP="006601FD">
      <w:pPr>
        <w:pStyle w:val="ListParagraph"/>
        <w:numPr>
          <w:ilvl w:val="0"/>
          <w:numId w:val="41"/>
        </w:numPr>
        <w:pBdr>
          <w:top w:val="single" w:sz="4" w:space="1" w:color="auto" w:shadow="1"/>
          <w:left w:val="single" w:sz="4" w:space="4" w:color="auto" w:shadow="1"/>
          <w:bottom w:val="single" w:sz="4" w:space="1" w:color="auto" w:shadow="1"/>
          <w:right w:val="single" w:sz="4" w:space="4" w:color="auto" w:shadow="1"/>
        </w:pBdr>
        <w:spacing w:after="120"/>
        <w:jc w:val="both"/>
      </w:pPr>
      <w:r>
        <w:t>The average gender pay gap for all full-time academics in the UK’s Higher Education Sector was 12% for all full-time academics, 5.3% for non-professorial full-time academics and 6.2% for professors.</w:t>
      </w:r>
    </w:p>
    <w:p w:rsidR="009D181F" w:rsidRDefault="009D181F" w:rsidP="006601FD">
      <w:pPr>
        <w:pStyle w:val="ListParagraph"/>
        <w:numPr>
          <w:ilvl w:val="0"/>
          <w:numId w:val="41"/>
        </w:numPr>
        <w:pBdr>
          <w:top w:val="single" w:sz="4" w:space="1" w:color="auto" w:shadow="1"/>
          <w:left w:val="single" w:sz="4" w:space="4" w:color="auto" w:shadow="1"/>
          <w:bottom w:val="single" w:sz="4" w:space="1" w:color="auto" w:shadow="1"/>
          <w:right w:val="single" w:sz="4" w:space="4" w:color="auto" w:shadow="1"/>
        </w:pBdr>
        <w:spacing w:after="120"/>
        <w:jc w:val="both"/>
      </w:pPr>
      <w:r>
        <w:t>The comparable gender pay gap figures for The University of Manchester were slightly wider than the sector average</w:t>
      </w:r>
      <w:r w:rsidR="006043FC">
        <w:t xml:space="preserve"> for all full-time and non-professorial staff but similar for professorial staff</w:t>
      </w:r>
      <w:r>
        <w:t>:  15.9% for all full-time academics, 6.1% for non-professorial full-time academics and 6.3% for professorial staff.</w:t>
      </w:r>
    </w:p>
    <w:p w:rsidR="00744B05" w:rsidRDefault="00744B05" w:rsidP="006601FD">
      <w:pPr>
        <w:pStyle w:val="ListParagraph"/>
        <w:numPr>
          <w:ilvl w:val="0"/>
          <w:numId w:val="41"/>
        </w:numPr>
        <w:pBdr>
          <w:top w:val="single" w:sz="4" w:space="1" w:color="auto" w:shadow="1"/>
          <w:left w:val="single" w:sz="4" w:space="4" w:color="auto" w:shadow="1"/>
          <w:bottom w:val="single" w:sz="4" w:space="1" w:color="auto" w:shadow="1"/>
          <w:right w:val="single" w:sz="4" w:space="4" w:color="auto" w:shadow="1"/>
        </w:pBdr>
        <w:spacing w:after="120"/>
        <w:jc w:val="both"/>
      </w:pPr>
      <w:r>
        <w:t>Ranking the 15 Russell Group Universities for which data were available according to which had the smallest gender pay gap The University of Manchester ranked 5</w:t>
      </w:r>
      <w:r w:rsidRPr="00744B05">
        <w:rPr>
          <w:vertAlign w:val="superscript"/>
        </w:rPr>
        <w:t>th</w:t>
      </w:r>
      <w:r>
        <w:t xml:space="preserve"> for the average gender pay gap for all full-time academic staff, equal 7</w:t>
      </w:r>
      <w:r w:rsidRPr="00744B05">
        <w:rPr>
          <w:vertAlign w:val="superscript"/>
        </w:rPr>
        <w:t>th</w:t>
      </w:r>
      <w:r>
        <w:t xml:space="preserve"> for non-professorial staff and 9</w:t>
      </w:r>
      <w:r w:rsidRPr="00744B05">
        <w:rPr>
          <w:vertAlign w:val="superscript"/>
        </w:rPr>
        <w:t>th</w:t>
      </w:r>
      <w:r>
        <w:t xml:space="preserve"> for professorial staff. </w:t>
      </w:r>
    </w:p>
    <w:p w:rsidR="00744B05" w:rsidRDefault="00744B05" w:rsidP="00A32616">
      <w:pPr>
        <w:pBdr>
          <w:top w:val="single" w:sz="4" w:space="1" w:color="auto" w:shadow="1"/>
          <w:left w:val="single" w:sz="4" w:space="4" w:color="auto" w:shadow="1"/>
          <w:bottom w:val="single" w:sz="4" w:space="1" w:color="auto" w:shadow="1"/>
          <w:right w:val="single" w:sz="4" w:space="4" w:color="auto" w:shadow="1"/>
        </w:pBdr>
        <w:spacing w:after="120"/>
        <w:jc w:val="both"/>
      </w:pPr>
      <w:r>
        <w:t>Note: This excludes some institutions which refused to provide the data.</w:t>
      </w:r>
    </w:p>
    <w:p w:rsidR="009D181F" w:rsidRPr="00744B05" w:rsidRDefault="00744B05" w:rsidP="00A32616">
      <w:pPr>
        <w:pBdr>
          <w:top w:val="single" w:sz="4" w:space="1" w:color="auto" w:shadow="1"/>
          <w:left w:val="single" w:sz="4" w:space="4" w:color="auto" w:shadow="1"/>
          <w:bottom w:val="single" w:sz="4" w:space="1" w:color="auto" w:shadow="1"/>
          <w:right w:val="single" w:sz="4" w:space="4" w:color="auto" w:shadow="1"/>
        </w:pBdr>
        <w:spacing w:after="240"/>
        <w:jc w:val="both"/>
        <w:rPr>
          <w:sz w:val="20"/>
          <w:szCs w:val="20"/>
        </w:rPr>
      </w:pPr>
      <w:r w:rsidRPr="00744B05">
        <w:rPr>
          <w:i/>
          <w:sz w:val="20"/>
          <w:szCs w:val="20"/>
        </w:rPr>
        <w:t>Source: The Times Higher Education, March 28</w:t>
      </w:r>
      <w:r w:rsidRPr="00744B05">
        <w:rPr>
          <w:i/>
          <w:sz w:val="20"/>
          <w:szCs w:val="20"/>
          <w:vertAlign w:val="superscript"/>
        </w:rPr>
        <w:t>th</w:t>
      </w:r>
      <w:r w:rsidRPr="00744B05">
        <w:rPr>
          <w:i/>
          <w:sz w:val="20"/>
          <w:szCs w:val="20"/>
        </w:rPr>
        <w:t xml:space="preserve"> 2013</w:t>
      </w:r>
      <w:r w:rsidRPr="00744B05">
        <w:rPr>
          <w:sz w:val="20"/>
          <w:szCs w:val="20"/>
        </w:rPr>
        <w:t>.</w:t>
      </w:r>
    </w:p>
    <w:p w:rsidR="00BF0884" w:rsidRDefault="00BF0884" w:rsidP="00E40CB7">
      <w:pPr>
        <w:spacing w:before="120" w:after="120"/>
        <w:jc w:val="both"/>
      </w:pPr>
    </w:p>
    <w:p w:rsidR="00BF0884" w:rsidRDefault="00BF0884">
      <w:r>
        <w:br w:type="page"/>
      </w:r>
    </w:p>
    <w:p w:rsidR="00351EAB" w:rsidRPr="00351EAB" w:rsidRDefault="00351EAB" w:rsidP="00E40CB7">
      <w:pPr>
        <w:spacing w:before="120" w:after="120"/>
        <w:jc w:val="both"/>
      </w:pPr>
      <w:r w:rsidRPr="00351EAB">
        <w:lastRenderedPageBreak/>
        <w:t>Research on organisational diversity identifies how organisational policies and practices (‘structure’) interact with organisational culture (normative expectations about behaviour; attitudes and stereotypes) and the size and shape of the recruitment pool (the ambitions, aspirations and skills of the ‘pipeline’) to obstruct or promote workforce diversity</w:t>
      </w:r>
      <w:r w:rsidRPr="00351EAB">
        <w:rPr>
          <w:vertAlign w:val="superscript"/>
        </w:rPr>
        <w:footnoteReference w:id="4"/>
      </w:r>
      <w:r w:rsidRPr="00351EAB">
        <w:t>.</w:t>
      </w:r>
    </w:p>
    <w:p w:rsidR="00EA0050" w:rsidRDefault="00351EAB" w:rsidP="00A40116">
      <w:pPr>
        <w:spacing w:after="120"/>
        <w:jc w:val="both"/>
        <w:rPr>
          <w:rFonts w:eastAsia="SimSun" w:cs="Arial"/>
          <w:lang w:eastAsia="zh-CN"/>
        </w:rPr>
      </w:pPr>
      <w:r w:rsidRPr="00351EAB">
        <w:rPr>
          <w:rFonts w:eastAsia="SimSun" w:cs="Arial"/>
          <w:lang w:eastAsia="zh-CN"/>
        </w:rPr>
        <w:t xml:space="preserve">This variation is evident </w:t>
      </w:r>
      <w:r w:rsidR="00EA0050">
        <w:rPr>
          <w:rFonts w:eastAsia="SimSun" w:cs="Arial"/>
          <w:lang w:eastAsia="zh-CN"/>
        </w:rPr>
        <w:t xml:space="preserve">among academic staff </w:t>
      </w:r>
      <w:r w:rsidRPr="00351EAB">
        <w:rPr>
          <w:rFonts w:eastAsia="SimSun" w:cs="Arial"/>
          <w:lang w:eastAsia="zh-CN"/>
        </w:rPr>
        <w:t>within The University of Manchester</w:t>
      </w:r>
      <w:r w:rsidR="00EA0050">
        <w:rPr>
          <w:rFonts w:eastAsia="SimSun" w:cs="Arial"/>
          <w:lang w:eastAsia="zh-CN"/>
        </w:rPr>
        <w:t xml:space="preserve">: </w:t>
      </w:r>
    </w:p>
    <w:p w:rsidR="00EA0050" w:rsidRDefault="00EA0050" w:rsidP="006601FD">
      <w:pPr>
        <w:pStyle w:val="ListParagraph"/>
        <w:numPr>
          <w:ilvl w:val="0"/>
          <w:numId w:val="40"/>
        </w:numPr>
        <w:spacing w:after="120"/>
        <w:jc w:val="both"/>
        <w:rPr>
          <w:rFonts w:eastAsia="SimSun" w:cs="Arial"/>
          <w:lang w:eastAsia="zh-CN"/>
        </w:rPr>
      </w:pPr>
      <w:r>
        <w:rPr>
          <w:rFonts w:eastAsia="SimSun" w:cs="Arial"/>
          <w:lang w:eastAsia="zh-CN"/>
        </w:rPr>
        <w:t>O</w:t>
      </w:r>
      <w:r w:rsidR="00351EAB" w:rsidRPr="00EA0050">
        <w:rPr>
          <w:rFonts w:eastAsia="SimSun" w:cs="Arial"/>
          <w:lang w:eastAsia="zh-CN"/>
        </w:rPr>
        <w:t>verall 22</w:t>
      </w:r>
      <w:r w:rsidR="00C1793D" w:rsidRPr="00EA0050">
        <w:rPr>
          <w:rFonts w:eastAsia="SimSun" w:cs="Arial"/>
          <w:lang w:eastAsia="zh-CN"/>
        </w:rPr>
        <w:t xml:space="preserve"> per cent</w:t>
      </w:r>
      <w:r w:rsidR="00351EAB" w:rsidRPr="00EA0050">
        <w:rPr>
          <w:rFonts w:eastAsia="SimSun" w:cs="Arial"/>
          <w:lang w:eastAsia="zh-CN"/>
        </w:rPr>
        <w:t xml:space="preserve"> of professors are women (slightly better than the 19</w:t>
      </w:r>
      <w:r w:rsidR="00C1793D" w:rsidRPr="00EA0050">
        <w:rPr>
          <w:rFonts w:eastAsia="SimSun" w:cs="Arial"/>
          <w:lang w:eastAsia="zh-CN"/>
        </w:rPr>
        <w:t xml:space="preserve"> per cent</w:t>
      </w:r>
      <w:r w:rsidR="00351EAB" w:rsidRPr="00EA0050">
        <w:rPr>
          <w:rFonts w:eastAsia="SimSun" w:cs="Arial"/>
          <w:lang w:eastAsia="zh-CN"/>
        </w:rPr>
        <w:t xml:space="preserve"> average for the Russell Group), but the rate is somewhat higher, at 2</w:t>
      </w:r>
      <w:r w:rsidR="00C228FA" w:rsidRPr="00EA0050">
        <w:rPr>
          <w:rFonts w:eastAsia="SimSun" w:cs="Arial"/>
          <w:lang w:eastAsia="zh-CN"/>
        </w:rPr>
        <w:t>9</w:t>
      </w:r>
      <w:r w:rsidR="00C1793D" w:rsidRPr="00EA0050">
        <w:rPr>
          <w:rFonts w:eastAsia="SimSun" w:cs="Arial"/>
          <w:lang w:eastAsia="zh-CN"/>
        </w:rPr>
        <w:t xml:space="preserve"> per cent</w:t>
      </w:r>
      <w:r w:rsidR="00351EAB" w:rsidRPr="00EA0050">
        <w:rPr>
          <w:rFonts w:eastAsia="SimSun" w:cs="Arial"/>
          <w:lang w:eastAsia="zh-CN"/>
        </w:rPr>
        <w:t xml:space="preserve">, in the Faculty of Humanities. </w:t>
      </w:r>
    </w:p>
    <w:p w:rsidR="00EA0050" w:rsidRDefault="00351EAB" w:rsidP="006601FD">
      <w:pPr>
        <w:pStyle w:val="ListParagraph"/>
        <w:numPr>
          <w:ilvl w:val="0"/>
          <w:numId w:val="40"/>
        </w:numPr>
        <w:spacing w:after="120"/>
        <w:jc w:val="both"/>
        <w:rPr>
          <w:rFonts w:eastAsia="SimSun" w:cs="Arial"/>
          <w:lang w:eastAsia="zh-CN"/>
        </w:rPr>
      </w:pPr>
      <w:r w:rsidRPr="00EA0050">
        <w:rPr>
          <w:rFonts w:eastAsia="SimSun" w:cs="Arial"/>
          <w:lang w:eastAsia="zh-CN"/>
        </w:rPr>
        <w:t>Similarly 8</w:t>
      </w:r>
      <w:r w:rsidR="00991DAD" w:rsidRPr="00EA0050">
        <w:rPr>
          <w:rFonts w:eastAsia="SimSun" w:cs="Arial"/>
          <w:lang w:eastAsia="zh-CN"/>
        </w:rPr>
        <w:t xml:space="preserve"> </w:t>
      </w:r>
      <w:r w:rsidR="00C1793D" w:rsidRPr="00EA0050">
        <w:rPr>
          <w:rFonts w:eastAsia="SimSun" w:cs="Arial"/>
          <w:lang w:eastAsia="zh-CN"/>
        </w:rPr>
        <w:t>p</w:t>
      </w:r>
      <w:r w:rsidR="00991DAD" w:rsidRPr="00EA0050">
        <w:rPr>
          <w:rFonts w:eastAsia="SimSun" w:cs="Arial"/>
          <w:lang w:eastAsia="zh-CN"/>
        </w:rPr>
        <w:t>e</w:t>
      </w:r>
      <w:r w:rsidR="00C1793D" w:rsidRPr="00EA0050">
        <w:rPr>
          <w:rFonts w:eastAsia="SimSun" w:cs="Arial"/>
          <w:lang w:eastAsia="zh-CN"/>
        </w:rPr>
        <w:t>r cent</w:t>
      </w:r>
      <w:r w:rsidRPr="00EA0050">
        <w:rPr>
          <w:rFonts w:eastAsia="SimSun" w:cs="Arial"/>
          <w:lang w:eastAsia="zh-CN"/>
        </w:rPr>
        <w:t xml:space="preserve"> of Manchester professoriate are BME status (compared to the 7</w:t>
      </w:r>
      <w:r w:rsidR="00C1793D" w:rsidRPr="00EA0050">
        <w:rPr>
          <w:rFonts w:eastAsia="SimSun" w:cs="Arial"/>
          <w:lang w:eastAsia="zh-CN"/>
        </w:rPr>
        <w:t xml:space="preserve"> per cent</w:t>
      </w:r>
      <w:r w:rsidRPr="00EA0050">
        <w:rPr>
          <w:rFonts w:eastAsia="SimSun" w:cs="Arial"/>
          <w:lang w:eastAsia="zh-CN"/>
        </w:rPr>
        <w:t xml:space="preserve"> average for the Russell Group), while the figure for Humanities is 10</w:t>
      </w:r>
      <w:r w:rsidR="00C1793D" w:rsidRPr="00EA0050">
        <w:rPr>
          <w:rFonts w:eastAsia="SimSun" w:cs="Arial"/>
          <w:lang w:eastAsia="zh-CN"/>
        </w:rPr>
        <w:t xml:space="preserve"> per cent</w:t>
      </w:r>
      <w:r w:rsidRPr="00EA0050">
        <w:rPr>
          <w:rFonts w:eastAsia="SimSun" w:cs="Arial"/>
          <w:lang w:eastAsia="zh-CN"/>
        </w:rPr>
        <w:t xml:space="preserve">. </w:t>
      </w:r>
    </w:p>
    <w:p w:rsidR="00A40116" w:rsidRPr="00EA0050" w:rsidRDefault="00351EAB" w:rsidP="00EA0050">
      <w:pPr>
        <w:spacing w:after="120"/>
        <w:jc w:val="both"/>
        <w:rPr>
          <w:rFonts w:eastAsia="SimSun" w:cs="Arial"/>
          <w:lang w:eastAsia="zh-CN"/>
        </w:rPr>
      </w:pPr>
      <w:r w:rsidRPr="00EA0050">
        <w:rPr>
          <w:rFonts w:eastAsia="SimSun" w:cs="Arial"/>
          <w:lang w:eastAsia="zh-CN"/>
        </w:rPr>
        <w:t>Our analysis within the Faculty has revealed further variation, which underscores the importance of combining effective organisational-wide policies with local focus for policy design and evaluation.</w:t>
      </w:r>
    </w:p>
    <w:p w:rsidR="00351EAB" w:rsidRPr="00A40116" w:rsidRDefault="00FC4BEA" w:rsidP="00A40116">
      <w:pPr>
        <w:spacing w:before="240" w:after="120"/>
        <w:rPr>
          <w:rFonts w:eastAsia="Times New Roman" w:cs="Tahoma"/>
          <w:b/>
          <w:color w:val="000000"/>
          <w:sz w:val="24"/>
          <w:szCs w:val="24"/>
          <w:lang w:eastAsia="en-GB"/>
        </w:rPr>
      </w:pPr>
      <w:r>
        <w:rPr>
          <w:rFonts w:eastAsia="Times New Roman" w:cs="Tahoma"/>
          <w:b/>
          <w:color w:val="000000"/>
          <w:sz w:val="24"/>
          <w:szCs w:val="24"/>
          <w:lang w:eastAsia="en-GB"/>
        </w:rPr>
        <w:t>3</w:t>
      </w:r>
      <w:r w:rsidR="00351EAB" w:rsidRPr="00A40116">
        <w:rPr>
          <w:rFonts w:eastAsia="Times New Roman" w:cs="Tahoma"/>
          <w:b/>
          <w:color w:val="000000"/>
          <w:sz w:val="24"/>
          <w:szCs w:val="24"/>
          <w:lang w:eastAsia="en-GB"/>
        </w:rPr>
        <w:t xml:space="preserve">.2 </w:t>
      </w:r>
      <w:r w:rsidR="000852D0" w:rsidRPr="00A40116">
        <w:rPr>
          <w:rFonts w:eastAsia="Times New Roman" w:cs="Tahoma"/>
          <w:b/>
          <w:color w:val="000000"/>
          <w:sz w:val="24"/>
          <w:szCs w:val="24"/>
          <w:lang w:eastAsia="en-GB"/>
        </w:rPr>
        <w:t>O</w:t>
      </w:r>
      <w:r w:rsidR="00351EAB" w:rsidRPr="00A40116">
        <w:rPr>
          <w:rFonts w:eastAsia="Times New Roman" w:cs="Tahoma"/>
          <w:b/>
          <w:color w:val="000000"/>
          <w:sz w:val="24"/>
          <w:szCs w:val="24"/>
          <w:lang w:eastAsia="en-GB"/>
        </w:rPr>
        <w:t>verview</w:t>
      </w:r>
      <w:r w:rsidR="000852D0" w:rsidRPr="00A40116">
        <w:rPr>
          <w:rFonts w:eastAsia="Times New Roman" w:cs="Tahoma"/>
          <w:b/>
          <w:color w:val="000000"/>
          <w:sz w:val="24"/>
          <w:szCs w:val="24"/>
          <w:lang w:eastAsia="en-GB"/>
        </w:rPr>
        <w:t xml:space="preserve"> of the gender and BME profile in the Faculty of Humanities</w:t>
      </w:r>
    </w:p>
    <w:p w:rsidR="00351EAB" w:rsidRPr="00351EAB" w:rsidRDefault="00351EAB" w:rsidP="00351EAB">
      <w:pPr>
        <w:spacing w:after="120"/>
        <w:jc w:val="both"/>
        <w:rPr>
          <w:rFonts w:eastAsia="Times New Roman" w:cs="Tahoma"/>
          <w:color w:val="000000"/>
          <w:lang w:eastAsia="en-GB"/>
        </w:rPr>
      </w:pPr>
      <w:r w:rsidRPr="00351EAB">
        <w:rPr>
          <w:rFonts w:eastAsia="Times New Roman" w:cs="Tahoma"/>
          <w:color w:val="000000"/>
          <w:lang w:eastAsia="en-GB"/>
        </w:rPr>
        <w:t>An overview is presented below of the gender and BME profile of</w:t>
      </w:r>
      <w:r w:rsidR="00FC4BEA">
        <w:rPr>
          <w:rFonts w:eastAsia="Times New Roman" w:cs="Tahoma"/>
          <w:color w:val="000000"/>
          <w:lang w:eastAsia="en-GB"/>
        </w:rPr>
        <w:t xml:space="preserve"> PSS across the Faculty (Table 3</w:t>
      </w:r>
      <w:r w:rsidRPr="00351EAB">
        <w:rPr>
          <w:rFonts w:eastAsia="Times New Roman" w:cs="Tahoma"/>
          <w:color w:val="000000"/>
          <w:lang w:eastAsia="en-GB"/>
        </w:rPr>
        <w:t xml:space="preserve">.1), academic staff </w:t>
      </w:r>
      <w:r w:rsidR="00FC4BEA">
        <w:rPr>
          <w:rFonts w:eastAsia="Times New Roman" w:cs="Tahoma"/>
          <w:color w:val="000000"/>
          <w:lang w:eastAsia="en-GB"/>
        </w:rPr>
        <w:t>disaggregated by School (Table 3</w:t>
      </w:r>
      <w:r w:rsidRPr="00351EAB">
        <w:rPr>
          <w:rFonts w:eastAsia="Times New Roman" w:cs="Tahoma"/>
          <w:color w:val="000000"/>
          <w:lang w:eastAsia="en-GB"/>
        </w:rPr>
        <w:t xml:space="preserve">.2A-E3) and home students disaggregated by School and level of study (Table </w:t>
      </w:r>
      <w:r w:rsidR="00FC4BEA">
        <w:rPr>
          <w:rFonts w:eastAsia="Times New Roman" w:cs="Tahoma"/>
          <w:color w:val="000000"/>
          <w:lang w:eastAsia="en-GB"/>
        </w:rPr>
        <w:t>3</w:t>
      </w:r>
      <w:r w:rsidRPr="00351EAB">
        <w:rPr>
          <w:rFonts w:eastAsia="Times New Roman" w:cs="Tahoma"/>
          <w:color w:val="000000"/>
          <w:lang w:eastAsia="en-GB"/>
        </w:rPr>
        <w:t>.3). These overviews are extracted from a more detailed analysis provided in separate reports for each School and the Faculty completed by the Working Group members (available on request).</w:t>
      </w:r>
    </w:p>
    <w:p w:rsidR="005474BC" w:rsidRDefault="00351EAB" w:rsidP="005474BC">
      <w:pPr>
        <w:spacing w:after="120"/>
        <w:jc w:val="both"/>
        <w:rPr>
          <w:rFonts w:eastAsia="Times New Roman" w:cs="Tahoma"/>
          <w:color w:val="000000"/>
          <w:lang w:eastAsia="en-GB"/>
        </w:rPr>
      </w:pPr>
      <w:r w:rsidRPr="00351EAB">
        <w:rPr>
          <w:rFonts w:eastAsia="Times New Roman" w:cs="Tahoma"/>
          <w:color w:val="000000"/>
          <w:lang w:eastAsia="en-GB"/>
        </w:rPr>
        <w:t>In relation to the data on BME staff it is important to note that this category encompasses different ethnic groups who face different labour market prospects</w:t>
      </w:r>
      <w:r w:rsidR="005474BC">
        <w:rPr>
          <w:rFonts w:eastAsia="Times New Roman" w:cs="Tahoma"/>
          <w:color w:val="000000"/>
          <w:lang w:eastAsia="en-GB"/>
        </w:rPr>
        <w:t xml:space="preserve"> (Box 5)</w:t>
      </w:r>
      <w:r w:rsidRPr="00351EAB">
        <w:rPr>
          <w:rFonts w:eastAsia="Times New Roman" w:cs="Tahoma"/>
          <w:color w:val="000000"/>
          <w:lang w:eastAsia="en-GB"/>
        </w:rPr>
        <w:t xml:space="preserve">. </w:t>
      </w:r>
    </w:p>
    <w:p w:rsidR="005474BC" w:rsidRPr="005474BC" w:rsidRDefault="005474BC" w:rsidP="005474BC">
      <w:pPr>
        <w:pBdr>
          <w:top w:val="single" w:sz="4" w:space="1" w:color="auto" w:shadow="1"/>
          <w:left w:val="single" w:sz="4" w:space="4" w:color="auto" w:shadow="1"/>
          <w:bottom w:val="single" w:sz="4" w:space="1" w:color="auto" w:shadow="1"/>
          <w:right w:val="single" w:sz="4" w:space="4" w:color="auto" w:shadow="1"/>
        </w:pBdr>
        <w:spacing w:after="120"/>
        <w:jc w:val="center"/>
        <w:rPr>
          <w:b/>
          <w:color w:val="000000" w:themeColor="text1"/>
          <w:sz w:val="24"/>
          <w:szCs w:val="24"/>
        </w:rPr>
      </w:pPr>
      <w:r w:rsidRPr="005474BC">
        <w:rPr>
          <w:b/>
          <w:color w:val="000000" w:themeColor="text1"/>
          <w:sz w:val="24"/>
          <w:szCs w:val="24"/>
        </w:rPr>
        <w:t>Box 5. Ethnic Inequalities in Labour Market Participation in the UK</w:t>
      </w:r>
    </w:p>
    <w:p w:rsidR="005474BC" w:rsidRDefault="005474BC" w:rsidP="005474BC">
      <w:pPr>
        <w:pBdr>
          <w:top w:val="single" w:sz="4" w:space="1" w:color="auto" w:shadow="1"/>
          <w:left w:val="single" w:sz="4" w:space="4" w:color="auto" w:shadow="1"/>
          <w:bottom w:val="single" w:sz="4" w:space="1" w:color="auto" w:shadow="1"/>
          <w:right w:val="single" w:sz="4" w:space="4" w:color="auto" w:shadow="1"/>
        </w:pBdr>
        <w:spacing w:after="120"/>
        <w:jc w:val="both"/>
        <w:rPr>
          <w:color w:val="000000" w:themeColor="text1"/>
        </w:rPr>
      </w:pPr>
      <w:r w:rsidRPr="009F3534">
        <w:rPr>
          <w:color w:val="000000" w:themeColor="text1"/>
        </w:rPr>
        <w:t>Ethnic minority gro</w:t>
      </w:r>
      <w:r>
        <w:rPr>
          <w:color w:val="000000" w:themeColor="text1"/>
        </w:rPr>
        <w:t xml:space="preserve">ups in England and Wales have a </w:t>
      </w:r>
      <w:r w:rsidRPr="009F3534">
        <w:rPr>
          <w:color w:val="000000" w:themeColor="text1"/>
        </w:rPr>
        <w:t>history of lower rates</w:t>
      </w:r>
      <w:r>
        <w:rPr>
          <w:color w:val="000000" w:themeColor="text1"/>
        </w:rPr>
        <w:t xml:space="preserve"> of employment and higher rates </w:t>
      </w:r>
      <w:r w:rsidRPr="009F3534">
        <w:rPr>
          <w:color w:val="000000" w:themeColor="text1"/>
        </w:rPr>
        <w:t>of unemployment than the White majority population.</w:t>
      </w:r>
      <w:r>
        <w:rPr>
          <w:color w:val="000000" w:themeColor="text1"/>
        </w:rPr>
        <w:t xml:space="preserve"> </w:t>
      </w:r>
    </w:p>
    <w:p w:rsidR="005474BC" w:rsidRDefault="005474BC" w:rsidP="005474BC">
      <w:pPr>
        <w:pBdr>
          <w:top w:val="single" w:sz="4" w:space="1" w:color="auto" w:shadow="1"/>
          <w:left w:val="single" w:sz="4" w:space="4" w:color="auto" w:shadow="1"/>
          <w:bottom w:val="single" w:sz="4" w:space="1" w:color="auto" w:shadow="1"/>
          <w:right w:val="single" w:sz="4" w:space="4" w:color="auto" w:shadow="1"/>
        </w:pBdr>
        <w:spacing w:after="120"/>
        <w:jc w:val="both"/>
        <w:rPr>
          <w:rFonts w:eastAsia="Times New Roman" w:cs="Tahoma"/>
          <w:color w:val="000000"/>
          <w:lang w:eastAsia="en-GB"/>
        </w:rPr>
      </w:pPr>
      <w:r>
        <w:rPr>
          <w:color w:val="000000" w:themeColor="text1"/>
        </w:rPr>
        <w:t xml:space="preserve">Within this overall picture for the UK there are pronounced differences in </w:t>
      </w:r>
      <w:r w:rsidR="00351EAB" w:rsidRPr="00351EAB">
        <w:rPr>
          <w:rFonts w:eastAsia="Times New Roman" w:cs="Tahoma"/>
          <w:color w:val="000000"/>
          <w:lang w:eastAsia="en-GB"/>
        </w:rPr>
        <w:t xml:space="preserve">unemployment rates and in the occupational profiles of the </w:t>
      </w:r>
      <w:r>
        <w:rPr>
          <w:rFonts w:eastAsia="Times New Roman" w:cs="Tahoma"/>
          <w:color w:val="000000"/>
          <w:lang w:eastAsia="en-GB"/>
        </w:rPr>
        <w:t>BME population</w:t>
      </w:r>
      <w:r w:rsidR="00351EAB" w:rsidRPr="00351EAB">
        <w:rPr>
          <w:rFonts w:eastAsia="Times New Roman" w:cs="Tahoma"/>
          <w:color w:val="000000"/>
          <w:lang w:eastAsia="en-GB"/>
        </w:rPr>
        <w:t xml:space="preserve">. The picture varies further between men and women once the intersection of gender and ethnicity is taken into account. </w:t>
      </w:r>
    </w:p>
    <w:p w:rsidR="003D0B72" w:rsidRPr="005474BC" w:rsidRDefault="009F3534" w:rsidP="005474BC">
      <w:pPr>
        <w:pBdr>
          <w:top w:val="single" w:sz="4" w:space="1" w:color="auto" w:shadow="1"/>
          <w:left w:val="single" w:sz="4" w:space="4" w:color="auto" w:shadow="1"/>
          <w:bottom w:val="single" w:sz="4" w:space="1" w:color="auto" w:shadow="1"/>
          <w:right w:val="single" w:sz="4" w:space="4" w:color="auto" w:shadow="1"/>
        </w:pBdr>
        <w:spacing w:after="120"/>
        <w:jc w:val="both"/>
        <w:rPr>
          <w:rFonts w:eastAsia="Times New Roman" w:cs="Tahoma"/>
          <w:color w:val="000000"/>
          <w:lang w:eastAsia="en-GB"/>
        </w:rPr>
      </w:pPr>
      <w:r>
        <w:rPr>
          <w:rFonts w:eastAsia="Times New Roman" w:cs="Tahoma"/>
          <w:color w:val="000000"/>
          <w:lang w:eastAsia="en-GB"/>
        </w:rPr>
        <w:t xml:space="preserve">So, for example among men aged 25-49 years men who are </w:t>
      </w:r>
      <w:r w:rsidR="003D0B72">
        <w:rPr>
          <w:rFonts w:eastAsia="Times New Roman" w:cs="Tahoma"/>
          <w:color w:val="000000"/>
          <w:lang w:eastAsia="en-GB"/>
        </w:rPr>
        <w:t xml:space="preserve">from the </w:t>
      </w:r>
      <w:r>
        <w:rPr>
          <w:rFonts w:eastAsia="Times New Roman" w:cs="Tahoma"/>
          <w:color w:val="000000"/>
          <w:lang w:eastAsia="en-GB"/>
        </w:rPr>
        <w:t>White, Indian or Chinese</w:t>
      </w:r>
      <w:r w:rsidR="003D0B72">
        <w:rPr>
          <w:rFonts w:eastAsia="Times New Roman" w:cs="Tahoma"/>
          <w:color w:val="000000"/>
          <w:lang w:eastAsia="en-GB"/>
        </w:rPr>
        <w:t xml:space="preserve"> ethnic group</w:t>
      </w:r>
      <w:r>
        <w:rPr>
          <w:rFonts w:eastAsia="Times New Roman" w:cs="Tahoma"/>
          <w:color w:val="000000"/>
          <w:lang w:eastAsia="en-GB"/>
        </w:rPr>
        <w:t xml:space="preserve"> have the highest employment rate</w:t>
      </w:r>
      <w:r w:rsidR="003D0B72">
        <w:rPr>
          <w:rFonts w:eastAsia="Times New Roman" w:cs="Tahoma"/>
          <w:color w:val="000000"/>
          <w:lang w:eastAsia="en-GB"/>
        </w:rPr>
        <w:t xml:space="preserve">; while it is lower for  men in the Black African or Caribbean ethnic group and lower still for men from Bangladeshi, Pakistani or White Gypsy/Irish Traveller ethnic groups. </w:t>
      </w:r>
      <w:r w:rsidR="00EA0050">
        <w:rPr>
          <w:rFonts w:eastAsia="Times New Roman" w:cs="Tahoma"/>
          <w:color w:val="000000"/>
          <w:lang w:eastAsia="en-GB"/>
        </w:rPr>
        <w:t>Similarly, a</w:t>
      </w:r>
      <w:r w:rsidR="003D0B72">
        <w:rPr>
          <w:rFonts w:eastAsia="Times New Roman" w:cs="Tahoma"/>
          <w:color w:val="000000"/>
          <w:lang w:eastAsia="en-GB"/>
        </w:rPr>
        <w:t xml:space="preserve">mong women aged 25-49 years the highest employment rates are for women from White, Indian and Black-Caribbean ethnic groups. Part-time employment is </w:t>
      </w:r>
      <w:r w:rsidR="00EA0050">
        <w:rPr>
          <w:rFonts w:eastAsia="Times New Roman" w:cs="Tahoma"/>
          <w:color w:val="000000"/>
          <w:lang w:eastAsia="en-GB"/>
        </w:rPr>
        <w:t xml:space="preserve">more </w:t>
      </w:r>
      <w:r w:rsidR="003D0B72">
        <w:rPr>
          <w:rFonts w:eastAsia="Times New Roman" w:cs="Tahoma"/>
          <w:color w:val="000000"/>
          <w:lang w:eastAsia="en-GB"/>
        </w:rPr>
        <w:t>common for White women and women from the Pakistani and Bangladeshi ethnic groups</w:t>
      </w:r>
      <w:r w:rsidR="00EA0050">
        <w:rPr>
          <w:rFonts w:eastAsia="Times New Roman" w:cs="Tahoma"/>
          <w:color w:val="000000"/>
          <w:lang w:eastAsia="en-GB"/>
        </w:rPr>
        <w:t xml:space="preserve"> than for women from other ethnic groups. </w:t>
      </w:r>
    </w:p>
    <w:p w:rsidR="005474BC" w:rsidRDefault="005474BC" w:rsidP="005474BC">
      <w:pPr>
        <w:pBdr>
          <w:top w:val="single" w:sz="4" w:space="1" w:color="auto" w:shadow="1"/>
          <w:left w:val="single" w:sz="4" w:space="4" w:color="auto" w:shadow="1"/>
          <w:bottom w:val="single" w:sz="4" w:space="1" w:color="auto" w:shadow="1"/>
          <w:right w:val="single" w:sz="4" w:space="4" w:color="auto" w:shadow="1"/>
        </w:pBdr>
        <w:spacing w:after="120"/>
        <w:jc w:val="both"/>
        <w:rPr>
          <w:rFonts w:eastAsia="Times New Roman" w:cs="Tahoma"/>
          <w:color w:val="000000"/>
          <w:lang w:eastAsia="en-GB"/>
        </w:rPr>
      </w:pPr>
      <w:r>
        <w:rPr>
          <w:sz w:val="18"/>
          <w:szCs w:val="18"/>
        </w:rPr>
        <w:t xml:space="preserve">Source: </w:t>
      </w:r>
      <w:r w:rsidRPr="00EA0050">
        <w:rPr>
          <w:sz w:val="18"/>
          <w:szCs w:val="18"/>
        </w:rPr>
        <w:t>ESRC Centre on Dynamics of Ethnic</w:t>
      </w:r>
      <w:r w:rsidR="00E445FA">
        <w:rPr>
          <w:sz w:val="18"/>
          <w:szCs w:val="18"/>
        </w:rPr>
        <w:t>ity, University of Manchester “</w:t>
      </w:r>
      <w:r w:rsidRPr="00EA0050">
        <w:rPr>
          <w:sz w:val="18"/>
          <w:szCs w:val="18"/>
        </w:rPr>
        <w:t xml:space="preserve">Ethnic Inequalities in labour market participation?” Briefing, September 2013 </w:t>
      </w:r>
      <w:hyperlink r:id="rId10" w:history="1">
        <w:r w:rsidRPr="00EA0050">
          <w:rPr>
            <w:rStyle w:val="Hyperlink"/>
            <w:sz w:val="18"/>
            <w:szCs w:val="18"/>
          </w:rPr>
          <w:t>http://www.ethnicity.ac.uk/research/outputs/briefings/</w:t>
        </w:r>
      </w:hyperlink>
    </w:p>
    <w:p w:rsidR="00BF0884" w:rsidRPr="00A3691C" w:rsidRDefault="00351EAB" w:rsidP="00A3691C">
      <w:pPr>
        <w:spacing w:after="240"/>
        <w:jc w:val="both"/>
        <w:rPr>
          <w:rFonts w:eastAsia="Times New Roman" w:cs="Tahoma"/>
          <w:color w:val="000000"/>
          <w:lang w:eastAsia="en-GB"/>
        </w:rPr>
      </w:pPr>
      <w:r w:rsidRPr="00351EAB">
        <w:rPr>
          <w:rFonts w:eastAsia="Times New Roman" w:cs="Tahoma"/>
          <w:color w:val="000000"/>
          <w:lang w:eastAsia="en-GB"/>
        </w:rPr>
        <w:lastRenderedPageBreak/>
        <w:t>For the analysis of BME academic staff and students there is a further important distinction to take into account: between UK and i</w:t>
      </w:r>
      <w:r w:rsidR="005474BC">
        <w:rPr>
          <w:rFonts w:eastAsia="Times New Roman" w:cs="Tahoma"/>
          <w:color w:val="000000"/>
          <w:lang w:eastAsia="en-GB"/>
        </w:rPr>
        <w:t xml:space="preserve">nternational recruits. We </w:t>
      </w:r>
      <w:r w:rsidRPr="00351EAB">
        <w:rPr>
          <w:rFonts w:eastAsia="Times New Roman" w:cs="Tahoma"/>
          <w:color w:val="000000"/>
          <w:lang w:eastAsia="en-GB"/>
        </w:rPr>
        <w:t>explore this issue further where the data is available and asse</w:t>
      </w:r>
      <w:r w:rsidR="00A3691C">
        <w:rPr>
          <w:rFonts w:eastAsia="Times New Roman" w:cs="Tahoma"/>
          <w:color w:val="000000"/>
          <w:lang w:eastAsia="en-GB"/>
        </w:rPr>
        <w:t>ssed to be of reliable quality.</w:t>
      </w:r>
    </w:p>
    <w:p w:rsidR="003A1CD7" w:rsidRPr="003A1CD7" w:rsidRDefault="003A1CD7" w:rsidP="00A3691C">
      <w:pPr>
        <w:rPr>
          <w:b/>
          <w:i/>
          <w:color w:val="000000" w:themeColor="text1"/>
        </w:rPr>
      </w:pPr>
      <w:r w:rsidRPr="003A1CD7">
        <w:rPr>
          <w:b/>
          <w:i/>
          <w:color w:val="000000" w:themeColor="text1"/>
        </w:rPr>
        <w:t>PSS staff in The Faculty of Humanities</w:t>
      </w:r>
      <w:r w:rsidR="00A40116">
        <w:rPr>
          <w:b/>
          <w:i/>
          <w:color w:val="000000" w:themeColor="text1"/>
        </w:rPr>
        <w:t xml:space="preserve"> – gender and BME profile</w:t>
      </w:r>
    </w:p>
    <w:p w:rsidR="000852D0" w:rsidRDefault="00351EAB" w:rsidP="00351EAB">
      <w:pPr>
        <w:spacing w:after="120"/>
        <w:jc w:val="both"/>
        <w:rPr>
          <w:color w:val="000000" w:themeColor="text1"/>
        </w:rPr>
      </w:pPr>
      <w:r w:rsidRPr="00351EAB">
        <w:rPr>
          <w:color w:val="000000" w:themeColor="text1"/>
        </w:rPr>
        <w:t>The Faculty P</w:t>
      </w:r>
      <w:r w:rsidR="00C62D5B">
        <w:rPr>
          <w:color w:val="000000" w:themeColor="text1"/>
        </w:rPr>
        <w:t>rofessional Support Service (P</w:t>
      </w:r>
      <w:r w:rsidRPr="00351EAB">
        <w:rPr>
          <w:color w:val="000000" w:themeColor="text1"/>
        </w:rPr>
        <w:t>SS</w:t>
      </w:r>
      <w:r w:rsidR="00C62D5B">
        <w:rPr>
          <w:color w:val="000000" w:themeColor="text1"/>
        </w:rPr>
        <w:t>)</w:t>
      </w:r>
      <w:r w:rsidRPr="00351EAB">
        <w:rPr>
          <w:color w:val="000000" w:themeColor="text1"/>
        </w:rPr>
        <w:t xml:space="preserve"> staff is predominantly female</w:t>
      </w:r>
      <w:r w:rsidR="00C62D5B">
        <w:rPr>
          <w:color w:val="000000" w:themeColor="text1"/>
        </w:rPr>
        <w:t xml:space="preserve"> but women are less well-represented at the senior grades</w:t>
      </w:r>
      <w:r w:rsidR="00FC4BEA">
        <w:rPr>
          <w:b/>
          <w:color w:val="000000" w:themeColor="text1"/>
        </w:rPr>
        <w:t xml:space="preserve"> (Table 3</w:t>
      </w:r>
      <w:r w:rsidRPr="00351EAB">
        <w:rPr>
          <w:b/>
          <w:color w:val="000000" w:themeColor="text1"/>
        </w:rPr>
        <w:t>.1).</w:t>
      </w:r>
      <w:r w:rsidR="00C62D5B">
        <w:rPr>
          <w:b/>
          <w:color w:val="000000" w:themeColor="text1"/>
        </w:rPr>
        <w:t xml:space="preserve"> </w:t>
      </w:r>
      <w:r w:rsidRPr="00351EAB">
        <w:rPr>
          <w:b/>
          <w:color w:val="000000" w:themeColor="text1"/>
        </w:rPr>
        <w:t xml:space="preserve"> </w:t>
      </w:r>
      <w:r w:rsidR="00C62D5B">
        <w:rPr>
          <w:color w:val="000000" w:themeColor="text1"/>
        </w:rPr>
        <w:t xml:space="preserve">Women </w:t>
      </w:r>
      <w:r w:rsidRPr="00351EAB">
        <w:rPr>
          <w:color w:val="000000" w:themeColor="text1"/>
        </w:rPr>
        <w:t>occupy three quarters of positions in grades 1-4</w:t>
      </w:r>
      <w:r w:rsidR="00C62D5B">
        <w:rPr>
          <w:color w:val="000000" w:themeColor="text1"/>
        </w:rPr>
        <w:t xml:space="preserve"> and two thirds in Grades 5-6 and 7,</w:t>
      </w:r>
      <w:r w:rsidRPr="00351EAB">
        <w:rPr>
          <w:color w:val="000000" w:themeColor="text1"/>
        </w:rPr>
        <w:t xml:space="preserve"> </w:t>
      </w:r>
      <w:r w:rsidR="00C62D5B">
        <w:rPr>
          <w:color w:val="000000" w:themeColor="text1"/>
        </w:rPr>
        <w:t xml:space="preserve">but </w:t>
      </w:r>
      <w:r w:rsidRPr="00351EAB">
        <w:rPr>
          <w:color w:val="000000" w:themeColor="text1"/>
        </w:rPr>
        <w:t>their representation falls to</w:t>
      </w:r>
      <w:r w:rsidR="00C62D5B">
        <w:rPr>
          <w:color w:val="000000" w:themeColor="text1"/>
        </w:rPr>
        <w:t xml:space="preserve"> just over half at Grades 8-9 (55.8%). </w:t>
      </w:r>
    </w:p>
    <w:p w:rsidR="003A1CD7" w:rsidRDefault="00351EAB" w:rsidP="000852D0">
      <w:pPr>
        <w:spacing w:after="120"/>
        <w:jc w:val="both"/>
        <w:rPr>
          <w:rFonts w:cs="Arial"/>
        </w:rPr>
      </w:pPr>
      <w:r w:rsidRPr="00351EAB">
        <w:rPr>
          <w:color w:val="000000" w:themeColor="text1"/>
        </w:rPr>
        <w:t>BME men and women hold only 7</w:t>
      </w:r>
      <w:r w:rsidR="005B4E56">
        <w:rPr>
          <w:color w:val="000000" w:themeColor="text1"/>
        </w:rPr>
        <w:t xml:space="preserve"> per cent</w:t>
      </w:r>
      <w:r w:rsidRPr="00351EAB">
        <w:rPr>
          <w:color w:val="000000" w:themeColor="text1"/>
        </w:rPr>
        <w:t xml:space="preserve"> of positions in grades 1-4, and their representation is lower still at the higher grades</w:t>
      </w:r>
      <w:r w:rsidR="00C62D5B">
        <w:rPr>
          <w:color w:val="000000" w:themeColor="text1"/>
        </w:rPr>
        <w:t xml:space="preserve"> and falls to only </w:t>
      </w:r>
      <w:r w:rsidR="00091365">
        <w:rPr>
          <w:color w:val="000000" w:themeColor="text1"/>
        </w:rPr>
        <w:t>3.4% of PSS staff at G</w:t>
      </w:r>
      <w:r w:rsidR="00C62D5B">
        <w:rPr>
          <w:color w:val="000000" w:themeColor="text1"/>
        </w:rPr>
        <w:t>r</w:t>
      </w:r>
      <w:r w:rsidR="00091365">
        <w:rPr>
          <w:color w:val="000000" w:themeColor="text1"/>
        </w:rPr>
        <w:t>a</w:t>
      </w:r>
      <w:r w:rsidR="00C62D5B">
        <w:rPr>
          <w:color w:val="000000" w:themeColor="text1"/>
        </w:rPr>
        <w:t>des 8-9. These figures are</w:t>
      </w:r>
      <w:r w:rsidRPr="00351EAB">
        <w:rPr>
          <w:color w:val="000000" w:themeColor="text1"/>
        </w:rPr>
        <w:t xml:space="preserve"> </w:t>
      </w:r>
      <w:r w:rsidR="003A1CD7">
        <w:rPr>
          <w:color w:val="000000" w:themeColor="text1"/>
        </w:rPr>
        <w:t>below the 12 per cent Faculty target (</w:t>
      </w:r>
      <w:r w:rsidR="00C62D5B">
        <w:rPr>
          <w:color w:val="000000" w:themeColor="text1"/>
        </w:rPr>
        <w:t>BME men and women represent</w:t>
      </w:r>
      <w:r w:rsidRPr="00351EAB">
        <w:rPr>
          <w:rFonts w:cs="Arial"/>
        </w:rPr>
        <w:t xml:space="preserve"> 12</w:t>
      </w:r>
      <w:r w:rsidR="005B4E56">
        <w:rPr>
          <w:rFonts w:cs="Arial"/>
        </w:rPr>
        <w:t xml:space="preserve"> per cent</w:t>
      </w:r>
      <w:r w:rsidRPr="00351EAB">
        <w:rPr>
          <w:rFonts w:cs="Arial"/>
        </w:rPr>
        <w:t xml:space="preserve"> of the working </w:t>
      </w:r>
      <w:r w:rsidR="00C62D5B">
        <w:rPr>
          <w:rFonts w:cs="Arial"/>
        </w:rPr>
        <w:t xml:space="preserve">age </w:t>
      </w:r>
      <w:r w:rsidRPr="00351EAB">
        <w:rPr>
          <w:rFonts w:cs="Arial"/>
        </w:rPr>
        <w:t>population of Greater Manchester</w:t>
      </w:r>
      <w:r w:rsidR="003A1CD7">
        <w:rPr>
          <w:rFonts w:cs="Arial"/>
        </w:rPr>
        <w:t xml:space="preserve">). </w:t>
      </w:r>
      <w:r w:rsidRPr="00351EAB">
        <w:rPr>
          <w:rFonts w:cs="Arial"/>
        </w:rPr>
        <w:t>The representation of BME women among the PSS staff profile is even lower</w:t>
      </w:r>
      <w:r w:rsidR="00C62D5B">
        <w:rPr>
          <w:rFonts w:cs="Arial"/>
        </w:rPr>
        <w:t xml:space="preserve"> than the overall figure for BM</w:t>
      </w:r>
      <w:r w:rsidR="00091365">
        <w:rPr>
          <w:rFonts w:cs="Arial"/>
        </w:rPr>
        <w:t>E</w:t>
      </w:r>
      <w:r w:rsidR="00C62D5B">
        <w:rPr>
          <w:rFonts w:cs="Arial"/>
        </w:rPr>
        <w:t xml:space="preserve"> men and women</w:t>
      </w:r>
      <w:r w:rsidRPr="00351EAB">
        <w:rPr>
          <w:rFonts w:cs="Arial"/>
        </w:rPr>
        <w:t>.</w:t>
      </w:r>
      <w:r w:rsidR="000852D0">
        <w:rPr>
          <w:rFonts w:cs="Arial"/>
        </w:rPr>
        <w:t xml:space="preserve">  </w:t>
      </w:r>
    </w:p>
    <w:p w:rsidR="000852D0" w:rsidRPr="000852D0" w:rsidRDefault="00E445FA" w:rsidP="000852D0">
      <w:pPr>
        <w:spacing w:after="120"/>
        <w:jc w:val="both"/>
        <w:rPr>
          <w:rFonts w:cs="Arial"/>
        </w:rPr>
      </w:pPr>
      <w:r w:rsidRPr="00E445FA">
        <w:rPr>
          <w:rFonts w:cs="Arial"/>
          <w:b/>
        </w:rPr>
        <w:t>Table 3</w:t>
      </w:r>
      <w:r w:rsidR="003A1CD7" w:rsidRPr="00E445FA">
        <w:rPr>
          <w:rFonts w:cs="Arial"/>
          <w:b/>
        </w:rPr>
        <w:t>.2</w:t>
      </w:r>
      <w:r w:rsidR="003A1CD7">
        <w:rPr>
          <w:rFonts w:cs="Arial"/>
        </w:rPr>
        <w:t xml:space="preserve"> presents the </w:t>
      </w:r>
      <w:r w:rsidR="000852D0" w:rsidRPr="000852D0">
        <w:rPr>
          <w:rFonts w:cs="Arial"/>
        </w:rPr>
        <w:t xml:space="preserve">profile </w:t>
      </w:r>
      <w:r w:rsidR="003A1CD7">
        <w:rPr>
          <w:rFonts w:cs="Arial"/>
        </w:rPr>
        <w:t xml:space="preserve">of PSS staff </w:t>
      </w:r>
      <w:r w:rsidR="000852D0" w:rsidRPr="000852D0">
        <w:rPr>
          <w:rFonts w:cs="Arial"/>
        </w:rPr>
        <w:t xml:space="preserve">across our Schools </w:t>
      </w:r>
      <w:r w:rsidR="003A1CD7">
        <w:rPr>
          <w:rFonts w:cs="Arial"/>
        </w:rPr>
        <w:t xml:space="preserve">and shows that the largest pool of </w:t>
      </w:r>
      <w:r w:rsidR="000852D0" w:rsidRPr="000852D0">
        <w:rPr>
          <w:rFonts w:cs="Arial"/>
        </w:rPr>
        <w:t>BME PSS staff i</w:t>
      </w:r>
      <w:r w:rsidR="003A1CD7">
        <w:rPr>
          <w:rFonts w:cs="Arial"/>
        </w:rPr>
        <w:t xml:space="preserve">s in </w:t>
      </w:r>
      <w:r w:rsidR="000852D0" w:rsidRPr="000852D0">
        <w:rPr>
          <w:rFonts w:cs="Arial"/>
        </w:rPr>
        <w:t>MBS (21 out of 254 PSS staff</w:t>
      </w:r>
      <w:r w:rsidR="003A1CD7">
        <w:rPr>
          <w:rFonts w:cs="Arial"/>
        </w:rPr>
        <w:t xml:space="preserve"> are BM</w:t>
      </w:r>
      <w:r>
        <w:rPr>
          <w:rFonts w:cs="Arial"/>
        </w:rPr>
        <w:t>E</w:t>
      </w:r>
      <w:r w:rsidR="000852D0" w:rsidRPr="000852D0">
        <w:rPr>
          <w:rFonts w:cs="Arial"/>
        </w:rPr>
        <w:t>)</w:t>
      </w:r>
      <w:r w:rsidR="003A1CD7">
        <w:rPr>
          <w:rFonts w:cs="Arial"/>
        </w:rPr>
        <w:t>.</w:t>
      </w:r>
      <w:r w:rsidR="000852D0" w:rsidRPr="000852D0">
        <w:rPr>
          <w:rFonts w:cs="Arial"/>
        </w:rPr>
        <w:t xml:space="preserve"> </w:t>
      </w:r>
      <w:r w:rsidR="003A1CD7">
        <w:rPr>
          <w:rFonts w:cs="Arial"/>
        </w:rPr>
        <w:t xml:space="preserve"> The highest representation of BME staff in the PSS entry grades (Grade 1-4) are in SoSS (11%) and MBS (10%), and MBS also has the better representation of BME staff at Grades 5-6 and 7-9 where BME 6% and 5% of staff are BME status.</w:t>
      </w:r>
      <w:r w:rsidR="00C62D5B">
        <w:rPr>
          <w:rFonts w:cs="Arial"/>
        </w:rPr>
        <w:t xml:space="preserve"> </w:t>
      </w:r>
    </w:p>
    <w:p w:rsidR="00351EAB" w:rsidRPr="00351EAB" w:rsidRDefault="00E06CED" w:rsidP="00C62D5B">
      <w:pPr>
        <w:jc w:val="center"/>
        <w:rPr>
          <w:b/>
          <w:color w:val="000000" w:themeColor="text1"/>
        </w:rPr>
      </w:pPr>
      <w:r>
        <w:rPr>
          <w:b/>
          <w:color w:val="000000" w:themeColor="text1"/>
        </w:rPr>
        <w:t xml:space="preserve">Table </w:t>
      </w:r>
      <w:r w:rsidR="00FC4BEA">
        <w:rPr>
          <w:b/>
          <w:color w:val="000000" w:themeColor="text1"/>
        </w:rPr>
        <w:t>3</w:t>
      </w:r>
      <w:r>
        <w:rPr>
          <w:b/>
          <w:color w:val="000000" w:themeColor="text1"/>
        </w:rPr>
        <w:t>.1</w:t>
      </w:r>
      <w:r w:rsidR="00351EAB" w:rsidRPr="00351EAB">
        <w:rPr>
          <w:b/>
          <w:color w:val="000000" w:themeColor="text1"/>
        </w:rPr>
        <w:t xml:space="preserve"> The gender and BME profile of PSS staff in the Faculty of Humanities</w:t>
      </w:r>
    </w:p>
    <w:tbl>
      <w:tblPr>
        <w:tblStyle w:val="TableGrid"/>
        <w:tblW w:w="0" w:type="auto"/>
        <w:tblLook w:val="04A0" w:firstRow="1" w:lastRow="0" w:firstColumn="1" w:lastColumn="0" w:noHBand="0" w:noVBand="1"/>
      </w:tblPr>
      <w:tblGrid>
        <w:gridCol w:w="2235"/>
        <w:gridCol w:w="1559"/>
        <w:gridCol w:w="1276"/>
        <w:gridCol w:w="1984"/>
        <w:gridCol w:w="1843"/>
      </w:tblGrid>
      <w:tr w:rsidR="00700442" w:rsidRPr="00A937B3" w:rsidTr="00A937B3">
        <w:tc>
          <w:tcPr>
            <w:tcW w:w="7054" w:type="dxa"/>
            <w:gridSpan w:val="4"/>
          </w:tcPr>
          <w:p w:rsidR="00700442" w:rsidRPr="00A937B3" w:rsidRDefault="00700442" w:rsidP="00700442">
            <w:pPr>
              <w:jc w:val="center"/>
              <w:rPr>
                <w:rFonts w:asciiTheme="minorHAnsi" w:hAnsiTheme="minorHAnsi"/>
                <w:b/>
                <w:sz w:val="22"/>
                <w:szCs w:val="22"/>
              </w:rPr>
            </w:pPr>
            <w:r w:rsidRPr="00A937B3">
              <w:rPr>
                <w:rFonts w:asciiTheme="minorHAnsi" w:hAnsiTheme="minorHAnsi"/>
                <w:b/>
                <w:sz w:val="22"/>
                <w:szCs w:val="22"/>
              </w:rPr>
              <w:t>Faculty of Humanities</w:t>
            </w:r>
          </w:p>
        </w:tc>
        <w:tc>
          <w:tcPr>
            <w:tcW w:w="1843" w:type="dxa"/>
            <w:vMerge w:val="restart"/>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Total number (row count)</w:t>
            </w:r>
          </w:p>
        </w:tc>
      </w:tr>
      <w:tr w:rsidR="00700442" w:rsidRPr="00A937B3" w:rsidTr="00A937B3">
        <w:tc>
          <w:tcPr>
            <w:tcW w:w="2235" w:type="dxa"/>
            <w:vMerge w:val="restart"/>
          </w:tcPr>
          <w:p w:rsidR="00700442" w:rsidRPr="00A937B3" w:rsidRDefault="00700442" w:rsidP="00351EAB">
            <w:pPr>
              <w:rPr>
                <w:rFonts w:asciiTheme="minorHAnsi" w:hAnsiTheme="minorHAnsi"/>
                <w:b/>
                <w:sz w:val="22"/>
                <w:szCs w:val="22"/>
              </w:rPr>
            </w:pPr>
          </w:p>
        </w:tc>
        <w:tc>
          <w:tcPr>
            <w:tcW w:w="4819" w:type="dxa"/>
            <w:gridSpan w:val="3"/>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The % of staff in each grade who are…</w:t>
            </w:r>
          </w:p>
        </w:tc>
        <w:tc>
          <w:tcPr>
            <w:tcW w:w="1843" w:type="dxa"/>
            <w:vMerge/>
          </w:tcPr>
          <w:p w:rsidR="00700442" w:rsidRPr="00A937B3" w:rsidRDefault="00700442" w:rsidP="00351EAB">
            <w:pPr>
              <w:jc w:val="center"/>
              <w:rPr>
                <w:rFonts w:asciiTheme="minorHAnsi" w:hAnsiTheme="minorHAnsi"/>
                <w:b/>
                <w:sz w:val="22"/>
                <w:szCs w:val="22"/>
              </w:rPr>
            </w:pPr>
          </w:p>
        </w:tc>
      </w:tr>
      <w:tr w:rsidR="00700442" w:rsidRPr="00A937B3" w:rsidTr="00A937B3">
        <w:tc>
          <w:tcPr>
            <w:tcW w:w="2235" w:type="dxa"/>
            <w:vMerge/>
            <w:tcBorders>
              <w:bottom w:val="single" w:sz="4" w:space="0" w:color="auto"/>
            </w:tcBorders>
          </w:tcPr>
          <w:p w:rsidR="00700442" w:rsidRPr="00A937B3" w:rsidRDefault="00700442" w:rsidP="00351EAB">
            <w:pPr>
              <w:rPr>
                <w:rFonts w:asciiTheme="minorHAnsi" w:hAnsiTheme="minorHAnsi"/>
                <w:b/>
                <w:sz w:val="22"/>
                <w:szCs w:val="22"/>
              </w:rPr>
            </w:pPr>
          </w:p>
        </w:tc>
        <w:tc>
          <w:tcPr>
            <w:tcW w:w="1559"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w:t>
            </w:r>
          </w:p>
        </w:tc>
        <w:tc>
          <w:tcPr>
            <w:tcW w:w="1276"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BME</w:t>
            </w:r>
          </w:p>
        </w:tc>
        <w:tc>
          <w:tcPr>
            <w:tcW w:w="1984"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 &amp; BME</w:t>
            </w:r>
          </w:p>
        </w:tc>
        <w:tc>
          <w:tcPr>
            <w:tcW w:w="1843" w:type="dxa"/>
            <w:vMerge/>
            <w:tcBorders>
              <w:bottom w:val="single" w:sz="4" w:space="0" w:color="auto"/>
            </w:tcBorders>
          </w:tcPr>
          <w:p w:rsidR="00700442" w:rsidRPr="00A937B3" w:rsidRDefault="00700442" w:rsidP="00351EAB">
            <w:pPr>
              <w:jc w:val="center"/>
              <w:rPr>
                <w:rFonts w:asciiTheme="minorHAnsi" w:hAnsiTheme="minorHAnsi"/>
                <w:b/>
                <w:sz w:val="22"/>
                <w:szCs w:val="22"/>
              </w:rPr>
            </w:pPr>
          </w:p>
        </w:tc>
      </w:tr>
      <w:tr w:rsidR="00351EAB" w:rsidRPr="00A937B3" w:rsidTr="00A937B3">
        <w:tc>
          <w:tcPr>
            <w:tcW w:w="2235"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1-4</w:t>
            </w:r>
          </w:p>
        </w:tc>
        <w:tc>
          <w:tcPr>
            <w:tcW w:w="1559"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73.6</w:t>
            </w:r>
          </w:p>
        </w:tc>
        <w:tc>
          <w:tcPr>
            <w:tcW w:w="1276"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7.2</w:t>
            </w:r>
          </w:p>
        </w:tc>
        <w:tc>
          <w:tcPr>
            <w:tcW w:w="198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5.9</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307</w:t>
            </w: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5-6</w:t>
            </w: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68.4</w:t>
            </w:r>
          </w:p>
        </w:tc>
        <w:tc>
          <w:tcPr>
            <w:tcW w:w="1276"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5.5</w:t>
            </w:r>
          </w:p>
        </w:tc>
        <w:tc>
          <w:tcPr>
            <w:tcW w:w="198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3.2</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253</w:t>
            </w: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7</w:t>
            </w: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66.1</w:t>
            </w:r>
          </w:p>
        </w:tc>
        <w:tc>
          <w:tcPr>
            <w:tcW w:w="1276"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6.5</w:t>
            </w:r>
          </w:p>
        </w:tc>
        <w:tc>
          <w:tcPr>
            <w:tcW w:w="198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3.2</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62</w:t>
            </w:r>
          </w:p>
        </w:tc>
      </w:tr>
      <w:tr w:rsidR="00351EAB" w:rsidRPr="00A937B3" w:rsidTr="00A937B3">
        <w:tc>
          <w:tcPr>
            <w:tcW w:w="2235" w:type="dxa"/>
            <w:tcBorders>
              <w:top w:val="nil"/>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 xml:space="preserve">Grade 8-9    </w:t>
            </w:r>
          </w:p>
        </w:tc>
        <w:tc>
          <w:tcPr>
            <w:tcW w:w="1559"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55.8</w:t>
            </w:r>
          </w:p>
        </w:tc>
        <w:tc>
          <w:tcPr>
            <w:tcW w:w="1276"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3.4</w:t>
            </w:r>
          </w:p>
        </w:tc>
        <w:tc>
          <w:tcPr>
            <w:tcW w:w="1984"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0</w:t>
            </w:r>
          </w:p>
        </w:tc>
        <w:tc>
          <w:tcPr>
            <w:tcW w:w="1843"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29</w:t>
            </w:r>
          </w:p>
        </w:tc>
      </w:tr>
    </w:tbl>
    <w:p w:rsidR="00351EAB" w:rsidRDefault="00351EAB" w:rsidP="00A3691C">
      <w:pPr>
        <w:spacing w:after="240"/>
        <w:rPr>
          <w:sz w:val="18"/>
          <w:szCs w:val="18"/>
        </w:rPr>
      </w:pPr>
      <w:r w:rsidRPr="00A937B3">
        <w:rPr>
          <w:sz w:val="18"/>
          <w:szCs w:val="18"/>
        </w:rPr>
        <w:t xml:space="preserve">Note: % BME is the percentage of staff who self-defined as BME, the count includes staff who are white/BME/status unknown. </w:t>
      </w:r>
    </w:p>
    <w:p w:rsidR="00A3691C" w:rsidRPr="00A3691C" w:rsidRDefault="00A3691C" w:rsidP="00A3691C">
      <w:pPr>
        <w:spacing w:after="0"/>
        <w:jc w:val="both"/>
      </w:pPr>
    </w:p>
    <w:p w:rsidR="00C62D5B" w:rsidRPr="00A3691C" w:rsidRDefault="00C62D5B" w:rsidP="00A3691C">
      <w:pPr>
        <w:spacing w:after="120"/>
        <w:jc w:val="both"/>
        <w:rPr>
          <w:b/>
          <w:i/>
        </w:rPr>
      </w:pPr>
      <w:r w:rsidRPr="00A3691C">
        <w:rPr>
          <w:b/>
          <w:i/>
        </w:rPr>
        <w:t>Academic staff in The Faculty of Humanities</w:t>
      </w:r>
      <w:r w:rsidR="00E445FA" w:rsidRPr="00A3691C">
        <w:rPr>
          <w:b/>
          <w:i/>
        </w:rPr>
        <w:t xml:space="preserve"> </w:t>
      </w:r>
      <w:r w:rsidR="00A40116" w:rsidRPr="00A3691C">
        <w:rPr>
          <w:b/>
          <w:i/>
        </w:rPr>
        <w:t>- gender and BME profile</w:t>
      </w:r>
    </w:p>
    <w:p w:rsidR="00EB6826" w:rsidRDefault="00EB6826" w:rsidP="0043685C">
      <w:pPr>
        <w:spacing w:after="120"/>
        <w:jc w:val="both"/>
      </w:pPr>
      <w:r>
        <w:t>Taking 2008/9 as a baseline, the proportion of women has risen at each academic grade. By 2012/13 women held 38% of research positions (up from 32%), 47% of lectureship positions (up from 40%), 35% of senior lecturer/readerships (up from 30%) and 28% of professorships (up from 26%).</w:t>
      </w:r>
    </w:p>
    <w:p w:rsidR="0005179F" w:rsidRDefault="004F2862" w:rsidP="0043685C">
      <w:pPr>
        <w:spacing w:after="120"/>
        <w:jc w:val="both"/>
      </w:pPr>
      <w:r>
        <w:t>B</w:t>
      </w:r>
      <w:r w:rsidR="0005179F">
        <w:t xml:space="preserve">y 2012/13 </w:t>
      </w:r>
      <w:r>
        <w:t xml:space="preserve">there was also some improvement against the 2008/9 baseline in </w:t>
      </w:r>
      <w:r w:rsidR="0005179F">
        <w:t>the representation of BME men and women at the various academic grades</w:t>
      </w:r>
      <w:r>
        <w:t xml:space="preserve">: </w:t>
      </w:r>
      <w:r w:rsidR="0005179F">
        <w:t xml:space="preserve"> research staff</w:t>
      </w:r>
      <w:r>
        <w:t xml:space="preserve"> remained the same</w:t>
      </w:r>
      <w:r w:rsidR="0005179F">
        <w:t xml:space="preserve"> (14%) </w:t>
      </w:r>
      <w:r>
        <w:t xml:space="preserve">but for the other grades there was a </w:t>
      </w:r>
      <w:r w:rsidR="0005179F">
        <w:t>slight</w:t>
      </w:r>
      <w:r>
        <w:t xml:space="preserve"> increase </w:t>
      </w:r>
      <w:r w:rsidR="0005179F">
        <w:t xml:space="preserve">to 15% for lecturers (up from 14%), </w:t>
      </w:r>
      <w:r>
        <w:t xml:space="preserve">to </w:t>
      </w:r>
      <w:r w:rsidR="0005179F">
        <w:t xml:space="preserve">12% for senior lecturers/readers (up from 10%) and </w:t>
      </w:r>
      <w:r>
        <w:t xml:space="preserve">to </w:t>
      </w:r>
      <w:r w:rsidR="0005179F">
        <w:t>10% for professors (up from 9%).</w:t>
      </w:r>
    </w:p>
    <w:p w:rsidR="0005179F" w:rsidRDefault="0005179F" w:rsidP="0043685C">
      <w:pPr>
        <w:spacing w:after="120"/>
        <w:jc w:val="both"/>
      </w:pPr>
      <w:r>
        <w:t>Women and BME staff have a higher representation among teaching-only staff than lecturers on teaching and research contracts</w:t>
      </w:r>
      <w:r w:rsidR="004F2862">
        <w:t>. I</w:t>
      </w:r>
      <w:r>
        <w:t>n 2012/13 62% of teaching only staff were women and 18% were BME status.</w:t>
      </w:r>
    </w:p>
    <w:p w:rsidR="0005179F" w:rsidRDefault="004F2862" w:rsidP="0043685C">
      <w:pPr>
        <w:spacing w:after="120"/>
        <w:jc w:val="both"/>
      </w:pPr>
      <w:r>
        <w:lastRenderedPageBreak/>
        <w:t>Among research staff</w:t>
      </w:r>
      <w:r w:rsidR="0005179F">
        <w:t xml:space="preserve"> </w:t>
      </w:r>
      <w:r>
        <w:t xml:space="preserve">in 2012/13 just over half of the junior research positions were filled by </w:t>
      </w:r>
      <w:r w:rsidR="0005179F">
        <w:t>women</w:t>
      </w:r>
      <w:r>
        <w:t xml:space="preserve"> (56%)</w:t>
      </w:r>
      <w:r w:rsidR="0005179F">
        <w:t xml:space="preserve"> and </w:t>
      </w:r>
      <w:r>
        <w:t xml:space="preserve">13% by </w:t>
      </w:r>
      <w:r w:rsidR="0005179F">
        <w:t>BME</w:t>
      </w:r>
      <w:r>
        <w:t xml:space="preserve"> men and women, but there representation was lower in the higher grades and among the senior research fellows there were no BME staff and only a third were women.</w:t>
      </w:r>
    </w:p>
    <w:p w:rsidR="00351EAB" w:rsidRPr="00351EAB" w:rsidRDefault="00351EAB" w:rsidP="0043685C">
      <w:pPr>
        <w:spacing w:after="120"/>
        <w:jc w:val="both"/>
      </w:pPr>
      <w:r w:rsidRPr="00351EAB">
        <w:t>Turning to the gender and BME profile of academic staff we see some variation acros</w:t>
      </w:r>
      <w:r w:rsidR="00C1379D">
        <w:t xml:space="preserve">s </w:t>
      </w:r>
      <w:r w:rsidR="00FC4BEA">
        <w:t>Schools (</w:t>
      </w:r>
      <w:r w:rsidR="00FC4BEA" w:rsidRPr="00E445FA">
        <w:rPr>
          <w:b/>
        </w:rPr>
        <w:t>Table 3</w:t>
      </w:r>
      <w:r w:rsidRPr="00E445FA">
        <w:rPr>
          <w:b/>
        </w:rPr>
        <w:t>.2</w:t>
      </w:r>
      <w:r w:rsidRPr="00351EAB">
        <w:t>).</w:t>
      </w:r>
      <w:r w:rsidR="00A1544D">
        <w:t xml:space="preserve"> Note that the School of Law is smaller than the other four Schools and the small number of people at each grade level precludes the calculation of reliable percentages, so the data for this school is presented slightly differently, which is explained in the Table column titles and notes. </w:t>
      </w:r>
    </w:p>
    <w:p w:rsidR="0043685C" w:rsidRDefault="00A1544D" w:rsidP="0043685C">
      <w:pPr>
        <w:spacing w:after="120"/>
        <w:jc w:val="both"/>
      </w:pPr>
      <w:r>
        <w:t xml:space="preserve">In the research on gender inequalities an occupation is considered mixed or ‘balanced’ if men and women each hold at least 40% of the positions; i.e neither hold more than 60%. On this measure the lecturer grade is gender mixed in every School except SoSS, where </w:t>
      </w:r>
      <w:r w:rsidR="00CE19B4">
        <w:t xml:space="preserve">only </w:t>
      </w:r>
      <w:r>
        <w:t>31% of lecturers are women</w:t>
      </w:r>
      <w:r w:rsidR="0043685C">
        <w:t>.</w:t>
      </w:r>
    </w:p>
    <w:p w:rsidR="00311D1B" w:rsidRDefault="00A1544D" w:rsidP="0043685C">
      <w:pPr>
        <w:spacing w:after="120"/>
        <w:jc w:val="both"/>
      </w:pPr>
      <w:r>
        <w:t>Women’s r</w:t>
      </w:r>
      <w:r w:rsidR="00311D1B">
        <w:t>epresentation is lower at senior l</w:t>
      </w:r>
      <w:r>
        <w:t>ecture</w:t>
      </w:r>
      <w:r w:rsidR="0043685C">
        <w:t>r</w:t>
      </w:r>
      <w:r w:rsidR="00311D1B">
        <w:t>/r</w:t>
      </w:r>
      <w:r>
        <w:t>eader level</w:t>
      </w:r>
      <w:r w:rsidR="00311D1B">
        <w:t xml:space="preserve"> and lower still at p</w:t>
      </w:r>
      <w:r w:rsidR="0043685C">
        <w:t>rofessorial level.</w:t>
      </w:r>
      <w:r w:rsidR="00311D1B">
        <w:t xml:space="preserve"> The Faculty target of women holding 47% of the senior lecturer/reader/professor positions has not been reached in any of our Schools. </w:t>
      </w:r>
    </w:p>
    <w:p w:rsidR="00A1544D" w:rsidRDefault="0043685C" w:rsidP="006601FD">
      <w:pPr>
        <w:pStyle w:val="ListParagraph"/>
        <w:numPr>
          <w:ilvl w:val="0"/>
          <w:numId w:val="10"/>
        </w:numPr>
        <w:spacing w:after="120"/>
        <w:jc w:val="both"/>
      </w:pPr>
      <w:r>
        <w:t xml:space="preserve">Only one in five of the </w:t>
      </w:r>
      <w:r w:rsidR="00311D1B">
        <w:t>SL/R</w:t>
      </w:r>
      <w:r w:rsidR="007E5B6F">
        <w:t>eaders in SO</w:t>
      </w:r>
      <w:r>
        <w:t>SS are women and one in three of those in Law and MBS, rising to 39% in SEED and 42% in SALC.</w:t>
      </w:r>
    </w:p>
    <w:p w:rsidR="00311D1B" w:rsidRDefault="00351EAB" w:rsidP="006601FD">
      <w:pPr>
        <w:pStyle w:val="ListParagraph"/>
        <w:numPr>
          <w:ilvl w:val="0"/>
          <w:numId w:val="10"/>
        </w:numPr>
        <w:spacing w:after="120"/>
        <w:jc w:val="both"/>
      </w:pPr>
      <w:r w:rsidRPr="00351EAB">
        <w:t>Women’s representation at professorial level is lowest in Law (</w:t>
      </w:r>
      <w:r w:rsidR="000852D0" w:rsidRPr="000852D0">
        <w:t>three of the 20 professors, circa 15</w:t>
      </w:r>
      <w:r w:rsidR="005B4E56">
        <w:t xml:space="preserve"> per cent</w:t>
      </w:r>
      <w:r w:rsidR="000852D0" w:rsidRPr="000852D0">
        <w:t xml:space="preserve">) </w:t>
      </w:r>
      <w:r w:rsidRPr="00351EAB">
        <w:t>and MBS (19</w:t>
      </w:r>
      <w:r w:rsidR="005B4E56">
        <w:t xml:space="preserve"> per cent</w:t>
      </w:r>
      <w:r w:rsidRPr="00351EAB">
        <w:t>) rising to 25</w:t>
      </w:r>
      <w:r w:rsidR="005B4E56">
        <w:t xml:space="preserve"> per cent</w:t>
      </w:r>
      <w:r w:rsidRPr="00351EAB">
        <w:t xml:space="preserve"> in SEED, 36</w:t>
      </w:r>
      <w:r w:rsidR="005B4E56">
        <w:t xml:space="preserve"> per cent</w:t>
      </w:r>
      <w:r w:rsidR="007E5B6F">
        <w:t xml:space="preserve"> in SO</w:t>
      </w:r>
      <w:r w:rsidRPr="00351EAB">
        <w:t>SS and 37</w:t>
      </w:r>
      <w:r w:rsidR="005B4E56">
        <w:t xml:space="preserve"> per cent</w:t>
      </w:r>
      <w:r w:rsidRPr="00351EAB">
        <w:t xml:space="preserve"> in SALC. </w:t>
      </w:r>
    </w:p>
    <w:p w:rsidR="00CE19B4" w:rsidRDefault="00CE19B4" w:rsidP="006601FD">
      <w:pPr>
        <w:pStyle w:val="ListParagraph"/>
        <w:numPr>
          <w:ilvl w:val="0"/>
          <w:numId w:val="10"/>
        </w:numPr>
        <w:spacing w:after="120"/>
        <w:jc w:val="both"/>
      </w:pPr>
      <w:r>
        <w:t xml:space="preserve">Hence the </w:t>
      </w:r>
      <w:r w:rsidR="007E5B6F">
        <w:t>professoriate in SO</w:t>
      </w:r>
      <w:r w:rsidR="00351EAB" w:rsidRPr="00351EAB">
        <w:t>SS and SALC are close to reaching a balanced gender profile. However, this may disguise pronounced variation within Schools by discipline areas, for example in economics compared to sociology.</w:t>
      </w:r>
    </w:p>
    <w:p w:rsidR="00E3656F" w:rsidRDefault="00E3656F" w:rsidP="006601FD">
      <w:pPr>
        <w:pStyle w:val="ListParagraph"/>
        <w:numPr>
          <w:ilvl w:val="0"/>
          <w:numId w:val="10"/>
        </w:numPr>
        <w:spacing w:after="120"/>
        <w:jc w:val="both"/>
      </w:pPr>
      <w:r>
        <w:t>Research positions are generally less secure than lecturer</w:t>
      </w:r>
      <w:r w:rsidR="00E445FA">
        <w:t xml:space="preserve"> posts </w:t>
      </w:r>
      <w:r>
        <w:t xml:space="preserve">but can provide a career </w:t>
      </w:r>
      <w:r w:rsidR="002D2A46">
        <w:t>stepping stone in</w:t>
      </w:r>
      <w:r>
        <w:t>to a lectureship. The gender profile of research staff is similar to that for lecturer grades in SALC and SEED. In MBS and SOSS there are more women among research staff than among lecturers. (In Law there is only three research staff and so no reliable conclusion can be drawn).</w:t>
      </w:r>
    </w:p>
    <w:p w:rsidR="00CE19B4" w:rsidRPr="00351EAB" w:rsidRDefault="00CE19B4" w:rsidP="00CE19B4">
      <w:pPr>
        <w:spacing w:after="120"/>
        <w:jc w:val="both"/>
      </w:pPr>
      <w:r>
        <w:t xml:space="preserve">This fall-off in </w:t>
      </w:r>
      <w:r w:rsidR="002D2A46">
        <w:t xml:space="preserve">women’s </w:t>
      </w:r>
      <w:r>
        <w:t xml:space="preserve">representation at more senior grades can result from two processes. It may be due in part to a </w:t>
      </w:r>
      <w:r w:rsidRPr="00351EAB">
        <w:t>cohort effect if women are more recent entrants</w:t>
      </w:r>
      <w:r>
        <w:t xml:space="preserve"> and hence are less ready, on average, for promotion compared to the men at the comparable grade. B</w:t>
      </w:r>
      <w:r w:rsidRPr="00351EAB">
        <w:t xml:space="preserve">ut it may also be that women are slower to </w:t>
      </w:r>
      <w:r>
        <w:t xml:space="preserve">apply for promotion, or if they apply are less successful. </w:t>
      </w:r>
      <w:r w:rsidRPr="00351EAB">
        <w:t xml:space="preserve">This </w:t>
      </w:r>
      <w:r>
        <w:t xml:space="preserve">is analysed later </w:t>
      </w:r>
      <w:r w:rsidR="00311D1B">
        <w:t xml:space="preserve">in </w:t>
      </w:r>
      <w:r w:rsidR="00C1379D" w:rsidRPr="00C1379D">
        <w:t>section 3</w:t>
      </w:r>
      <w:r w:rsidR="00311D1B" w:rsidRPr="00C1379D">
        <w:t>.6</w:t>
      </w:r>
      <w:r w:rsidR="00311D1B">
        <w:t xml:space="preserve"> below</w:t>
      </w:r>
      <w:r w:rsidRPr="00351EAB">
        <w:t>.</w:t>
      </w:r>
    </w:p>
    <w:p w:rsidR="00D037EA" w:rsidRDefault="00311D1B" w:rsidP="007E5B6F">
      <w:pPr>
        <w:contextualSpacing/>
        <w:jc w:val="both"/>
      </w:pPr>
      <w:r>
        <w:t>The Faculty target that a minimum of 15% of senior lecturer/reader/professional staff should be BME men and women has not been met in any of the five Schools. Between 12-14 per cent of lecturers are BME in SALC, SEED and SOSS, just over a quarter in MBS (27%) and one third in LAW.</w:t>
      </w:r>
      <w:r w:rsidR="007E5B6F">
        <w:t xml:space="preserve"> BME Representation is lower at SL/reader and lower still among the professoriate</w:t>
      </w:r>
      <w:r w:rsidR="00D037EA">
        <w:t xml:space="preserve">. </w:t>
      </w:r>
    </w:p>
    <w:p w:rsidR="00D037EA" w:rsidRDefault="00D037EA" w:rsidP="006601FD">
      <w:pPr>
        <w:pStyle w:val="ListParagraph"/>
        <w:numPr>
          <w:ilvl w:val="0"/>
          <w:numId w:val="34"/>
        </w:numPr>
        <w:ind w:left="357" w:hanging="357"/>
        <w:jc w:val="both"/>
      </w:pPr>
      <w:r>
        <w:t>T</w:t>
      </w:r>
      <w:r w:rsidR="007E5B6F">
        <w:t>he fall-off in BME presence at senior lecturer</w:t>
      </w:r>
      <w:r>
        <w:t>/reader</w:t>
      </w:r>
      <w:r w:rsidR="007E5B6F">
        <w:t xml:space="preserve"> compared to lecturer level seems to be more pronounced in LAW, MBS and SEED than in SALC and SOSS. </w:t>
      </w:r>
    </w:p>
    <w:p w:rsidR="00351EAB" w:rsidRPr="00351EAB" w:rsidRDefault="00311D1B" w:rsidP="006601FD">
      <w:pPr>
        <w:pStyle w:val="ListParagraph"/>
        <w:numPr>
          <w:ilvl w:val="0"/>
          <w:numId w:val="33"/>
        </w:numPr>
        <w:jc w:val="both"/>
      </w:pPr>
      <w:r>
        <w:t>In SO</w:t>
      </w:r>
      <w:r w:rsidR="00351EAB" w:rsidRPr="00351EAB">
        <w:t xml:space="preserve">SS </w:t>
      </w:r>
      <w:r w:rsidR="00D037EA">
        <w:t xml:space="preserve">and SALC </w:t>
      </w:r>
      <w:r w:rsidR="00351EAB" w:rsidRPr="00351EAB">
        <w:t xml:space="preserve">the fall-off in BME presence appears to be at entry to the professoriate. In SEED the profile is different: the proportion of professoriate who are BME is similar to the proportion of lecturers, but with a low BME presence at senior lecturer grades. This may reflect two points of entry: at the junior lecturer grades and external recruitment of BME professors. </w:t>
      </w:r>
    </w:p>
    <w:p w:rsidR="00D037EA" w:rsidRDefault="00D037EA" w:rsidP="006601FD">
      <w:pPr>
        <w:pStyle w:val="ListParagraph"/>
        <w:numPr>
          <w:ilvl w:val="0"/>
          <w:numId w:val="33"/>
        </w:numPr>
        <w:jc w:val="both"/>
      </w:pPr>
      <w:r w:rsidRPr="00351EAB">
        <w:lastRenderedPageBreak/>
        <w:t>The representation of BME men and women at professorial level is lowest in SALC (6</w:t>
      </w:r>
      <w:r>
        <w:t xml:space="preserve"> per cent</w:t>
      </w:r>
      <w:r w:rsidRPr="00351EAB">
        <w:t xml:space="preserve"> o</w:t>
      </w:r>
      <w:r>
        <w:t>f professors are BME status), SO</w:t>
      </w:r>
      <w:r w:rsidRPr="00351EAB">
        <w:t>SS (9</w:t>
      </w:r>
      <w:r>
        <w:t xml:space="preserve"> per cent</w:t>
      </w:r>
      <w:r w:rsidRPr="00351EAB">
        <w:t>) and MBS (10</w:t>
      </w:r>
      <w:r>
        <w:t xml:space="preserve"> per cent</w:t>
      </w:r>
      <w:r w:rsidRPr="00351EAB">
        <w:t>), reaching 13</w:t>
      </w:r>
      <w:r>
        <w:t xml:space="preserve"> per cent</w:t>
      </w:r>
      <w:r w:rsidRPr="00351EAB">
        <w:t xml:space="preserve"> in SEED and </w:t>
      </w:r>
      <w:r>
        <w:t xml:space="preserve">slightly higher </w:t>
      </w:r>
      <w:r w:rsidRPr="00351EAB">
        <w:t>in Law (</w:t>
      </w:r>
      <w:r>
        <w:t xml:space="preserve">three </w:t>
      </w:r>
      <w:r w:rsidRPr="00351EAB">
        <w:t>of the 20 professors</w:t>
      </w:r>
      <w:r>
        <w:t xml:space="preserve">, circa 15 per cent). </w:t>
      </w:r>
    </w:p>
    <w:p w:rsidR="00D037EA" w:rsidRDefault="00D037EA" w:rsidP="006601FD">
      <w:pPr>
        <w:pStyle w:val="ListParagraph"/>
        <w:numPr>
          <w:ilvl w:val="0"/>
          <w:numId w:val="33"/>
        </w:numPr>
        <w:jc w:val="both"/>
      </w:pPr>
      <w:r w:rsidRPr="00351EAB">
        <w:t xml:space="preserve">When we examine gender and BME status together </w:t>
      </w:r>
      <w:r>
        <w:t xml:space="preserve">we see </w:t>
      </w:r>
      <w:r w:rsidRPr="00351EAB">
        <w:t xml:space="preserve">that BME women are less likely to hold senior positions compared to either white women or </w:t>
      </w:r>
      <w:r>
        <w:t xml:space="preserve">the aggregate for </w:t>
      </w:r>
      <w:r w:rsidRPr="00351EAB">
        <w:t>BME men</w:t>
      </w:r>
      <w:r>
        <w:t xml:space="preserve"> and women</w:t>
      </w:r>
      <w:r w:rsidRPr="00351EAB">
        <w:t>. SEED performs best on this indicator, for 8</w:t>
      </w:r>
      <w:r>
        <w:t xml:space="preserve"> per cent</w:t>
      </w:r>
      <w:r w:rsidRPr="00351EAB">
        <w:t xml:space="preserve"> of their professoriate are BME women.</w:t>
      </w:r>
    </w:p>
    <w:p w:rsidR="00252D3E" w:rsidRPr="00252D3E" w:rsidRDefault="002D2A46" w:rsidP="006601FD">
      <w:pPr>
        <w:pStyle w:val="ListParagraph"/>
        <w:numPr>
          <w:ilvl w:val="0"/>
          <w:numId w:val="33"/>
        </w:numPr>
        <w:jc w:val="both"/>
      </w:pPr>
      <w:r>
        <w:t xml:space="preserve">The BME profile of research staff is lower than for lecturer grades in every school except SALC, where the proportion is similar (12%). There are very few BME women among research staff. </w:t>
      </w:r>
    </w:p>
    <w:p w:rsidR="00A3691C" w:rsidRDefault="00A3691C" w:rsidP="00252D3E">
      <w:pPr>
        <w:pStyle w:val="ListParagraph"/>
        <w:ind w:left="360"/>
        <w:jc w:val="center"/>
        <w:rPr>
          <w:b/>
        </w:rPr>
      </w:pPr>
    </w:p>
    <w:p w:rsidR="00351EAB" w:rsidRPr="00252D3E" w:rsidRDefault="00FC4BEA" w:rsidP="00252D3E">
      <w:pPr>
        <w:pStyle w:val="ListParagraph"/>
        <w:ind w:left="360"/>
        <w:jc w:val="center"/>
      </w:pPr>
      <w:r w:rsidRPr="00252D3E">
        <w:rPr>
          <w:b/>
        </w:rPr>
        <w:t>Table 3</w:t>
      </w:r>
      <w:r w:rsidR="00E06CED" w:rsidRPr="00252D3E">
        <w:rPr>
          <w:b/>
        </w:rPr>
        <w:t>.2</w:t>
      </w:r>
      <w:r w:rsidR="00351EAB" w:rsidRPr="00252D3E">
        <w:rPr>
          <w:b/>
        </w:rPr>
        <w:t xml:space="preserve"> The gender and BME profile of academic staff, by School</w:t>
      </w:r>
    </w:p>
    <w:tbl>
      <w:tblPr>
        <w:tblStyle w:val="TableGrid"/>
        <w:tblW w:w="0" w:type="auto"/>
        <w:tblLook w:val="04A0" w:firstRow="1" w:lastRow="0" w:firstColumn="1" w:lastColumn="0" w:noHBand="0" w:noVBand="1"/>
      </w:tblPr>
      <w:tblGrid>
        <w:gridCol w:w="2235"/>
        <w:gridCol w:w="1842"/>
        <w:gridCol w:w="1276"/>
        <w:gridCol w:w="1559"/>
        <w:gridCol w:w="1843"/>
      </w:tblGrid>
      <w:tr w:rsidR="00700442" w:rsidRPr="00A937B3" w:rsidTr="00A937B3">
        <w:tc>
          <w:tcPr>
            <w:tcW w:w="6912" w:type="dxa"/>
            <w:gridSpan w:val="4"/>
          </w:tcPr>
          <w:p w:rsidR="00700442" w:rsidRPr="00A937B3" w:rsidRDefault="00700442" w:rsidP="00351EAB">
            <w:pPr>
              <w:rPr>
                <w:rFonts w:asciiTheme="minorHAnsi" w:hAnsiTheme="minorHAnsi"/>
                <w:b/>
                <w:sz w:val="22"/>
                <w:szCs w:val="22"/>
              </w:rPr>
            </w:pPr>
            <w:r w:rsidRPr="00A937B3">
              <w:rPr>
                <w:rFonts w:asciiTheme="minorHAnsi" w:hAnsiTheme="minorHAnsi"/>
                <w:b/>
                <w:sz w:val="22"/>
                <w:szCs w:val="22"/>
              </w:rPr>
              <w:t>A. LAW</w:t>
            </w:r>
          </w:p>
        </w:tc>
        <w:tc>
          <w:tcPr>
            <w:tcW w:w="1843" w:type="dxa"/>
            <w:vMerge w:val="restart"/>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Total number (row count)</w:t>
            </w:r>
          </w:p>
        </w:tc>
      </w:tr>
      <w:tr w:rsidR="00700442" w:rsidRPr="00A937B3" w:rsidTr="00A937B3">
        <w:tc>
          <w:tcPr>
            <w:tcW w:w="2235" w:type="dxa"/>
            <w:vMerge w:val="restart"/>
          </w:tcPr>
          <w:p w:rsidR="00700442" w:rsidRPr="00A937B3" w:rsidRDefault="00700442" w:rsidP="00351EAB">
            <w:pPr>
              <w:rPr>
                <w:rFonts w:asciiTheme="minorHAnsi" w:hAnsiTheme="minorHAnsi"/>
                <w:b/>
                <w:sz w:val="22"/>
                <w:szCs w:val="22"/>
              </w:rPr>
            </w:pPr>
          </w:p>
        </w:tc>
        <w:tc>
          <w:tcPr>
            <w:tcW w:w="4677" w:type="dxa"/>
            <w:gridSpan w:val="3"/>
            <w:shd w:val="clear" w:color="auto" w:fill="DAEEF3" w:themeFill="accent5" w:themeFillTint="33"/>
          </w:tcPr>
          <w:p w:rsidR="00700442" w:rsidRPr="00A937B3" w:rsidRDefault="00700442" w:rsidP="003A1CD7">
            <w:pPr>
              <w:jc w:val="center"/>
              <w:rPr>
                <w:rFonts w:asciiTheme="minorHAnsi" w:hAnsiTheme="minorHAnsi"/>
                <w:b/>
                <w:sz w:val="22"/>
                <w:szCs w:val="22"/>
              </w:rPr>
            </w:pPr>
            <w:r w:rsidRPr="00A937B3">
              <w:rPr>
                <w:rFonts w:asciiTheme="minorHAnsi" w:hAnsiTheme="minorHAnsi"/>
                <w:b/>
                <w:sz w:val="22"/>
                <w:szCs w:val="22"/>
              </w:rPr>
              <w:t xml:space="preserve">The proportion of staff in each grade </w:t>
            </w:r>
            <w:r w:rsidRPr="00A937B3">
              <w:rPr>
                <w:rFonts w:asciiTheme="minorHAnsi" w:hAnsiTheme="minorHAnsi"/>
                <w:b/>
                <w:i/>
                <w:sz w:val="22"/>
                <w:szCs w:val="22"/>
              </w:rPr>
              <w:t>[and number]</w:t>
            </w:r>
            <w:r w:rsidR="003A1CD7" w:rsidRPr="00A937B3">
              <w:rPr>
                <w:rFonts w:asciiTheme="minorHAnsi" w:hAnsiTheme="minorHAnsi"/>
                <w:b/>
                <w:i/>
                <w:sz w:val="22"/>
                <w:szCs w:val="22"/>
              </w:rPr>
              <w:t xml:space="preserve"> </w:t>
            </w:r>
            <w:r w:rsidRPr="00A937B3">
              <w:rPr>
                <w:rFonts w:asciiTheme="minorHAnsi" w:hAnsiTheme="minorHAnsi"/>
                <w:b/>
                <w:sz w:val="22"/>
                <w:szCs w:val="22"/>
              </w:rPr>
              <w:t>who are…</w:t>
            </w:r>
          </w:p>
        </w:tc>
        <w:tc>
          <w:tcPr>
            <w:tcW w:w="1843" w:type="dxa"/>
            <w:vMerge/>
          </w:tcPr>
          <w:p w:rsidR="00700442" w:rsidRPr="00A937B3" w:rsidRDefault="00700442" w:rsidP="00351EAB">
            <w:pPr>
              <w:jc w:val="center"/>
              <w:rPr>
                <w:rFonts w:asciiTheme="minorHAnsi" w:hAnsiTheme="minorHAnsi"/>
                <w:b/>
                <w:sz w:val="22"/>
                <w:szCs w:val="22"/>
              </w:rPr>
            </w:pPr>
          </w:p>
        </w:tc>
      </w:tr>
      <w:tr w:rsidR="00700442" w:rsidRPr="00A937B3" w:rsidTr="00A937B3">
        <w:tc>
          <w:tcPr>
            <w:tcW w:w="2235" w:type="dxa"/>
            <w:vMerge/>
            <w:tcBorders>
              <w:bottom w:val="single" w:sz="4" w:space="0" w:color="auto"/>
            </w:tcBorders>
          </w:tcPr>
          <w:p w:rsidR="00700442" w:rsidRPr="00A937B3" w:rsidRDefault="00700442" w:rsidP="00351EAB">
            <w:pPr>
              <w:rPr>
                <w:rFonts w:asciiTheme="minorHAnsi" w:hAnsiTheme="minorHAnsi"/>
                <w:b/>
                <w:sz w:val="22"/>
                <w:szCs w:val="22"/>
              </w:rPr>
            </w:pPr>
          </w:p>
        </w:tc>
        <w:tc>
          <w:tcPr>
            <w:tcW w:w="1842"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Female</w:t>
            </w:r>
          </w:p>
        </w:tc>
        <w:tc>
          <w:tcPr>
            <w:tcW w:w="1276"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BME</w:t>
            </w:r>
          </w:p>
        </w:tc>
        <w:tc>
          <w:tcPr>
            <w:tcW w:w="1559" w:type="dxa"/>
            <w:tcBorders>
              <w:bottom w:val="single" w:sz="4" w:space="0" w:color="auto"/>
            </w:tcBorders>
            <w:shd w:val="clear" w:color="auto" w:fill="DAEEF3" w:themeFill="accent5" w:themeFillTint="33"/>
          </w:tcPr>
          <w:p w:rsidR="00700442" w:rsidRPr="00A937B3" w:rsidRDefault="00700442" w:rsidP="00B66054">
            <w:pPr>
              <w:jc w:val="center"/>
              <w:rPr>
                <w:rFonts w:asciiTheme="minorHAnsi" w:hAnsiTheme="minorHAnsi"/>
                <w:b/>
                <w:sz w:val="22"/>
                <w:szCs w:val="22"/>
              </w:rPr>
            </w:pPr>
            <w:r w:rsidRPr="00A937B3">
              <w:rPr>
                <w:rFonts w:asciiTheme="minorHAnsi" w:hAnsiTheme="minorHAnsi"/>
                <w:b/>
                <w:sz w:val="22"/>
                <w:szCs w:val="22"/>
              </w:rPr>
              <w:t>Female &amp; BME</w:t>
            </w:r>
          </w:p>
        </w:tc>
        <w:tc>
          <w:tcPr>
            <w:tcW w:w="1843" w:type="dxa"/>
            <w:vMerge/>
            <w:tcBorders>
              <w:bottom w:val="single" w:sz="4" w:space="0" w:color="auto"/>
            </w:tcBorders>
          </w:tcPr>
          <w:p w:rsidR="00700442" w:rsidRPr="00A937B3" w:rsidRDefault="00700442" w:rsidP="00351EAB">
            <w:pPr>
              <w:jc w:val="center"/>
              <w:rPr>
                <w:rFonts w:asciiTheme="minorHAnsi" w:hAnsiTheme="minorHAnsi"/>
                <w:b/>
                <w:sz w:val="22"/>
                <w:szCs w:val="22"/>
              </w:rPr>
            </w:pPr>
          </w:p>
        </w:tc>
      </w:tr>
      <w:tr w:rsidR="00351EAB" w:rsidRPr="00A937B3" w:rsidTr="00A937B3">
        <w:tc>
          <w:tcPr>
            <w:tcW w:w="2235"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Lecturer</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Half [12]</w:t>
            </w:r>
          </w:p>
        </w:tc>
        <w:tc>
          <w:tcPr>
            <w:tcW w:w="1276"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One third [8]</w:t>
            </w:r>
          </w:p>
        </w:tc>
        <w:tc>
          <w:tcPr>
            <w:tcW w:w="1559"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One</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24</w:t>
            </w: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Senior Lecturer/Reader</w:t>
            </w:r>
          </w:p>
        </w:tc>
        <w:tc>
          <w:tcPr>
            <w:tcW w:w="1842"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sz w:val="22"/>
                <w:szCs w:val="22"/>
              </w:rPr>
            </w:pPr>
            <w:r w:rsidRPr="00A937B3">
              <w:rPr>
                <w:rFonts w:asciiTheme="minorHAnsi" w:hAnsiTheme="minorHAnsi"/>
                <w:i/>
                <w:sz w:val="22"/>
                <w:szCs w:val="22"/>
              </w:rPr>
              <w:t>~ one in three</w:t>
            </w:r>
            <w:r w:rsidRPr="00A937B3">
              <w:rPr>
                <w:rFonts w:asciiTheme="minorHAnsi" w:hAnsiTheme="minorHAnsi"/>
                <w:sz w:val="22"/>
                <w:szCs w:val="22"/>
              </w:rPr>
              <w:t xml:space="preserve"> [8]</w:t>
            </w:r>
          </w:p>
        </w:tc>
        <w:tc>
          <w:tcPr>
            <w:tcW w:w="1276" w:type="dxa"/>
            <w:tcBorders>
              <w:top w:val="nil"/>
              <w:left w:val="single" w:sz="4" w:space="0" w:color="auto"/>
              <w:bottom w:val="nil"/>
              <w:right w:val="single" w:sz="4" w:space="0" w:color="auto"/>
            </w:tcBorders>
          </w:tcPr>
          <w:p w:rsidR="00351EAB" w:rsidRPr="00A937B3" w:rsidRDefault="005B6EEC" w:rsidP="00351EAB">
            <w:pPr>
              <w:jc w:val="center"/>
              <w:rPr>
                <w:rFonts w:asciiTheme="minorHAnsi" w:hAnsiTheme="minorHAnsi"/>
                <w:sz w:val="22"/>
                <w:szCs w:val="22"/>
              </w:rPr>
            </w:pPr>
            <w:r w:rsidRPr="00A937B3">
              <w:rPr>
                <w:rFonts w:asciiTheme="minorHAnsi" w:hAnsiTheme="minorHAnsi"/>
                <w:i/>
                <w:sz w:val="22"/>
                <w:szCs w:val="22"/>
              </w:rPr>
              <w:t>~</w:t>
            </w:r>
            <w:r w:rsidR="00351EAB" w:rsidRPr="00A937B3">
              <w:rPr>
                <w:rFonts w:asciiTheme="minorHAnsi" w:hAnsiTheme="minorHAnsi"/>
                <w:i/>
                <w:sz w:val="22"/>
                <w:szCs w:val="22"/>
              </w:rPr>
              <w:t>19</w:t>
            </w:r>
            <w:r w:rsidR="000852D0" w:rsidRPr="00A937B3">
              <w:rPr>
                <w:rFonts w:asciiTheme="minorHAnsi" w:hAnsiTheme="minorHAnsi"/>
                <w:i/>
                <w:sz w:val="22"/>
                <w:szCs w:val="22"/>
              </w:rPr>
              <w:t>%</w:t>
            </w:r>
            <w:r w:rsidR="000852D0" w:rsidRPr="00A937B3">
              <w:rPr>
                <w:rFonts w:asciiTheme="minorHAnsi" w:hAnsiTheme="minorHAnsi"/>
                <w:sz w:val="22"/>
                <w:szCs w:val="22"/>
              </w:rPr>
              <w:t xml:space="preserve"> [4]</w:t>
            </w: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21</w:t>
            </w: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Professor</w:t>
            </w:r>
          </w:p>
        </w:tc>
        <w:tc>
          <w:tcPr>
            <w:tcW w:w="1842" w:type="dxa"/>
            <w:tcBorders>
              <w:top w:val="nil"/>
              <w:left w:val="single" w:sz="4" w:space="0" w:color="auto"/>
              <w:bottom w:val="nil"/>
              <w:right w:val="single" w:sz="4" w:space="0" w:color="auto"/>
            </w:tcBorders>
          </w:tcPr>
          <w:p w:rsidR="00351EAB" w:rsidRPr="00A937B3" w:rsidRDefault="000852D0" w:rsidP="00351EAB">
            <w:pPr>
              <w:jc w:val="center"/>
              <w:rPr>
                <w:rFonts w:asciiTheme="minorHAnsi" w:hAnsiTheme="minorHAnsi"/>
                <w:sz w:val="22"/>
                <w:szCs w:val="22"/>
              </w:rPr>
            </w:pPr>
            <w:r w:rsidRPr="00A937B3">
              <w:rPr>
                <w:rFonts w:asciiTheme="minorHAnsi" w:hAnsiTheme="minorHAnsi"/>
                <w:sz w:val="22"/>
                <w:szCs w:val="22"/>
              </w:rPr>
              <w:t>~15%</w:t>
            </w:r>
            <w:r w:rsidR="00351EAB" w:rsidRPr="00A937B3">
              <w:rPr>
                <w:rFonts w:asciiTheme="minorHAnsi" w:hAnsiTheme="minorHAnsi"/>
                <w:sz w:val="22"/>
                <w:szCs w:val="22"/>
              </w:rPr>
              <w:t xml:space="preserve"> [3]</w:t>
            </w:r>
          </w:p>
        </w:tc>
        <w:tc>
          <w:tcPr>
            <w:tcW w:w="1276" w:type="dxa"/>
            <w:tcBorders>
              <w:top w:val="nil"/>
              <w:left w:val="single" w:sz="4" w:space="0" w:color="auto"/>
              <w:bottom w:val="nil"/>
              <w:right w:val="single" w:sz="4" w:space="0" w:color="auto"/>
            </w:tcBorders>
          </w:tcPr>
          <w:p w:rsidR="00351EAB" w:rsidRPr="00A937B3" w:rsidRDefault="0043685C" w:rsidP="00351EAB">
            <w:pPr>
              <w:jc w:val="center"/>
              <w:rPr>
                <w:rFonts w:asciiTheme="minorHAnsi" w:hAnsiTheme="minorHAnsi"/>
                <w:sz w:val="22"/>
                <w:szCs w:val="22"/>
              </w:rPr>
            </w:pPr>
            <w:r w:rsidRPr="00A937B3">
              <w:rPr>
                <w:rFonts w:asciiTheme="minorHAnsi" w:hAnsiTheme="minorHAnsi"/>
                <w:i/>
                <w:sz w:val="22"/>
                <w:szCs w:val="22"/>
              </w:rPr>
              <w:t>~15%</w:t>
            </w:r>
            <w:r w:rsidRPr="00A937B3">
              <w:rPr>
                <w:rFonts w:asciiTheme="minorHAnsi" w:hAnsiTheme="minorHAnsi"/>
                <w:sz w:val="22"/>
                <w:szCs w:val="22"/>
              </w:rPr>
              <w:t xml:space="preserve"> [</w:t>
            </w:r>
            <w:r w:rsidR="00351EAB" w:rsidRPr="00A937B3">
              <w:rPr>
                <w:rFonts w:asciiTheme="minorHAnsi" w:hAnsiTheme="minorHAnsi"/>
                <w:sz w:val="22"/>
                <w:szCs w:val="22"/>
              </w:rPr>
              <w:t>3</w:t>
            </w:r>
            <w:r w:rsidRPr="00A937B3">
              <w:rPr>
                <w:rFonts w:asciiTheme="minorHAnsi" w:hAnsiTheme="minorHAnsi"/>
                <w:sz w:val="22"/>
                <w:szCs w:val="22"/>
              </w:rPr>
              <w:t>]</w:t>
            </w: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20</w:t>
            </w: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276"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Researcher</w:t>
            </w:r>
          </w:p>
        </w:tc>
        <w:tc>
          <w:tcPr>
            <w:tcW w:w="1842" w:type="dxa"/>
            <w:tcBorders>
              <w:top w:val="nil"/>
              <w:left w:val="single" w:sz="4" w:space="0" w:color="auto"/>
              <w:bottom w:val="nil"/>
              <w:right w:val="single" w:sz="4" w:space="0" w:color="auto"/>
            </w:tcBorders>
          </w:tcPr>
          <w:p w:rsidR="00351EAB" w:rsidRPr="00A937B3" w:rsidRDefault="00351EAB" w:rsidP="0043685C">
            <w:pPr>
              <w:jc w:val="center"/>
              <w:rPr>
                <w:rFonts w:asciiTheme="minorHAnsi" w:hAnsiTheme="minorHAnsi"/>
                <w:sz w:val="22"/>
                <w:szCs w:val="22"/>
              </w:rPr>
            </w:pPr>
            <w:r w:rsidRPr="00A937B3">
              <w:rPr>
                <w:rFonts w:asciiTheme="minorHAnsi" w:hAnsiTheme="minorHAnsi"/>
                <w:sz w:val="22"/>
                <w:szCs w:val="22"/>
              </w:rPr>
              <w:t xml:space="preserve">One </w:t>
            </w:r>
            <w:r w:rsidR="0043685C" w:rsidRPr="00A937B3">
              <w:rPr>
                <w:rFonts w:asciiTheme="minorHAnsi" w:hAnsiTheme="minorHAnsi"/>
                <w:sz w:val="22"/>
                <w:szCs w:val="22"/>
              </w:rPr>
              <w:t xml:space="preserve">out of </w:t>
            </w:r>
            <w:r w:rsidRPr="00A937B3">
              <w:rPr>
                <w:rFonts w:asciiTheme="minorHAnsi" w:hAnsiTheme="minorHAnsi"/>
                <w:sz w:val="22"/>
                <w:szCs w:val="22"/>
              </w:rPr>
              <w:t>three</w:t>
            </w:r>
          </w:p>
        </w:tc>
        <w:tc>
          <w:tcPr>
            <w:tcW w:w="1276"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r>
      <w:tr w:rsidR="00351EAB" w:rsidRPr="00A937B3" w:rsidTr="00A937B3">
        <w:tc>
          <w:tcPr>
            <w:tcW w:w="2235"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PSS</w:t>
            </w:r>
          </w:p>
        </w:tc>
        <w:tc>
          <w:tcPr>
            <w:tcW w:w="1842"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559"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235"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1-4</w:t>
            </w:r>
          </w:p>
        </w:tc>
        <w:tc>
          <w:tcPr>
            <w:tcW w:w="1842" w:type="dxa"/>
            <w:tcBorders>
              <w:top w:val="single" w:sz="4" w:space="0" w:color="auto"/>
              <w:left w:val="single" w:sz="4" w:space="0" w:color="auto"/>
              <w:bottom w:val="nil"/>
              <w:right w:val="single" w:sz="4" w:space="0" w:color="auto"/>
            </w:tcBorders>
          </w:tcPr>
          <w:p w:rsidR="00351EAB" w:rsidRPr="00A937B3" w:rsidRDefault="00351EAB" w:rsidP="00252D3E">
            <w:pPr>
              <w:jc w:val="center"/>
              <w:rPr>
                <w:rFonts w:asciiTheme="minorHAnsi" w:hAnsiTheme="minorHAnsi"/>
                <w:sz w:val="22"/>
                <w:szCs w:val="22"/>
              </w:rPr>
            </w:pPr>
            <w:r w:rsidRPr="00A937B3">
              <w:rPr>
                <w:rFonts w:asciiTheme="minorHAnsi" w:hAnsiTheme="minorHAnsi"/>
                <w:sz w:val="22"/>
                <w:szCs w:val="22"/>
              </w:rPr>
              <w:t>All except 1</w:t>
            </w:r>
          </w:p>
        </w:tc>
        <w:tc>
          <w:tcPr>
            <w:tcW w:w="1276"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559"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17</w:t>
            </w:r>
          </w:p>
        </w:tc>
      </w:tr>
      <w:tr w:rsidR="00351EAB" w:rsidRPr="00A937B3" w:rsidTr="00A937B3">
        <w:tc>
          <w:tcPr>
            <w:tcW w:w="2235"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5-6</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All except 1</w:t>
            </w:r>
          </w:p>
        </w:tc>
        <w:tc>
          <w:tcPr>
            <w:tcW w:w="1276"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559"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w:t>
            </w:r>
          </w:p>
        </w:tc>
      </w:tr>
      <w:tr w:rsidR="00351EAB" w:rsidRPr="00A937B3" w:rsidTr="00A937B3">
        <w:tc>
          <w:tcPr>
            <w:tcW w:w="2235" w:type="dxa"/>
            <w:tcBorders>
              <w:top w:val="nil"/>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7-9</w:t>
            </w:r>
          </w:p>
        </w:tc>
        <w:tc>
          <w:tcPr>
            <w:tcW w:w="1842"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All</w:t>
            </w:r>
          </w:p>
        </w:tc>
        <w:tc>
          <w:tcPr>
            <w:tcW w:w="1276"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559"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w:t>
            </w:r>
          </w:p>
        </w:tc>
      </w:tr>
    </w:tbl>
    <w:p w:rsidR="00700442" w:rsidRPr="00C1379D" w:rsidRDefault="00351EAB" w:rsidP="00700442">
      <w:pPr>
        <w:spacing w:after="0"/>
        <w:rPr>
          <w:sz w:val="18"/>
          <w:szCs w:val="18"/>
        </w:rPr>
      </w:pPr>
      <w:r w:rsidRPr="00C1379D">
        <w:rPr>
          <w:sz w:val="18"/>
          <w:szCs w:val="18"/>
        </w:rPr>
        <w:t>Note</w:t>
      </w:r>
      <w:r w:rsidR="00700442" w:rsidRPr="00C1379D">
        <w:rPr>
          <w:sz w:val="18"/>
          <w:szCs w:val="18"/>
        </w:rPr>
        <w:t>s</w:t>
      </w:r>
      <w:r w:rsidRPr="00C1379D">
        <w:rPr>
          <w:sz w:val="18"/>
          <w:szCs w:val="18"/>
        </w:rPr>
        <w:t xml:space="preserve">: </w:t>
      </w:r>
    </w:p>
    <w:p w:rsidR="00351EAB" w:rsidRPr="00C1379D" w:rsidRDefault="00700442" w:rsidP="006601FD">
      <w:pPr>
        <w:pStyle w:val="ListParagraph"/>
        <w:numPr>
          <w:ilvl w:val="0"/>
          <w:numId w:val="32"/>
        </w:numPr>
        <w:jc w:val="both"/>
        <w:rPr>
          <w:sz w:val="18"/>
          <w:szCs w:val="18"/>
        </w:rPr>
      </w:pPr>
      <w:r w:rsidRPr="00C1379D">
        <w:rPr>
          <w:sz w:val="18"/>
          <w:szCs w:val="18"/>
        </w:rPr>
        <w:t xml:space="preserve">For the School of LAW the small total number of staff in each grade means it is not possible to calculate actual percentages, see the note to the overall table for further explanation. </w:t>
      </w:r>
    </w:p>
    <w:tbl>
      <w:tblPr>
        <w:tblStyle w:val="TableGrid"/>
        <w:tblW w:w="0" w:type="auto"/>
        <w:tblLook w:val="04A0" w:firstRow="1" w:lastRow="0" w:firstColumn="1" w:lastColumn="0" w:noHBand="0" w:noVBand="1"/>
      </w:tblPr>
      <w:tblGrid>
        <w:gridCol w:w="2376"/>
        <w:gridCol w:w="1320"/>
        <w:gridCol w:w="1374"/>
        <w:gridCol w:w="1842"/>
        <w:gridCol w:w="1843"/>
      </w:tblGrid>
      <w:tr w:rsidR="00700442" w:rsidRPr="00A937B3" w:rsidTr="00A937B3">
        <w:tc>
          <w:tcPr>
            <w:tcW w:w="6912" w:type="dxa"/>
            <w:gridSpan w:val="4"/>
          </w:tcPr>
          <w:p w:rsidR="00700442" w:rsidRPr="00A937B3" w:rsidRDefault="00700442" w:rsidP="00351EAB">
            <w:pPr>
              <w:rPr>
                <w:rFonts w:asciiTheme="minorHAnsi" w:hAnsiTheme="minorHAnsi"/>
                <w:b/>
                <w:sz w:val="22"/>
                <w:szCs w:val="22"/>
              </w:rPr>
            </w:pPr>
            <w:r w:rsidRPr="00A937B3">
              <w:rPr>
                <w:rFonts w:asciiTheme="minorHAnsi" w:hAnsiTheme="minorHAnsi"/>
                <w:b/>
                <w:sz w:val="22"/>
                <w:szCs w:val="22"/>
              </w:rPr>
              <w:t>B. Manchester Business School</w:t>
            </w:r>
          </w:p>
        </w:tc>
        <w:tc>
          <w:tcPr>
            <w:tcW w:w="1843" w:type="dxa"/>
            <w:vMerge w:val="restart"/>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Total number (row count)</w:t>
            </w:r>
          </w:p>
        </w:tc>
      </w:tr>
      <w:tr w:rsidR="00700442" w:rsidRPr="00A937B3" w:rsidTr="00A937B3">
        <w:tc>
          <w:tcPr>
            <w:tcW w:w="2376" w:type="dxa"/>
            <w:vMerge w:val="restart"/>
          </w:tcPr>
          <w:p w:rsidR="00700442" w:rsidRPr="00A937B3" w:rsidRDefault="00700442" w:rsidP="00351EAB">
            <w:pPr>
              <w:rPr>
                <w:rFonts w:asciiTheme="minorHAnsi" w:hAnsiTheme="minorHAnsi"/>
                <w:b/>
                <w:sz w:val="22"/>
                <w:szCs w:val="22"/>
              </w:rPr>
            </w:pPr>
          </w:p>
        </w:tc>
        <w:tc>
          <w:tcPr>
            <w:tcW w:w="4536" w:type="dxa"/>
            <w:gridSpan w:val="3"/>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The % of staff in each grade who are…</w:t>
            </w:r>
          </w:p>
        </w:tc>
        <w:tc>
          <w:tcPr>
            <w:tcW w:w="1843" w:type="dxa"/>
            <w:vMerge/>
          </w:tcPr>
          <w:p w:rsidR="00700442" w:rsidRPr="00A937B3" w:rsidRDefault="00700442" w:rsidP="00351EAB">
            <w:pPr>
              <w:jc w:val="center"/>
              <w:rPr>
                <w:rFonts w:asciiTheme="minorHAnsi" w:hAnsiTheme="minorHAnsi"/>
                <w:b/>
                <w:sz w:val="22"/>
                <w:szCs w:val="22"/>
              </w:rPr>
            </w:pPr>
          </w:p>
        </w:tc>
      </w:tr>
      <w:tr w:rsidR="00700442" w:rsidRPr="00A937B3" w:rsidTr="00A937B3">
        <w:tc>
          <w:tcPr>
            <w:tcW w:w="2376" w:type="dxa"/>
            <w:vMerge/>
            <w:tcBorders>
              <w:bottom w:val="single" w:sz="4" w:space="0" w:color="auto"/>
            </w:tcBorders>
          </w:tcPr>
          <w:p w:rsidR="00700442" w:rsidRPr="00A937B3" w:rsidRDefault="00700442" w:rsidP="00351EAB">
            <w:pPr>
              <w:rPr>
                <w:rFonts w:asciiTheme="minorHAnsi" w:hAnsiTheme="minorHAnsi"/>
                <w:b/>
                <w:sz w:val="22"/>
                <w:szCs w:val="22"/>
              </w:rPr>
            </w:pPr>
          </w:p>
        </w:tc>
        <w:tc>
          <w:tcPr>
            <w:tcW w:w="1320"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w:t>
            </w:r>
          </w:p>
        </w:tc>
        <w:tc>
          <w:tcPr>
            <w:tcW w:w="1374"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BME</w:t>
            </w:r>
          </w:p>
        </w:tc>
        <w:tc>
          <w:tcPr>
            <w:tcW w:w="1842"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 &amp; BME</w:t>
            </w:r>
          </w:p>
        </w:tc>
        <w:tc>
          <w:tcPr>
            <w:tcW w:w="1843" w:type="dxa"/>
            <w:vMerge/>
            <w:tcBorders>
              <w:bottom w:val="single" w:sz="4" w:space="0" w:color="auto"/>
            </w:tcBorders>
          </w:tcPr>
          <w:p w:rsidR="00700442" w:rsidRPr="00A937B3" w:rsidRDefault="00700442" w:rsidP="00351EAB">
            <w:pPr>
              <w:jc w:val="center"/>
              <w:rPr>
                <w:rFonts w:asciiTheme="minorHAnsi" w:hAnsiTheme="minorHAnsi"/>
                <w:b/>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Lecturer</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42</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27</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11</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74</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Senior Lecturer/Reader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31</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13</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70</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Professor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19</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10</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77</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Researcher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48</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18</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9</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44</w:t>
            </w:r>
          </w:p>
        </w:tc>
      </w:tr>
      <w:tr w:rsidR="00351EAB" w:rsidRPr="00A937B3" w:rsidTr="00A937B3">
        <w:tc>
          <w:tcPr>
            <w:tcW w:w="2376"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PSS</w:t>
            </w:r>
          </w:p>
        </w:tc>
        <w:tc>
          <w:tcPr>
            <w:tcW w:w="1320"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1-4</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66</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10</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9</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116</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5-6</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72</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98</w:t>
            </w:r>
          </w:p>
        </w:tc>
      </w:tr>
      <w:tr w:rsidR="00351EAB" w:rsidRPr="00A937B3" w:rsidTr="00A937B3">
        <w:tc>
          <w:tcPr>
            <w:tcW w:w="2376" w:type="dxa"/>
            <w:tcBorders>
              <w:top w:val="nil"/>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7-9</w:t>
            </w:r>
          </w:p>
        </w:tc>
        <w:tc>
          <w:tcPr>
            <w:tcW w:w="1320"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68</w:t>
            </w:r>
          </w:p>
        </w:tc>
        <w:tc>
          <w:tcPr>
            <w:tcW w:w="1374"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w:t>
            </w:r>
          </w:p>
        </w:tc>
        <w:tc>
          <w:tcPr>
            <w:tcW w:w="1842"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0</w:t>
            </w:r>
          </w:p>
        </w:tc>
        <w:tc>
          <w:tcPr>
            <w:tcW w:w="1843"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40</w:t>
            </w:r>
          </w:p>
        </w:tc>
      </w:tr>
    </w:tbl>
    <w:p w:rsidR="00A3691C" w:rsidRDefault="00A3691C" w:rsidP="003A1CD7">
      <w:pPr>
        <w:spacing w:after="120" w:line="240" w:lineRule="auto"/>
      </w:pPr>
    </w:p>
    <w:p w:rsidR="00A3691C" w:rsidRDefault="00A3691C">
      <w:r>
        <w:br w:type="page"/>
      </w:r>
    </w:p>
    <w:p w:rsidR="00351EAB" w:rsidRPr="00A937B3" w:rsidRDefault="00351EAB" w:rsidP="003A1CD7">
      <w:pPr>
        <w:spacing w:after="120" w:line="240" w:lineRule="auto"/>
      </w:pPr>
    </w:p>
    <w:tbl>
      <w:tblPr>
        <w:tblStyle w:val="TableGrid"/>
        <w:tblW w:w="0" w:type="auto"/>
        <w:tblLook w:val="04A0" w:firstRow="1" w:lastRow="0" w:firstColumn="1" w:lastColumn="0" w:noHBand="0" w:noVBand="1"/>
      </w:tblPr>
      <w:tblGrid>
        <w:gridCol w:w="2376"/>
        <w:gridCol w:w="1320"/>
        <w:gridCol w:w="1374"/>
        <w:gridCol w:w="1842"/>
        <w:gridCol w:w="1843"/>
      </w:tblGrid>
      <w:tr w:rsidR="00700442" w:rsidRPr="00A937B3" w:rsidTr="00A937B3">
        <w:tc>
          <w:tcPr>
            <w:tcW w:w="6912" w:type="dxa"/>
            <w:gridSpan w:val="4"/>
          </w:tcPr>
          <w:p w:rsidR="00700442" w:rsidRPr="00A937B3" w:rsidRDefault="00700442" w:rsidP="00351EAB">
            <w:pPr>
              <w:rPr>
                <w:rFonts w:asciiTheme="minorHAnsi" w:hAnsiTheme="minorHAnsi"/>
                <w:b/>
                <w:sz w:val="22"/>
                <w:szCs w:val="22"/>
              </w:rPr>
            </w:pPr>
            <w:r w:rsidRPr="00A937B3">
              <w:rPr>
                <w:rFonts w:asciiTheme="minorHAnsi" w:hAnsiTheme="minorHAnsi"/>
                <w:sz w:val="22"/>
                <w:szCs w:val="22"/>
              </w:rPr>
              <w:br w:type="page"/>
            </w:r>
            <w:r w:rsidRPr="00A937B3">
              <w:rPr>
                <w:rFonts w:asciiTheme="minorHAnsi" w:hAnsiTheme="minorHAnsi"/>
                <w:b/>
                <w:sz w:val="22"/>
                <w:szCs w:val="22"/>
              </w:rPr>
              <w:t>C. SALC</w:t>
            </w:r>
          </w:p>
        </w:tc>
        <w:tc>
          <w:tcPr>
            <w:tcW w:w="1843" w:type="dxa"/>
            <w:vMerge w:val="restart"/>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Total number (row count)</w:t>
            </w:r>
          </w:p>
        </w:tc>
      </w:tr>
      <w:tr w:rsidR="00700442" w:rsidRPr="00A937B3" w:rsidTr="00A937B3">
        <w:tc>
          <w:tcPr>
            <w:tcW w:w="2376" w:type="dxa"/>
            <w:vMerge w:val="restart"/>
          </w:tcPr>
          <w:p w:rsidR="00700442" w:rsidRPr="00A937B3" w:rsidRDefault="00700442" w:rsidP="00351EAB">
            <w:pPr>
              <w:rPr>
                <w:rFonts w:asciiTheme="minorHAnsi" w:hAnsiTheme="minorHAnsi"/>
                <w:b/>
                <w:sz w:val="22"/>
                <w:szCs w:val="22"/>
              </w:rPr>
            </w:pPr>
          </w:p>
        </w:tc>
        <w:tc>
          <w:tcPr>
            <w:tcW w:w="4536" w:type="dxa"/>
            <w:gridSpan w:val="3"/>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The % of staff in each grade who are…</w:t>
            </w:r>
          </w:p>
        </w:tc>
        <w:tc>
          <w:tcPr>
            <w:tcW w:w="1843" w:type="dxa"/>
            <w:vMerge/>
          </w:tcPr>
          <w:p w:rsidR="00700442" w:rsidRPr="00A937B3" w:rsidRDefault="00700442" w:rsidP="00351EAB">
            <w:pPr>
              <w:jc w:val="center"/>
              <w:rPr>
                <w:rFonts w:asciiTheme="minorHAnsi" w:hAnsiTheme="minorHAnsi"/>
                <w:b/>
                <w:sz w:val="22"/>
                <w:szCs w:val="22"/>
              </w:rPr>
            </w:pPr>
          </w:p>
        </w:tc>
      </w:tr>
      <w:tr w:rsidR="00700442" w:rsidRPr="00A937B3" w:rsidTr="00A937B3">
        <w:tc>
          <w:tcPr>
            <w:tcW w:w="2376" w:type="dxa"/>
            <w:vMerge/>
            <w:tcBorders>
              <w:bottom w:val="single" w:sz="4" w:space="0" w:color="auto"/>
            </w:tcBorders>
          </w:tcPr>
          <w:p w:rsidR="00700442" w:rsidRPr="00A937B3" w:rsidRDefault="00700442" w:rsidP="00351EAB">
            <w:pPr>
              <w:rPr>
                <w:rFonts w:asciiTheme="minorHAnsi" w:hAnsiTheme="minorHAnsi"/>
                <w:b/>
                <w:sz w:val="22"/>
                <w:szCs w:val="22"/>
              </w:rPr>
            </w:pPr>
          </w:p>
        </w:tc>
        <w:tc>
          <w:tcPr>
            <w:tcW w:w="1320"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w:t>
            </w:r>
          </w:p>
        </w:tc>
        <w:tc>
          <w:tcPr>
            <w:tcW w:w="1374"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BME</w:t>
            </w:r>
          </w:p>
        </w:tc>
        <w:tc>
          <w:tcPr>
            <w:tcW w:w="1842"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 &amp; BME</w:t>
            </w:r>
          </w:p>
        </w:tc>
        <w:tc>
          <w:tcPr>
            <w:tcW w:w="1843" w:type="dxa"/>
            <w:vMerge/>
            <w:tcBorders>
              <w:bottom w:val="single" w:sz="4" w:space="0" w:color="auto"/>
            </w:tcBorders>
          </w:tcPr>
          <w:p w:rsidR="00700442" w:rsidRPr="00A937B3" w:rsidRDefault="00700442" w:rsidP="00351EAB">
            <w:pPr>
              <w:jc w:val="center"/>
              <w:rPr>
                <w:rFonts w:asciiTheme="minorHAnsi" w:hAnsiTheme="minorHAnsi"/>
                <w:b/>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Lecturer</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57</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12</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9</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118</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Senior Lecturer/Reader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42</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10</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73</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Professor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37</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70</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Researcher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56</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12</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34</w:t>
            </w:r>
          </w:p>
        </w:tc>
      </w:tr>
      <w:tr w:rsidR="00351EAB" w:rsidRPr="00A937B3" w:rsidTr="00A937B3">
        <w:tc>
          <w:tcPr>
            <w:tcW w:w="2376"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PSS</w:t>
            </w:r>
          </w:p>
        </w:tc>
        <w:tc>
          <w:tcPr>
            <w:tcW w:w="1320"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1-4</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71</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73</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5-6</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82</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33</w:t>
            </w:r>
          </w:p>
        </w:tc>
      </w:tr>
      <w:tr w:rsidR="00351EAB" w:rsidRPr="00A937B3" w:rsidTr="00A937B3">
        <w:tc>
          <w:tcPr>
            <w:tcW w:w="2376" w:type="dxa"/>
            <w:tcBorders>
              <w:top w:val="nil"/>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7-9</w:t>
            </w:r>
          </w:p>
        </w:tc>
        <w:tc>
          <w:tcPr>
            <w:tcW w:w="1320"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374"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842"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843"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w:t>
            </w:r>
          </w:p>
        </w:tc>
      </w:tr>
    </w:tbl>
    <w:p w:rsidR="002D2A46" w:rsidRDefault="002D2A46">
      <w:pPr>
        <w:rPr>
          <w:sz w:val="16"/>
          <w:szCs w:val="16"/>
        </w:rPr>
      </w:pPr>
    </w:p>
    <w:tbl>
      <w:tblPr>
        <w:tblStyle w:val="TableGrid"/>
        <w:tblW w:w="0" w:type="auto"/>
        <w:tblLook w:val="04A0" w:firstRow="1" w:lastRow="0" w:firstColumn="1" w:lastColumn="0" w:noHBand="0" w:noVBand="1"/>
      </w:tblPr>
      <w:tblGrid>
        <w:gridCol w:w="2376"/>
        <w:gridCol w:w="1320"/>
        <w:gridCol w:w="1374"/>
        <w:gridCol w:w="1842"/>
        <w:gridCol w:w="1843"/>
      </w:tblGrid>
      <w:tr w:rsidR="00700442" w:rsidRPr="00A937B3" w:rsidTr="00A937B3">
        <w:tc>
          <w:tcPr>
            <w:tcW w:w="6912" w:type="dxa"/>
            <w:gridSpan w:val="4"/>
          </w:tcPr>
          <w:p w:rsidR="00700442" w:rsidRPr="00A937B3" w:rsidRDefault="00700442" w:rsidP="00351EAB">
            <w:pPr>
              <w:rPr>
                <w:rFonts w:asciiTheme="minorHAnsi" w:hAnsiTheme="minorHAnsi"/>
                <w:b/>
                <w:sz w:val="22"/>
                <w:szCs w:val="22"/>
              </w:rPr>
            </w:pPr>
            <w:r w:rsidRPr="00A937B3">
              <w:rPr>
                <w:rFonts w:asciiTheme="minorHAnsi" w:hAnsiTheme="minorHAnsi"/>
                <w:b/>
                <w:sz w:val="22"/>
                <w:szCs w:val="22"/>
              </w:rPr>
              <w:t>D. SEED</w:t>
            </w:r>
          </w:p>
        </w:tc>
        <w:tc>
          <w:tcPr>
            <w:tcW w:w="1843" w:type="dxa"/>
            <w:vMerge w:val="restart"/>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Total number (row count)</w:t>
            </w:r>
          </w:p>
        </w:tc>
      </w:tr>
      <w:tr w:rsidR="00700442" w:rsidRPr="00A937B3" w:rsidTr="00A937B3">
        <w:tc>
          <w:tcPr>
            <w:tcW w:w="2376" w:type="dxa"/>
            <w:vMerge w:val="restart"/>
          </w:tcPr>
          <w:p w:rsidR="00700442" w:rsidRPr="00A937B3" w:rsidRDefault="00700442" w:rsidP="00351EAB">
            <w:pPr>
              <w:rPr>
                <w:rFonts w:asciiTheme="minorHAnsi" w:hAnsiTheme="minorHAnsi"/>
                <w:b/>
                <w:sz w:val="22"/>
                <w:szCs w:val="22"/>
              </w:rPr>
            </w:pPr>
          </w:p>
        </w:tc>
        <w:tc>
          <w:tcPr>
            <w:tcW w:w="4536" w:type="dxa"/>
            <w:gridSpan w:val="3"/>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The % of staff in each grade who are…</w:t>
            </w:r>
          </w:p>
        </w:tc>
        <w:tc>
          <w:tcPr>
            <w:tcW w:w="1843" w:type="dxa"/>
            <w:vMerge/>
          </w:tcPr>
          <w:p w:rsidR="00700442" w:rsidRPr="00A937B3" w:rsidRDefault="00700442" w:rsidP="00351EAB">
            <w:pPr>
              <w:jc w:val="center"/>
              <w:rPr>
                <w:rFonts w:asciiTheme="minorHAnsi" w:hAnsiTheme="minorHAnsi"/>
                <w:b/>
                <w:sz w:val="22"/>
                <w:szCs w:val="22"/>
              </w:rPr>
            </w:pPr>
          </w:p>
        </w:tc>
      </w:tr>
      <w:tr w:rsidR="00700442" w:rsidRPr="00A937B3" w:rsidTr="00A937B3">
        <w:tc>
          <w:tcPr>
            <w:tcW w:w="2376" w:type="dxa"/>
            <w:vMerge/>
            <w:tcBorders>
              <w:bottom w:val="single" w:sz="4" w:space="0" w:color="auto"/>
            </w:tcBorders>
          </w:tcPr>
          <w:p w:rsidR="00700442" w:rsidRPr="00A937B3" w:rsidRDefault="00700442" w:rsidP="00351EAB">
            <w:pPr>
              <w:rPr>
                <w:rFonts w:asciiTheme="minorHAnsi" w:hAnsiTheme="minorHAnsi"/>
                <w:b/>
                <w:sz w:val="22"/>
                <w:szCs w:val="22"/>
              </w:rPr>
            </w:pPr>
          </w:p>
        </w:tc>
        <w:tc>
          <w:tcPr>
            <w:tcW w:w="1320"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w:t>
            </w:r>
          </w:p>
        </w:tc>
        <w:tc>
          <w:tcPr>
            <w:tcW w:w="1374"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BME</w:t>
            </w:r>
          </w:p>
        </w:tc>
        <w:tc>
          <w:tcPr>
            <w:tcW w:w="1842"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 &amp; BME</w:t>
            </w:r>
          </w:p>
        </w:tc>
        <w:tc>
          <w:tcPr>
            <w:tcW w:w="1843" w:type="dxa"/>
            <w:vMerge/>
            <w:tcBorders>
              <w:bottom w:val="single" w:sz="4" w:space="0" w:color="auto"/>
            </w:tcBorders>
          </w:tcPr>
          <w:p w:rsidR="00700442" w:rsidRPr="00A937B3" w:rsidRDefault="00700442" w:rsidP="00351EAB">
            <w:pPr>
              <w:jc w:val="center"/>
              <w:rPr>
                <w:rFonts w:asciiTheme="minorHAnsi" w:hAnsiTheme="minorHAnsi"/>
                <w:b/>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Lecturer</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51</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14</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12</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76</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Senior Lecturer/Reader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39</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46</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Professor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25</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13</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8</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40</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Researcher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52</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6</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0</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33</w:t>
            </w:r>
          </w:p>
        </w:tc>
      </w:tr>
      <w:tr w:rsidR="00351EAB" w:rsidRPr="00A937B3" w:rsidTr="00A937B3">
        <w:tc>
          <w:tcPr>
            <w:tcW w:w="2376"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PSS</w:t>
            </w:r>
          </w:p>
        </w:tc>
        <w:tc>
          <w:tcPr>
            <w:tcW w:w="1320"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1-4</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78</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8</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40</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5-6</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25</w:t>
            </w:r>
          </w:p>
        </w:tc>
      </w:tr>
      <w:tr w:rsidR="00351EAB" w:rsidRPr="00A937B3" w:rsidTr="00A937B3">
        <w:tc>
          <w:tcPr>
            <w:tcW w:w="2376" w:type="dxa"/>
            <w:tcBorders>
              <w:top w:val="nil"/>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7-9</w:t>
            </w:r>
          </w:p>
        </w:tc>
        <w:tc>
          <w:tcPr>
            <w:tcW w:w="1320"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374"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842"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w:t>
            </w:r>
          </w:p>
        </w:tc>
        <w:tc>
          <w:tcPr>
            <w:tcW w:w="1843"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w:t>
            </w:r>
          </w:p>
        </w:tc>
      </w:tr>
    </w:tbl>
    <w:p w:rsidR="00351EAB" w:rsidRPr="00A937B3" w:rsidRDefault="00351EAB" w:rsidP="003A1CD7">
      <w:pPr>
        <w:spacing w:after="120" w:line="240" w:lineRule="auto"/>
      </w:pPr>
    </w:p>
    <w:tbl>
      <w:tblPr>
        <w:tblStyle w:val="TableGrid"/>
        <w:tblW w:w="0" w:type="auto"/>
        <w:tblLook w:val="04A0" w:firstRow="1" w:lastRow="0" w:firstColumn="1" w:lastColumn="0" w:noHBand="0" w:noVBand="1"/>
      </w:tblPr>
      <w:tblGrid>
        <w:gridCol w:w="2376"/>
        <w:gridCol w:w="1320"/>
        <w:gridCol w:w="1374"/>
        <w:gridCol w:w="1842"/>
        <w:gridCol w:w="1843"/>
      </w:tblGrid>
      <w:tr w:rsidR="00700442" w:rsidRPr="00A937B3" w:rsidTr="00A937B3">
        <w:tc>
          <w:tcPr>
            <w:tcW w:w="6912" w:type="dxa"/>
            <w:gridSpan w:val="4"/>
          </w:tcPr>
          <w:p w:rsidR="00700442" w:rsidRPr="00A937B3" w:rsidRDefault="00700442" w:rsidP="00351EAB">
            <w:pPr>
              <w:rPr>
                <w:rFonts w:asciiTheme="minorHAnsi" w:hAnsiTheme="minorHAnsi"/>
                <w:b/>
                <w:sz w:val="22"/>
                <w:szCs w:val="22"/>
              </w:rPr>
            </w:pPr>
            <w:r w:rsidRPr="00A937B3">
              <w:rPr>
                <w:rFonts w:asciiTheme="minorHAnsi" w:hAnsiTheme="minorHAnsi"/>
                <w:b/>
                <w:sz w:val="22"/>
                <w:szCs w:val="22"/>
              </w:rPr>
              <w:t>E. SOSS</w:t>
            </w:r>
          </w:p>
        </w:tc>
        <w:tc>
          <w:tcPr>
            <w:tcW w:w="1843" w:type="dxa"/>
            <w:vMerge w:val="restart"/>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Total number (row count)</w:t>
            </w:r>
          </w:p>
        </w:tc>
      </w:tr>
      <w:tr w:rsidR="00700442" w:rsidRPr="00A937B3" w:rsidTr="00A937B3">
        <w:tc>
          <w:tcPr>
            <w:tcW w:w="2376" w:type="dxa"/>
            <w:vMerge w:val="restart"/>
          </w:tcPr>
          <w:p w:rsidR="00700442" w:rsidRPr="00A937B3" w:rsidRDefault="00700442" w:rsidP="00351EAB">
            <w:pPr>
              <w:rPr>
                <w:rFonts w:asciiTheme="minorHAnsi" w:hAnsiTheme="minorHAnsi"/>
                <w:b/>
                <w:sz w:val="22"/>
                <w:szCs w:val="22"/>
              </w:rPr>
            </w:pPr>
          </w:p>
        </w:tc>
        <w:tc>
          <w:tcPr>
            <w:tcW w:w="4536" w:type="dxa"/>
            <w:gridSpan w:val="3"/>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The % of staff in each grade who are…</w:t>
            </w:r>
          </w:p>
        </w:tc>
        <w:tc>
          <w:tcPr>
            <w:tcW w:w="1843" w:type="dxa"/>
            <w:vMerge/>
          </w:tcPr>
          <w:p w:rsidR="00700442" w:rsidRPr="00A937B3" w:rsidRDefault="00700442" w:rsidP="00351EAB">
            <w:pPr>
              <w:jc w:val="center"/>
              <w:rPr>
                <w:rFonts w:asciiTheme="minorHAnsi" w:hAnsiTheme="minorHAnsi"/>
                <w:b/>
                <w:sz w:val="22"/>
                <w:szCs w:val="22"/>
              </w:rPr>
            </w:pPr>
          </w:p>
        </w:tc>
      </w:tr>
      <w:tr w:rsidR="00700442" w:rsidRPr="00A937B3" w:rsidTr="00A937B3">
        <w:tc>
          <w:tcPr>
            <w:tcW w:w="2376" w:type="dxa"/>
            <w:vMerge/>
            <w:tcBorders>
              <w:bottom w:val="single" w:sz="4" w:space="0" w:color="auto"/>
            </w:tcBorders>
          </w:tcPr>
          <w:p w:rsidR="00700442" w:rsidRPr="00A937B3" w:rsidRDefault="00700442" w:rsidP="00351EAB">
            <w:pPr>
              <w:rPr>
                <w:rFonts w:asciiTheme="minorHAnsi" w:hAnsiTheme="minorHAnsi"/>
                <w:b/>
                <w:sz w:val="22"/>
                <w:szCs w:val="22"/>
              </w:rPr>
            </w:pPr>
          </w:p>
        </w:tc>
        <w:tc>
          <w:tcPr>
            <w:tcW w:w="1320"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w:t>
            </w:r>
          </w:p>
        </w:tc>
        <w:tc>
          <w:tcPr>
            <w:tcW w:w="1374"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BME</w:t>
            </w:r>
          </w:p>
        </w:tc>
        <w:tc>
          <w:tcPr>
            <w:tcW w:w="1842" w:type="dxa"/>
            <w:tcBorders>
              <w:bottom w:val="single" w:sz="4" w:space="0" w:color="auto"/>
            </w:tcBorders>
            <w:shd w:val="clear" w:color="auto" w:fill="DAEEF3" w:themeFill="accent5" w:themeFillTint="33"/>
          </w:tcPr>
          <w:p w:rsidR="00700442" w:rsidRPr="00A937B3" w:rsidRDefault="00700442" w:rsidP="00351EAB">
            <w:pPr>
              <w:jc w:val="center"/>
              <w:rPr>
                <w:rFonts w:asciiTheme="minorHAnsi" w:hAnsiTheme="minorHAnsi"/>
                <w:b/>
                <w:sz w:val="22"/>
                <w:szCs w:val="22"/>
              </w:rPr>
            </w:pPr>
            <w:r w:rsidRPr="00A937B3">
              <w:rPr>
                <w:rFonts w:asciiTheme="minorHAnsi" w:hAnsiTheme="minorHAnsi"/>
                <w:b/>
                <w:sz w:val="22"/>
                <w:szCs w:val="22"/>
              </w:rPr>
              <w:t>% Female &amp; BME</w:t>
            </w:r>
          </w:p>
        </w:tc>
        <w:tc>
          <w:tcPr>
            <w:tcW w:w="1843" w:type="dxa"/>
            <w:vMerge/>
            <w:tcBorders>
              <w:bottom w:val="single" w:sz="4" w:space="0" w:color="auto"/>
            </w:tcBorders>
          </w:tcPr>
          <w:p w:rsidR="00700442" w:rsidRPr="00A937B3" w:rsidRDefault="00700442" w:rsidP="00351EAB">
            <w:pPr>
              <w:jc w:val="center"/>
              <w:rPr>
                <w:rFonts w:asciiTheme="minorHAnsi" w:hAnsiTheme="minorHAnsi"/>
                <w:b/>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Lecturer</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31</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13</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77</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Senior Lecturer/Reader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22</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17</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41</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Professor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36</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9</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70</w:t>
            </w:r>
          </w:p>
        </w:tc>
      </w:tr>
      <w:tr w:rsidR="00351EAB" w:rsidRPr="00A937B3" w:rsidTr="00A937B3">
        <w:trPr>
          <w:trHeight w:val="147"/>
        </w:trPr>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Researcher</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55</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58</w:t>
            </w:r>
          </w:p>
        </w:tc>
      </w:tr>
      <w:tr w:rsidR="00351EAB" w:rsidRPr="00A937B3" w:rsidTr="00A937B3">
        <w:tc>
          <w:tcPr>
            <w:tcW w:w="2376"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PSS</w:t>
            </w:r>
          </w:p>
        </w:tc>
        <w:tc>
          <w:tcPr>
            <w:tcW w:w="1320"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374"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c>
          <w:tcPr>
            <w:tcW w:w="1843" w:type="dxa"/>
            <w:tcBorders>
              <w:top w:val="single" w:sz="4" w:space="0" w:color="auto"/>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p>
        </w:tc>
      </w:tr>
      <w:tr w:rsidR="00351EAB" w:rsidRPr="00A937B3" w:rsidTr="00A937B3">
        <w:tc>
          <w:tcPr>
            <w:tcW w:w="2376" w:type="dxa"/>
            <w:tcBorders>
              <w:top w:val="single" w:sz="4" w:space="0" w:color="auto"/>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1-4</w:t>
            </w:r>
          </w:p>
        </w:tc>
        <w:tc>
          <w:tcPr>
            <w:tcW w:w="1320"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86</w:t>
            </w:r>
          </w:p>
        </w:tc>
        <w:tc>
          <w:tcPr>
            <w:tcW w:w="1374"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11</w:t>
            </w:r>
          </w:p>
        </w:tc>
        <w:tc>
          <w:tcPr>
            <w:tcW w:w="1842"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11</w:t>
            </w:r>
          </w:p>
        </w:tc>
        <w:tc>
          <w:tcPr>
            <w:tcW w:w="1843" w:type="dxa"/>
            <w:tcBorders>
              <w:top w:val="single" w:sz="4" w:space="0" w:color="auto"/>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36</w:t>
            </w:r>
          </w:p>
        </w:tc>
      </w:tr>
      <w:tr w:rsidR="00351EAB" w:rsidRPr="00A937B3" w:rsidTr="00A937B3">
        <w:tc>
          <w:tcPr>
            <w:tcW w:w="2376" w:type="dxa"/>
            <w:tcBorders>
              <w:top w:val="nil"/>
              <w:left w:val="single" w:sz="4" w:space="0" w:color="auto"/>
              <w:bottom w:val="nil"/>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5-6</w:t>
            </w:r>
          </w:p>
        </w:tc>
        <w:tc>
          <w:tcPr>
            <w:tcW w:w="1320"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All except 3</w:t>
            </w:r>
          </w:p>
        </w:tc>
        <w:tc>
          <w:tcPr>
            <w:tcW w:w="1374"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2"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nil"/>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17</w:t>
            </w:r>
          </w:p>
        </w:tc>
      </w:tr>
      <w:tr w:rsidR="00351EAB" w:rsidRPr="00A937B3" w:rsidTr="00A937B3">
        <w:tc>
          <w:tcPr>
            <w:tcW w:w="2376" w:type="dxa"/>
            <w:tcBorders>
              <w:top w:val="nil"/>
              <w:left w:val="single" w:sz="4" w:space="0" w:color="auto"/>
              <w:bottom w:val="single" w:sz="4" w:space="0" w:color="auto"/>
              <w:right w:val="single" w:sz="4" w:space="0" w:color="auto"/>
            </w:tcBorders>
          </w:tcPr>
          <w:p w:rsidR="00351EAB" w:rsidRPr="00A937B3" w:rsidRDefault="00351EAB" w:rsidP="00351EAB">
            <w:pPr>
              <w:rPr>
                <w:rFonts w:asciiTheme="minorHAnsi" w:hAnsiTheme="minorHAnsi"/>
                <w:b/>
                <w:sz w:val="22"/>
                <w:szCs w:val="22"/>
              </w:rPr>
            </w:pPr>
            <w:r w:rsidRPr="00A937B3">
              <w:rPr>
                <w:rFonts w:asciiTheme="minorHAnsi" w:hAnsiTheme="minorHAnsi"/>
                <w:b/>
                <w:sz w:val="22"/>
                <w:szCs w:val="22"/>
              </w:rPr>
              <w:t>Grade 7-9</w:t>
            </w:r>
          </w:p>
        </w:tc>
        <w:tc>
          <w:tcPr>
            <w:tcW w:w="1320"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2 of the 3</w:t>
            </w:r>
          </w:p>
        </w:tc>
        <w:tc>
          <w:tcPr>
            <w:tcW w:w="1374"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2"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Nil</w:t>
            </w:r>
          </w:p>
        </w:tc>
        <w:tc>
          <w:tcPr>
            <w:tcW w:w="1843" w:type="dxa"/>
            <w:tcBorders>
              <w:top w:val="nil"/>
              <w:left w:val="single" w:sz="4" w:space="0" w:color="auto"/>
              <w:bottom w:val="single" w:sz="4" w:space="0" w:color="auto"/>
              <w:right w:val="single" w:sz="4" w:space="0" w:color="auto"/>
            </w:tcBorders>
          </w:tcPr>
          <w:p w:rsidR="00351EAB" w:rsidRPr="00A937B3" w:rsidRDefault="00351EAB" w:rsidP="00351EAB">
            <w:pPr>
              <w:jc w:val="center"/>
              <w:rPr>
                <w:rFonts w:asciiTheme="minorHAnsi" w:hAnsiTheme="minorHAnsi"/>
                <w:sz w:val="22"/>
                <w:szCs w:val="22"/>
              </w:rPr>
            </w:pPr>
            <w:r w:rsidRPr="00A937B3">
              <w:rPr>
                <w:rFonts w:asciiTheme="minorHAnsi" w:hAnsiTheme="minorHAnsi"/>
                <w:sz w:val="22"/>
                <w:szCs w:val="22"/>
              </w:rPr>
              <w:t>3</w:t>
            </w:r>
          </w:p>
        </w:tc>
      </w:tr>
    </w:tbl>
    <w:p w:rsidR="00700442" w:rsidRPr="00C1379D" w:rsidRDefault="00700442" w:rsidP="00700442">
      <w:pPr>
        <w:spacing w:after="0"/>
        <w:rPr>
          <w:sz w:val="18"/>
          <w:szCs w:val="18"/>
        </w:rPr>
      </w:pPr>
      <w:r w:rsidRPr="00C1379D">
        <w:rPr>
          <w:sz w:val="18"/>
          <w:szCs w:val="18"/>
        </w:rPr>
        <w:t xml:space="preserve">Notes: </w:t>
      </w:r>
    </w:p>
    <w:p w:rsidR="00700442" w:rsidRPr="00C1379D" w:rsidRDefault="00700442" w:rsidP="006601FD">
      <w:pPr>
        <w:pStyle w:val="ListParagraph"/>
        <w:numPr>
          <w:ilvl w:val="0"/>
          <w:numId w:val="32"/>
        </w:numPr>
        <w:rPr>
          <w:sz w:val="18"/>
          <w:szCs w:val="18"/>
        </w:rPr>
      </w:pPr>
      <w:r w:rsidRPr="00C1379D">
        <w:rPr>
          <w:sz w:val="18"/>
          <w:szCs w:val="18"/>
        </w:rPr>
        <w:t xml:space="preserve">The number of BME is the staff who self-defined as BME, the count includes staff who are white/BME/status unknown. </w:t>
      </w:r>
    </w:p>
    <w:p w:rsidR="00700442" w:rsidRPr="00C1379D" w:rsidRDefault="00700442" w:rsidP="006601FD">
      <w:pPr>
        <w:pStyle w:val="ListParagraph"/>
        <w:numPr>
          <w:ilvl w:val="0"/>
          <w:numId w:val="32"/>
        </w:numPr>
        <w:jc w:val="both"/>
        <w:rPr>
          <w:sz w:val="18"/>
          <w:szCs w:val="18"/>
        </w:rPr>
      </w:pPr>
      <w:r w:rsidRPr="00C1379D">
        <w:rPr>
          <w:sz w:val="18"/>
          <w:szCs w:val="18"/>
        </w:rPr>
        <w:t>The percentage is not shown when the total number of staff in the grade (row count) is less than thirty because the calculation becomes unreliable. Hence for the School of LAW it is only possible to show the actual numerical count, not the percentage, given the small number of staff in each grade.</w:t>
      </w:r>
    </w:p>
    <w:p w:rsidR="00700442" w:rsidRDefault="00700442" w:rsidP="00351EAB">
      <w:pPr>
        <w:spacing w:after="120" w:line="240" w:lineRule="auto"/>
        <w:jc w:val="both"/>
        <w:rPr>
          <w:rFonts w:eastAsia="Times New Roman" w:cs="Tahoma"/>
          <w:color w:val="000000"/>
          <w:lang w:eastAsia="en-GB"/>
        </w:rPr>
      </w:pPr>
    </w:p>
    <w:p w:rsidR="00A3691C" w:rsidRDefault="00A3691C">
      <w:pPr>
        <w:rPr>
          <w:rFonts w:eastAsia="Times New Roman" w:cs="Tahoma"/>
          <w:b/>
          <w:i/>
          <w:color w:val="000000"/>
          <w:lang w:eastAsia="en-GB"/>
        </w:rPr>
      </w:pPr>
      <w:r>
        <w:rPr>
          <w:rFonts w:eastAsia="Times New Roman" w:cs="Tahoma"/>
          <w:b/>
          <w:i/>
          <w:color w:val="000000"/>
          <w:lang w:eastAsia="en-GB"/>
        </w:rPr>
        <w:br w:type="page"/>
      </w:r>
    </w:p>
    <w:p w:rsidR="00700442" w:rsidRPr="00A40116" w:rsidRDefault="00A40116" w:rsidP="00351EAB">
      <w:pPr>
        <w:spacing w:after="120" w:line="240" w:lineRule="auto"/>
        <w:jc w:val="both"/>
        <w:rPr>
          <w:rFonts w:eastAsia="Times New Roman" w:cs="Tahoma"/>
          <w:b/>
          <w:i/>
          <w:color w:val="000000"/>
          <w:lang w:eastAsia="en-GB"/>
        </w:rPr>
      </w:pPr>
      <w:r w:rsidRPr="00A40116">
        <w:rPr>
          <w:rFonts w:eastAsia="Times New Roman" w:cs="Tahoma"/>
          <w:b/>
          <w:i/>
          <w:color w:val="000000"/>
          <w:lang w:eastAsia="en-GB"/>
        </w:rPr>
        <w:lastRenderedPageBreak/>
        <w:t>Students in the Faculty of Humanities – gender and BME profile</w:t>
      </w:r>
    </w:p>
    <w:p w:rsidR="00351EAB" w:rsidRPr="00351EAB" w:rsidRDefault="00351EAB" w:rsidP="00C1379D">
      <w:pPr>
        <w:spacing w:after="120"/>
        <w:jc w:val="both"/>
        <w:rPr>
          <w:rFonts w:eastAsia="Times New Roman" w:cs="Tahoma"/>
          <w:color w:val="000000"/>
          <w:lang w:eastAsia="en-GB"/>
        </w:rPr>
      </w:pPr>
      <w:r w:rsidRPr="00351EAB">
        <w:rPr>
          <w:rFonts w:eastAsia="Times New Roman" w:cs="Tahoma"/>
          <w:color w:val="000000"/>
          <w:lang w:eastAsia="en-GB"/>
        </w:rPr>
        <w:t>It is relevant to assess the profile at lecturer and researcher grades by reference to the gender and BME profile in the pipeline – the students who are studying different degree subjects. T</w:t>
      </w:r>
      <w:r w:rsidR="00C1379D">
        <w:rPr>
          <w:rFonts w:eastAsia="Times New Roman" w:cs="Tahoma"/>
          <w:color w:val="000000"/>
          <w:lang w:eastAsia="en-GB"/>
        </w:rPr>
        <w:t>able 3</w:t>
      </w:r>
      <w:r w:rsidR="001A2859">
        <w:rPr>
          <w:rFonts w:eastAsia="Times New Roman" w:cs="Tahoma"/>
          <w:color w:val="000000"/>
          <w:lang w:eastAsia="en-GB"/>
        </w:rPr>
        <w:t xml:space="preserve">.3 </w:t>
      </w:r>
      <w:r w:rsidRPr="00351EAB">
        <w:rPr>
          <w:rFonts w:eastAsia="Times New Roman" w:cs="Tahoma"/>
          <w:color w:val="000000"/>
          <w:lang w:eastAsia="en-GB"/>
        </w:rPr>
        <w:t>provide</w:t>
      </w:r>
      <w:r w:rsidR="001A2859">
        <w:rPr>
          <w:rFonts w:eastAsia="Times New Roman" w:cs="Tahoma"/>
          <w:color w:val="000000"/>
          <w:lang w:eastAsia="en-GB"/>
        </w:rPr>
        <w:t>s</w:t>
      </w:r>
      <w:r w:rsidRPr="00351EAB">
        <w:rPr>
          <w:rFonts w:eastAsia="Times New Roman" w:cs="Tahoma"/>
          <w:color w:val="000000"/>
          <w:lang w:eastAsia="en-GB"/>
        </w:rPr>
        <w:t xml:space="preserve"> a basic indicator of this pipeline </w:t>
      </w:r>
      <w:r w:rsidR="001A2859">
        <w:rPr>
          <w:rFonts w:eastAsia="Times New Roman" w:cs="Tahoma"/>
          <w:color w:val="000000"/>
          <w:lang w:eastAsia="en-GB"/>
        </w:rPr>
        <w:t>by presenting</w:t>
      </w:r>
      <w:r w:rsidRPr="00351EAB">
        <w:rPr>
          <w:rFonts w:eastAsia="Times New Roman" w:cs="Tahoma"/>
          <w:color w:val="000000"/>
          <w:lang w:eastAsia="en-GB"/>
        </w:rPr>
        <w:t xml:space="preserve"> the gender and UK-BME profile of our students</w:t>
      </w:r>
      <w:r w:rsidR="001A2859">
        <w:rPr>
          <w:rFonts w:eastAsia="Times New Roman" w:cs="Tahoma"/>
          <w:color w:val="000000"/>
          <w:lang w:eastAsia="en-GB"/>
        </w:rPr>
        <w:t>. We</w:t>
      </w:r>
      <w:r w:rsidRPr="00351EAB">
        <w:rPr>
          <w:rFonts w:eastAsia="Times New Roman" w:cs="Tahoma"/>
          <w:color w:val="000000"/>
          <w:lang w:eastAsia="en-GB"/>
        </w:rPr>
        <w:t xml:space="preserve"> recognise that a more accurate picture would require national and international student profile data. </w:t>
      </w:r>
    </w:p>
    <w:p w:rsidR="00351EAB" w:rsidRPr="00351EAB" w:rsidRDefault="00351EAB" w:rsidP="00C1379D">
      <w:pPr>
        <w:spacing w:after="120"/>
        <w:contextualSpacing/>
        <w:jc w:val="both"/>
        <w:rPr>
          <w:rFonts w:eastAsia="Times New Roman" w:cs="Tahoma"/>
          <w:color w:val="000000"/>
          <w:lang w:eastAsia="en-GB"/>
        </w:rPr>
      </w:pPr>
    </w:p>
    <w:p w:rsidR="00351EAB" w:rsidRDefault="00FC4BEA" w:rsidP="002D2A46">
      <w:pPr>
        <w:spacing w:before="120" w:after="120" w:line="240" w:lineRule="auto"/>
        <w:jc w:val="center"/>
        <w:rPr>
          <w:rFonts w:eastAsia="Times New Roman" w:cs="Tahoma"/>
          <w:b/>
          <w:color w:val="000000"/>
          <w:lang w:eastAsia="en-GB"/>
        </w:rPr>
      </w:pPr>
      <w:r>
        <w:rPr>
          <w:rFonts w:eastAsia="Times New Roman" w:cs="Tahoma"/>
          <w:b/>
          <w:color w:val="000000"/>
          <w:lang w:eastAsia="en-GB"/>
        </w:rPr>
        <w:t>Table 3</w:t>
      </w:r>
      <w:r w:rsidR="00E06CED">
        <w:rPr>
          <w:rFonts w:eastAsia="Times New Roman" w:cs="Tahoma"/>
          <w:b/>
          <w:color w:val="000000"/>
          <w:lang w:eastAsia="en-GB"/>
        </w:rPr>
        <w:t xml:space="preserve">.3 </w:t>
      </w:r>
      <w:r w:rsidR="00351EAB" w:rsidRPr="00351EAB">
        <w:rPr>
          <w:rFonts w:eastAsia="Times New Roman" w:cs="Tahoma"/>
          <w:b/>
          <w:color w:val="000000"/>
          <w:lang w:eastAsia="en-GB"/>
        </w:rPr>
        <w:t>The gender, BME and UK/non-UK profile of students by School</w:t>
      </w:r>
      <w:r w:rsidR="00B254A7">
        <w:rPr>
          <w:rFonts w:eastAsia="Times New Roman" w:cs="Tahoma"/>
          <w:b/>
          <w:color w:val="000000"/>
          <w:lang w:eastAsia="en-GB"/>
        </w:rPr>
        <w:t xml:space="preserve"> as at</w:t>
      </w:r>
      <w:r w:rsidR="002D2A46">
        <w:rPr>
          <w:rFonts w:eastAsia="Times New Roman" w:cs="Tahoma"/>
          <w:b/>
          <w:color w:val="000000"/>
          <w:lang w:eastAsia="en-GB"/>
        </w:rPr>
        <w:t xml:space="preserve"> </w:t>
      </w:r>
      <w:r w:rsidR="002D2A46" w:rsidRPr="002D2A46">
        <w:rPr>
          <w:rFonts w:eastAsia="Times New Roman" w:cs="Tahoma"/>
          <w:b/>
          <w:color w:val="000000"/>
          <w:highlight w:val="yellow"/>
          <w:lang w:eastAsia="en-GB"/>
        </w:rPr>
        <w:t xml:space="preserve">** </w:t>
      </w:r>
      <w:r w:rsidR="002D2A46">
        <w:rPr>
          <w:rFonts w:eastAsia="Times New Roman" w:cs="Tahoma"/>
          <w:b/>
          <w:color w:val="000000"/>
          <w:highlight w:val="yellow"/>
          <w:lang w:eastAsia="en-GB"/>
        </w:rPr>
        <w:t xml:space="preserve">pending final </w:t>
      </w:r>
      <w:r w:rsidR="002D2A46" w:rsidRPr="002D2A46">
        <w:rPr>
          <w:rFonts w:eastAsia="Times New Roman" w:cs="Tahoma"/>
          <w:b/>
          <w:color w:val="000000"/>
          <w:highlight w:val="yellow"/>
          <w:lang w:eastAsia="en-GB"/>
        </w:rPr>
        <w:t>data check**</w:t>
      </w:r>
    </w:p>
    <w:tbl>
      <w:tblPr>
        <w:tblStyle w:val="TableGrid"/>
        <w:tblW w:w="0" w:type="auto"/>
        <w:tblLook w:val="04A0" w:firstRow="1" w:lastRow="0" w:firstColumn="1" w:lastColumn="0" w:noHBand="0" w:noVBand="1"/>
      </w:tblPr>
      <w:tblGrid>
        <w:gridCol w:w="2376"/>
        <w:gridCol w:w="1320"/>
        <w:gridCol w:w="1374"/>
        <w:gridCol w:w="1417"/>
        <w:gridCol w:w="1276"/>
      </w:tblGrid>
      <w:tr w:rsidR="00B254A7" w:rsidRPr="00C1379D" w:rsidTr="005B6EEC">
        <w:tc>
          <w:tcPr>
            <w:tcW w:w="2376" w:type="dxa"/>
            <w:vMerge w:val="restart"/>
          </w:tcPr>
          <w:p w:rsidR="00B254A7" w:rsidRPr="00C1379D" w:rsidRDefault="00B254A7" w:rsidP="005B6EEC">
            <w:pPr>
              <w:rPr>
                <w:rFonts w:asciiTheme="minorHAnsi" w:hAnsiTheme="minorHAnsi"/>
                <w:b/>
                <w:sz w:val="22"/>
                <w:szCs w:val="22"/>
              </w:rPr>
            </w:pPr>
          </w:p>
        </w:tc>
        <w:tc>
          <w:tcPr>
            <w:tcW w:w="4111" w:type="dxa"/>
            <w:gridSpan w:val="3"/>
            <w:shd w:val="clear" w:color="auto" w:fill="DAEEF3" w:themeFill="accent5" w:themeFillTint="33"/>
          </w:tcPr>
          <w:p w:rsidR="00B254A7" w:rsidRPr="00C1379D" w:rsidRDefault="00B254A7" w:rsidP="005B6EEC">
            <w:pPr>
              <w:jc w:val="center"/>
              <w:rPr>
                <w:rFonts w:asciiTheme="minorHAnsi" w:hAnsiTheme="minorHAnsi"/>
                <w:b/>
                <w:sz w:val="22"/>
                <w:szCs w:val="22"/>
              </w:rPr>
            </w:pPr>
            <w:r w:rsidRPr="00C1379D">
              <w:rPr>
                <w:rFonts w:asciiTheme="minorHAnsi" w:hAnsiTheme="minorHAnsi"/>
                <w:b/>
                <w:sz w:val="22"/>
                <w:szCs w:val="22"/>
              </w:rPr>
              <w:t>The % of students at each level of study who are…</w:t>
            </w:r>
          </w:p>
        </w:tc>
        <w:tc>
          <w:tcPr>
            <w:tcW w:w="1276" w:type="dxa"/>
            <w:vMerge w:val="restart"/>
          </w:tcPr>
          <w:p w:rsidR="00B254A7" w:rsidRPr="00C1379D" w:rsidRDefault="00B254A7" w:rsidP="005B6EEC">
            <w:pPr>
              <w:jc w:val="center"/>
              <w:rPr>
                <w:rFonts w:asciiTheme="minorHAnsi" w:hAnsiTheme="minorHAnsi"/>
                <w:b/>
                <w:sz w:val="22"/>
                <w:szCs w:val="22"/>
              </w:rPr>
            </w:pPr>
            <w:r w:rsidRPr="00C1379D">
              <w:rPr>
                <w:rFonts w:asciiTheme="minorHAnsi" w:hAnsiTheme="minorHAnsi"/>
                <w:b/>
                <w:sz w:val="22"/>
                <w:szCs w:val="22"/>
              </w:rPr>
              <w:t>Total count</w:t>
            </w:r>
          </w:p>
        </w:tc>
      </w:tr>
      <w:tr w:rsidR="00B254A7" w:rsidRPr="00C1379D" w:rsidTr="005B6EEC">
        <w:tc>
          <w:tcPr>
            <w:tcW w:w="2376" w:type="dxa"/>
            <w:vMerge/>
            <w:tcBorders>
              <w:bottom w:val="single" w:sz="4" w:space="0" w:color="auto"/>
            </w:tcBorders>
          </w:tcPr>
          <w:p w:rsidR="00B254A7" w:rsidRPr="00C1379D" w:rsidRDefault="00B254A7" w:rsidP="005B6EEC">
            <w:pPr>
              <w:rPr>
                <w:rFonts w:asciiTheme="minorHAnsi" w:hAnsiTheme="minorHAnsi"/>
                <w:b/>
                <w:sz w:val="22"/>
                <w:szCs w:val="22"/>
              </w:rPr>
            </w:pPr>
          </w:p>
        </w:tc>
        <w:tc>
          <w:tcPr>
            <w:tcW w:w="1320" w:type="dxa"/>
            <w:tcBorders>
              <w:bottom w:val="single" w:sz="4" w:space="0" w:color="auto"/>
            </w:tcBorders>
            <w:shd w:val="clear" w:color="auto" w:fill="DAEEF3" w:themeFill="accent5" w:themeFillTint="33"/>
          </w:tcPr>
          <w:p w:rsidR="00B254A7" w:rsidRPr="00C1379D" w:rsidRDefault="00B254A7" w:rsidP="005B6EEC">
            <w:pPr>
              <w:jc w:val="center"/>
              <w:rPr>
                <w:rFonts w:asciiTheme="minorHAnsi" w:hAnsiTheme="minorHAnsi"/>
                <w:b/>
                <w:sz w:val="22"/>
                <w:szCs w:val="22"/>
              </w:rPr>
            </w:pPr>
            <w:r w:rsidRPr="00C1379D">
              <w:rPr>
                <w:rFonts w:asciiTheme="minorHAnsi" w:hAnsiTheme="minorHAnsi"/>
                <w:b/>
                <w:sz w:val="22"/>
                <w:szCs w:val="22"/>
              </w:rPr>
              <w:t>% Female</w:t>
            </w:r>
          </w:p>
        </w:tc>
        <w:tc>
          <w:tcPr>
            <w:tcW w:w="1374" w:type="dxa"/>
            <w:tcBorders>
              <w:bottom w:val="single" w:sz="4" w:space="0" w:color="auto"/>
            </w:tcBorders>
            <w:shd w:val="clear" w:color="auto" w:fill="DAEEF3" w:themeFill="accent5" w:themeFillTint="33"/>
          </w:tcPr>
          <w:p w:rsidR="00B254A7" w:rsidRPr="00C1379D" w:rsidRDefault="00B254A7" w:rsidP="005B6EEC">
            <w:pPr>
              <w:jc w:val="center"/>
              <w:rPr>
                <w:rFonts w:asciiTheme="minorHAnsi" w:hAnsiTheme="minorHAnsi"/>
                <w:b/>
                <w:sz w:val="22"/>
                <w:szCs w:val="22"/>
              </w:rPr>
            </w:pPr>
            <w:r w:rsidRPr="00C1379D">
              <w:rPr>
                <w:rFonts w:asciiTheme="minorHAnsi" w:hAnsiTheme="minorHAnsi"/>
                <w:b/>
                <w:sz w:val="22"/>
                <w:szCs w:val="22"/>
              </w:rPr>
              <w:t>% UK- BME</w:t>
            </w:r>
          </w:p>
        </w:tc>
        <w:tc>
          <w:tcPr>
            <w:tcW w:w="1417" w:type="dxa"/>
            <w:tcBorders>
              <w:bottom w:val="single" w:sz="4" w:space="0" w:color="auto"/>
            </w:tcBorders>
            <w:shd w:val="clear" w:color="auto" w:fill="DAEEF3" w:themeFill="accent5" w:themeFillTint="33"/>
          </w:tcPr>
          <w:p w:rsidR="00B254A7" w:rsidRPr="00C1379D" w:rsidRDefault="00B254A7" w:rsidP="005B6EEC">
            <w:pPr>
              <w:jc w:val="center"/>
              <w:rPr>
                <w:rFonts w:asciiTheme="minorHAnsi" w:hAnsiTheme="minorHAnsi"/>
                <w:b/>
                <w:sz w:val="22"/>
                <w:szCs w:val="22"/>
              </w:rPr>
            </w:pPr>
            <w:r w:rsidRPr="00C1379D">
              <w:rPr>
                <w:rFonts w:asciiTheme="minorHAnsi" w:hAnsiTheme="minorHAnsi"/>
                <w:b/>
                <w:sz w:val="22"/>
                <w:szCs w:val="22"/>
              </w:rPr>
              <w:t xml:space="preserve">% Non-UK </w:t>
            </w:r>
          </w:p>
        </w:tc>
        <w:tc>
          <w:tcPr>
            <w:tcW w:w="1276" w:type="dxa"/>
            <w:vMerge/>
            <w:tcBorders>
              <w:bottom w:val="single" w:sz="4" w:space="0" w:color="auto"/>
            </w:tcBorders>
          </w:tcPr>
          <w:p w:rsidR="00B254A7" w:rsidRPr="00C1379D" w:rsidRDefault="00B254A7" w:rsidP="005B6EEC">
            <w:pPr>
              <w:jc w:val="center"/>
              <w:rPr>
                <w:rFonts w:asciiTheme="minorHAnsi" w:hAnsiTheme="minorHAnsi"/>
                <w:b/>
                <w:sz w:val="22"/>
                <w:szCs w:val="22"/>
              </w:rPr>
            </w:pPr>
          </w:p>
        </w:tc>
      </w:tr>
      <w:tr w:rsidR="00B254A7" w:rsidRPr="00C1379D" w:rsidTr="005B6EEC">
        <w:tc>
          <w:tcPr>
            <w:tcW w:w="2376" w:type="dxa"/>
            <w:tcBorders>
              <w:top w:val="single" w:sz="4" w:space="0" w:color="auto"/>
              <w:left w:val="single" w:sz="4" w:space="0" w:color="auto"/>
              <w:bottom w:val="nil"/>
              <w:right w:val="single" w:sz="4" w:space="0" w:color="auto"/>
            </w:tcBorders>
          </w:tcPr>
          <w:p w:rsidR="00B254A7" w:rsidRPr="00C1379D" w:rsidRDefault="00B254A7" w:rsidP="005B6EEC">
            <w:pPr>
              <w:rPr>
                <w:rFonts w:asciiTheme="minorHAnsi" w:hAnsiTheme="minorHAnsi"/>
                <w:b/>
                <w:sz w:val="22"/>
                <w:szCs w:val="22"/>
              </w:rPr>
            </w:pPr>
            <w:r w:rsidRPr="00C1379D">
              <w:rPr>
                <w:rFonts w:asciiTheme="minorHAnsi" w:hAnsiTheme="minorHAnsi"/>
                <w:b/>
                <w:sz w:val="22"/>
                <w:szCs w:val="22"/>
              </w:rPr>
              <w:t>LAW</w:t>
            </w:r>
          </w:p>
        </w:tc>
        <w:tc>
          <w:tcPr>
            <w:tcW w:w="1320"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374"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417"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276"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Undergraduate</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65</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18</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34</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1175</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 xml:space="preserve">Postgraduate (taught) </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63</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11</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38</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189</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Postgraduate research</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43</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11</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38</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72</w:t>
            </w:r>
          </w:p>
        </w:tc>
      </w:tr>
      <w:tr w:rsidR="00B254A7" w:rsidRPr="00C1379D" w:rsidTr="005B6EEC">
        <w:tc>
          <w:tcPr>
            <w:tcW w:w="2376" w:type="dxa"/>
            <w:tcBorders>
              <w:top w:val="single" w:sz="4" w:space="0" w:color="auto"/>
              <w:left w:val="single" w:sz="4" w:space="0" w:color="auto"/>
              <w:bottom w:val="nil"/>
              <w:right w:val="single" w:sz="4" w:space="0" w:color="auto"/>
            </w:tcBorders>
          </w:tcPr>
          <w:p w:rsidR="00B254A7" w:rsidRPr="00C1379D" w:rsidRDefault="00B254A7" w:rsidP="005B6EEC">
            <w:pPr>
              <w:rPr>
                <w:rFonts w:asciiTheme="minorHAnsi" w:hAnsiTheme="minorHAnsi"/>
                <w:b/>
                <w:sz w:val="22"/>
                <w:szCs w:val="22"/>
              </w:rPr>
            </w:pPr>
            <w:r w:rsidRPr="00C1379D">
              <w:rPr>
                <w:rFonts w:asciiTheme="minorHAnsi" w:hAnsiTheme="minorHAnsi"/>
                <w:b/>
                <w:sz w:val="22"/>
                <w:szCs w:val="22"/>
              </w:rPr>
              <w:t>MBS</w:t>
            </w:r>
          </w:p>
        </w:tc>
        <w:tc>
          <w:tcPr>
            <w:tcW w:w="1320"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374"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417"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276"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Undergraduate</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47</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11</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53</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1678</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 xml:space="preserve">Postgraduate (taught) </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54</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7</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70</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1661</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Postgraduate research</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45</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9</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70</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203</w:t>
            </w:r>
          </w:p>
        </w:tc>
      </w:tr>
      <w:tr w:rsidR="00B254A7" w:rsidRPr="00C1379D" w:rsidTr="005B6EEC">
        <w:tc>
          <w:tcPr>
            <w:tcW w:w="2376" w:type="dxa"/>
            <w:tcBorders>
              <w:top w:val="single" w:sz="4" w:space="0" w:color="auto"/>
              <w:left w:val="single" w:sz="4" w:space="0" w:color="auto"/>
              <w:bottom w:val="nil"/>
              <w:right w:val="single" w:sz="4" w:space="0" w:color="auto"/>
            </w:tcBorders>
          </w:tcPr>
          <w:p w:rsidR="00B254A7" w:rsidRPr="00C1379D" w:rsidRDefault="00B254A7" w:rsidP="005B6EEC">
            <w:pPr>
              <w:rPr>
                <w:rFonts w:asciiTheme="minorHAnsi" w:hAnsiTheme="minorHAnsi"/>
                <w:b/>
                <w:sz w:val="22"/>
                <w:szCs w:val="22"/>
              </w:rPr>
            </w:pPr>
            <w:r w:rsidRPr="00C1379D">
              <w:rPr>
                <w:rFonts w:asciiTheme="minorHAnsi" w:hAnsiTheme="minorHAnsi"/>
                <w:b/>
                <w:sz w:val="22"/>
                <w:szCs w:val="22"/>
              </w:rPr>
              <w:t>SALC</w:t>
            </w:r>
          </w:p>
        </w:tc>
        <w:tc>
          <w:tcPr>
            <w:tcW w:w="1320"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374"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417"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276"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Undergraduate</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62</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11</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8</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4377</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 xml:space="preserve">Postgraduate (taught) </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69</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7</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30</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500</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Postgraduate research</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61</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28</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309</w:t>
            </w:r>
          </w:p>
        </w:tc>
      </w:tr>
      <w:tr w:rsidR="00B254A7" w:rsidRPr="00C1379D" w:rsidTr="005B6EEC">
        <w:tc>
          <w:tcPr>
            <w:tcW w:w="2376" w:type="dxa"/>
            <w:tcBorders>
              <w:top w:val="single" w:sz="4" w:space="0" w:color="auto"/>
              <w:left w:val="single" w:sz="4" w:space="0" w:color="auto"/>
              <w:bottom w:val="nil"/>
              <w:right w:val="single" w:sz="4" w:space="0" w:color="auto"/>
            </w:tcBorders>
          </w:tcPr>
          <w:p w:rsidR="00B254A7" w:rsidRPr="00C1379D" w:rsidRDefault="00B254A7" w:rsidP="005B6EEC">
            <w:pPr>
              <w:rPr>
                <w:rFonts w:asciiTheme="minorHAnsi" w:hAnsiTheme="minorHAnsi"/>
                <w:b/>
                <w:sz w:val="22"/>
                <w:szCs w:val="22"/>
              </w:rPr>
            </w:pPr>
            <w:r w:rsidRPr="00C1379D">
              <w:rPr>
                <w:rFonts w:asciiTheme="minorHAnsi" w:hAnsiTheme="minorHAnsi"/>
                <w:b/>
                <w:sz w:val="22"/>
                <w:szCs w:val="22"/>
              </w:rPr>
              <w:t>SEED</w:t>
            </w:r>
          </w:p>
        </w:tc>
        <w:tc>
          <w:tcPr>
            <w:tcW w:w="1320"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374"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417"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276"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Undergraduate</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57</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12</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12</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1114</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 xml:space="preserve">Postgraduate (taught) </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67</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7</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33</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1625</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Postgraduate research</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64</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40</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342</w:t>
            </w:r>
          </w:p>
        </w:tc>
      </w:tr>
      <w:tr w:rsidR="00B254A7" w:rsidRPr="00C1379D" w:rsidTr="005B6EEC">
        <w:tc>
          <w:tcPr>
            <w:tcW w:w="2376" w:type="dxa"/>
            <w:tcBorders>
              <w:top w:val="single" w:sz="4" w:space="0" w:color="auto"/>
              <w:left w:val="single" w:sz="4" w:space="0" w:color="auto"/>
              <w:bottom w:val="nil"/>
              <w:right w:val="single" w:sz="4" w:space="0" w:color="auto"/>
            </w:tcBorders>
          </w:tcPr>
          <w:p w:rsidR="00B254A7" w:rsidRPr="00C1379D" w:rsidRDefault="00B254A7" w:rsidP="005B6EEC">
            <w:pPr>
              <w:rPr>
                <w:rFonts w:asciiTheme="minorHAnsi" w:hAnsiTheme="minorHAnsi"/>
                <w:b/>
                <w:sz w:val="22"/>
                <w:szCs w:val="22"/>
              </w:rPr>
            </w:pPr>
            <w:r w:rsidRPr="00C1379D">
              <w:rPr>
                <w:rFonts w:asciiTheme="minorHAnsi" w:hAnsiTheme="minorHAnsi"/>
                <w:b/>
                <w:sz w:val="22"/>
                <w:szCs w:val="22"/>
              </w:rPr>
              <w:t>SOSS</w:t>
            </w:r>
          </w:p>
        </w:tc>
        <w:tc>
          <w:tcPr>
            <w:tcW w:w="1320"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374"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417"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c>
          <w:tcPr>
            <w:tcW w:w="1276" w:type="dxa"/>
            <w:tcBorders>
              <w:top w:val="single" w:sz="4" w:space="0" w:color="auto"/>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Undergraduate</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46</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15</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38</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2827</w:t>
            </w:r>
          </w:p>
        </w:tc>
      </w:tr>
      <w:tr w:rsidR="00B254A7" w:rsidRPr="00C1379D" w:rsidTr="005B6EEC">
        <w:tc>
          <w:tcPr>
            <w:tcW w:w="2376" w:type="dxa"/>
            <w:tcBorders>
              <w:top w:val="nil"/>
              <w:left w:val="single" w:sz="4" w:space="0" w:color="auto"/>
              <w:bottom w:val="nil"/>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 xml:space="preserve">Postgraduate (taught) </w:t>
            </w:r>
          </w:p>
        </w:tc>
        <w:tc>
          <w:tcPr>
            <w:tcW w:w="1320"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51</w:t>
            </w:r>
          </w:p>
        </w:tc>
        <w:tc>
          <w:tcPr>
            <w:tcW w:w="1374"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9</w:t>
            </w:r>
          </w:p>
        </w:tc>
        <w:tc>
          <w:tcPr>
            <w:tcW w:w="1417"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50</w:t>
            </w:r>
          </w:p>
        </w:tc>
        <w:tc>
          <w:tcPr>
            <w:tcW w:w="1276" w:type="dxa"/>
            <w:tcBorders>
              <w:top w:val="nil"/>
              <w:left w:val="single" w:sz="4" w:space="0" w:color="auto"/>
              <w:bottom w:val="nil"/>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321</w:t>
            </w:r>
          </w:p>
        </w:tc>
      </w:tr>
      <w:tr w:rsidR="00B254A7" w:rsidRPr="00C1379D" w:rsidTr="005B6EEC">
        <w:tc>
          <w:tcPr>
            <w:tcW w:w="2376" w:type="dxa"/>
            <w:tcBorders>
              <w:top w:val="nil"/>
              <w:left w:val="single" w:sz="4" w:space="0" w:color="auto"/>
              <w:bottom w:val="single" w:sz="4" w:space="0" w:color="auto"/>
              <w:right w:val="single" w:sz="4" w:space="0" w:color="auto"/>
            </w:tcBorders>
          </w:tcPr>
          <w:p w:rsidR="00B254A7" w:rsidRPr="00A937B3" w:rsidRDefault="00B254A7" w:rsidP="005B6EEC">
            <w:pPr>
              <w:rPr>
                <w:rFonts w:asciiTheme="minorHAnsi" w:hAnsiTheme="minorHAnsi"/>
                <w:sz w:val="22"/>
                <w:szCs w:val="22"/>
              </w:rPr>
            </w:pPr>
            <w:r w:rsidRPr="00A937B3">
              <w:rPr>
                <w:rFonts w:asciiTheme="minorHAnsi" w:hAnsiTheme="minorHAnsi"/>
                <w:sz w:val="22"/>
                <w:szCs w:val="22"/>
              </w:rPr>
              <w:t>Postgraduate research</w:t>
            </w:r>
          </w:p>
        </w:tc>
        <w:tc>
          <w:tcPr>
            <w:tcW w:w="1320" w:type="dxa"/>
            <w:tcBorders>
              <w:top w:val="nil"/>
              <w:left w:val="single" w:sz="4" w:space="0" w:color="auto"/>
              <w:bottom w:val="single" w:sz="4" w:space="0" w:color="auto"/>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51</w:t>
            </w:r>
          </w:p>
        </w:tc>
        <w:tc>
          <w:tcPr>
            <w:tcW w:w="1374" w:type="dxa"/>
            <w:tcBorders>
              <w:top w:val="nil"/>
              <w:left w:val="single" w:sz="4" w:space="0" w:color="auto"/>
              <w:bottom w:val="single" w:sz="4" w:space="0" w:color="auto"/>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6</w:t>
            </w:r>
          </w:p>
        </w:tc>
        <w:tc>
          <w:tcPr>
            <w:tcW w:w="1417" w:type="dxa"/>
            <w:tcBorders>
              <w:top w:val="nil"/>
              <w:left w:val="single" w:sz="4" w:space="0" w:color="auto"/>
              <w:bottom w:val="single" w:sz="4" w:space="0" w:color="auto"/>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49</w:t>
            </w:r>
          </w:p>
        </w:tc>
        <w:tc>
          <w:tcPr>
            <w:tcW w:w="1276" w:type="dxa"/>
            <w:tcBorders>
              <w:top w:val="nil"/>
              <w:left w:val="single" w:sz="4" w:space="0" w:color="auto"/>
              <w:bottom w:val="single" w:sz="4" w:space="0" w:color="auto"/>
              <w:right w:val="single" w:sz="4" w:space="0" w:color="auto"/>
            </w:tcBorders>
          </w:tcPr>
          <w:p w:rsidR="00B254A7" w:rsidRPr="00C1379D" w:rsidRDefault="00B254A7" w:rsidP="005B6EEC">
            <w:pPr>
              <w:jc w:val="center"/>
              <w:rPr>
                <w:rFonts w:asciiTheme="minorHAnsi" w:hAnsiTheme="minorHAnsi"/>
                <w:sz w:val="22"/>
                <w:szCs w:val="22"/>
              </w:rPr>
            </w:pPr>
            <w:r w:rsidRPr="00C1379D">
              <w:rPr>
                <w:rFonts w:asciiTheme="minorHAnsi" w:hAnsiTheme="minorHAnsi"/>
                <w:sz w:val="22"/>
                <w:szCs w:val="22"/>
              </w:rPr>
              <w:t>178</w:t>
            </w:r>
          </w:p>
        </w:tc>
      </w:tr>
    </w:tbl>
    <w:p w:rsidR="00B254A7" w:rsidRDefault="00B254A7" w:rsidP="00351EAB">
      <w:pPr>
        <w:rPr>
          <w:sz w:val="16"/>
          <w:szCs w:val="16"/>
        </w:rPr>
      </w:pPr>
    </w:p>
    <w:p w:rsidR="00A3691C" w:rsidRDefault="00A3691C" w:rsidP="00A3691C">
      <w:pPr>
        <w:spacing w:after="120"/>
        <w:jc w:val="both"/>
        <w:rPr>
          <w:rFonts w:eastAsia="Times New Roman" w:cs="Tahoma"/>
          <w:color w:val="000000"/>
          <w:lang w:eastAsia="en-GB"/>
        </w:rPr>
      </w:pPr>
      <w:r>
        <w:rPr>
          <w:rFonts w:eastAsia="Times New Roman" w:cs="Tahoma"/>
          <w:color w:val="000000"/>
          <w:lang w:eastAsia="en-GB"/>
        </w:rPr>
        <w:t>Women are well-represented among the student population in the Faculty of Humanities. In some parts of the Faculty women account for more than 60 per cent of the student population which indicates ‘gender imbalance’ according to the definition explained earlier in the discussion of the academic staff profile:</w:t>
      </w:r>
    </w:p>
    <w:p w:rsidR="00A3691C" w:rsidRDefault="00A3691C" w:rsidP="00A3691C">
      <w:pPr>
        <w:numPr>
          <w:ilvl w:val="0"/>
          <w:numId w:val="11"/>
        </w:numPr>
        <w:spacing w:after="120"/>
        <w:contextualSpacing/>
        <w:jc w:val="both"/>
        <w:rPr>
          <w:rFonts w:eastAsia="Times New Roman" w:cs="Tahoma"/>
          <w:color w:val="000000"/>
          <w:lang w:eastAsia="en-GB"/>
        </w:rPr>
      </w:pPr>
      <w:r>
        <w:rPr>
          <w:rFonts w:eastAsia="Times New Roman" w:cs="Tahoma"/>
          <w:color w:val="000000"/>
          <w:lang w:eastAsia="en-GB"/>
        </w:rPr>
        <w:t>Women account for m</w:t>
      </w:r>
      <w:r w:rsidRPr="00FD55BB">
        <w:rPr>
          <w:rFonts w:eastAsia="Times New Roman" w:cs="Tahoma"/>
          <w:color w:val="000000"/>
          <w:lang w:eastAsia="en-GB"/>
        </w:rPr>
        <w:t xml:space="preserve">ore than half of </w:t>
      </w:r>
      <w:r>
        <w:rPr>
          <w:rFonts w:eastAsia="Times New Roman" w:cs="Tahoma"/>
          <w:color w:val="000000"/>
          <w:lang w:eastAsia="en-GB"/>
        </w:rPr>
        <w:t>the</w:t>
      </w:r>
      <w:r w:rsidRPr="00FD55BB">
        <w:rPr>
          <w:rFonts w:eastAsia="Times New Roman" w:cs="Tahoma"/>
          <w:color w:val="000000"/>
          <w:lang w:eastAsia="en-GB"/>
        </w:rPr>
        <w:t xml:space="preserve"> undergraduate students in LAW (65 per cent), SALC (62 per cent) and SEED (57 per cent) and just under half in MBS and SOSS (46-7 per cent). </w:t>
      </w:r>
    </w:p>
    <w:p w:rsidR="00A3691C" w:rsidRPr="00FD55BB" w:rsidRDefault="00A3691C" w:rsidP="00A3691C">
      <w:pPr>
        <w:numPr>
          <w:ilvl w:val="0"/>
          <w:numId w:val="11"/>
        </w:numPr>
        <w:spacing w:after="120"/>
        <w:contextualSpacing/>
        <w:jc w:val="both"/>
        <w:rPr>
          <w:rFonts w:eastAsia="Times New Roman" w:cs="Tahoma"/>
          <w:color w:val="000000"/>
          <w:lang w:eastAsia="en-GB"/>
        </w:rPr>
      </w:pPr>
      <w:r w:rsidRPr="00FD55BB">
        <w:rPr>
          <w:rFonts w:eastAsia="Times New Roman" w:cs="Tahoma"/>
          <w:color w:val="000000"/>
          <w:lang w:eastAsia="en-GB"/>
        </w:rPr>
        <w:t>More than half of our PGT students are women in every School (51 per cent in SOSS, rising to 69 per cent in SALC).</w:t>
      </w:r>
    </w:p>
    <w:p w:rsidR="00A3691C" w:rsidRDefault="00A3691C" w:rsidP="00A3691C">
      <w:pPr>
        <w:numPr>
          <w:ilvl w:val="0"/>
          <w:numId w:val="11"/>
        </w:numPr>
        <w:spacing w:after="120"/>
        <w:contextualSpacing/>
        <w:jc w:val="both"/>
        <w:rPr>
          <w:rFonts w:eastAsia="Times New Roman" w:cs="Tahoma"/>
          <w:color w:val="000000"/>
          <w:lang w:eastAsia="en-GB"/>
        </w:rPr>
      </w:pPr>
      <w:r w:rsidRPr="00351EAB">
        <w:rPr>
          <w:rFonts w:eastAsia="Times New Roman" w:cs="Tahoma"/>
          <w:color w:val="000000"/>
          <w:lang w:eastAsia="en-GB"/>
        </w:rPr>
        <w:t>At PGR level women</w:t>
      </w:r>
      <w:r>
        <w:rPr>
          <w:rFonts w:eastAsia="Times New Roman" w:cs="Tahoma"/>
          <w:color w:val="000000"/>
          <w:lang w:eastAsia="en-GB"/>
        </w:rPr>
        <w:t xml:space="preserve"> the majority of students are women </w:t>
      </w:r>
      <w:r w:rsidRPr="00351EAB">
        <w:rPr>
          <w:rFonts w:eastAsia="Times New Roman" w:cs="Tahoma"/>
          <w:color w:val="000000"/>
          <w:lang w:eastAsia="en-GB"/>
        </w:rPr>
        <w:t>in SALC and SEED (61-64</w:t>
      </w:r>
      <w:r>
        <w:rPr>
          <w:rFonts w:eastAsia="Times New Roman" w:cs="Tahoma"/>
          <w:color w:val="000000"/>
          <w:lang w:eastAsia="en-GB"/>
        </w:rPr>
        <w:t xml:space="preserve"> per cent</w:t>
      </w:r>
      <w:r w:rsidRPr="00351EAB">
        <w:rPr>
          <w:rFonts w:eastAsia="Times New Roman" w:cs="Tahoma"/>
          <w:color w:val="000000"/>
          <w:lang w:eastAsia="en-GB"/>
        </w:rPr>
        <w:t>) while the picture is roughly fifty-fifty in SOSS and less than half in MBS and LAW (43-45</w:t>
      </w:r>
      <w:r>
        <w:rPr>
          <w:rFonts w:eastAsia="Times New Roman" w:cs="Tahoma"/>
          <w:color w:val="000000"/>
          <w:lang w:eastAsia="en-GB"/>
        </w:rPr>
        <w:t>per cent</w:t>
      </w:r>
      <w:r w:rsidRPr="00351EAB">
        <w:rPr>
          <w:rFonts w:eastAsia="Times New Roman" w:cs="Tahoma"/>
          <w:color w:val="000000"/>
          <w:lang w:eastAsia="en-GB"/>
        </w:rPr>
        <w:t>).</w:t>
      </w:r>
    </w:p>
    <w:p w:rsidR="00A3691C" w:rsidRDefault="00A3691C" w:rsidP="00A3691C">
      <w:pPr>
        <w:numPr>
          <w:ilvl w:val="0"/>
          <w:numId w:val="11"/>
        </w:numPr>
        <w:spacing w:after="120"/>
        <w:contextualSpacing/>
        <w:jc w:val="both"/>
        <w:rPr>
          <w:rFonts w:eastAsia="Times New Roman" w:cs="Tahoma"/>
          <w:color w:val="000000"/>
          <w:lang w:eastAsia="en-GB"/>
        </w:rPr>
      </w:pPr>
      <w:r>
        <w:rPr>
          <w:rFonts w:eastAsia="Times New Roman" w:cs="Tahoma"/>
          <w:color w:val="000000"/>
          <w:lang w:eastAsia="en-GB"/>
        </w:rPr>
        <w:t>The representation of women at PGT and PGR is similar or higher than at UG level in all Schools except for PGR in Law, where the proportion of students who are women is markedly lower than at UG or PGT level.</w:t>
      </w:r>
    </w:p>
    <w:p w:rsidR="00A3691C" w:rsidRDefault="00A3691C" w:rsidP="00A3691C">
      <w:pPr>
        <w:spacing w:after="120"/>
        <w:contextualSpacing/>
        <w:jc w:val="both"/>
        <w:rPr>
          <w:rFonts w:eastAsia="Times New Roman" w:cs="Tahoma"/>
          <w:color w:val="000000"/>
          <w:lang w:eastAsia="en-GB"/>
        </w:rPr>
      </w:pPr>
    </w:p>
    <w:p w:rsidR="00A3691C" w:rsidRPr="00351EAB" w:rsidRDefault="00A3691C" w:rsidP="00A3691C">
      <w:pPr>
        <w:spacing w:after="120"/>
        <w:contextualSpacing/>
        <w:jc w:val="both"/>
        <w:rPr>
          <w:rFonts w:eastAsia="Times New Roman" w:cs="Tahoma"/>
          <w:color w:val="000000"/>
          <w:lang w:eastAsia="en-GB"/>
        </w:rPr>
      </w:pPr>
      <w:r>
        <w:rPr>
          <w:rFonts w:eastAsia="Times New Roman" w:cs="Tahoma"/>
          <w:color w:val="000000"/>
          <w:lang w:eastAsia="en-GB"/>
        </w:rPr>
        <w:t>If we focus on the BME students who are home students (UK) the headlines are that:</w:t>
      </w:r>
    </w:p>
    <w:p w:rsidR="00A3691C" w:rsidRDefault="00A3691C" w:rsidP="00A3691C">
      <w:pPr>
        <w:numPr>
          <w:ilvl w:val="0"/>
          <w:numId w:val="11"/>
        </w:numPr>
        <w:spacing w:after="120"/>
        <w:contextualSpacing/>
        <w:jc w:val="both"/>
        <w:rPr>
          <w:rFonts w:eastAsia="Times New Roman" w:cs="Tahoma"/>
          <w:color w:val="000000"/>
          <w:lang w:eastAsia="en-GB"/>
        </w:rPr>
      </w:pPr>
      <w:r>
        <w:rPr>
          <w:rFonts w:eastAsia="Times New Roman" w:cs="Tahoma"/>
          <w:color w:val="000000"/>
          <w:lang w:eastAsia="en-GB"/>
        </w:rPr>
        <w:t xml:space="preserve">BME </w:t>
      </w:r>
      <w:r w:rsidRPr="00351EAB">
        <w:rPr>
          <w:rFonts w:eastAsia="Times New Roman" w:cs="Tahoma"/>
          <w:color w:val="000000"/>
          <w:lang w:eastAsia="en-GB"/>
        </w:rPr>
        <w:t xml:space="preserve">representation among </w:t>
      </w:r>
      <w:r>
        <w:rPr>
          <w:rFonts w:eastAsia="Times New Roman" w:cs="Tahoma"/>
          <w:color w:val="000000"/>
          <w:lang w:eastAsia="en-GB"/>
        </w:rPr>
        <w:t xml:space="preserve">home student </w:t>
      </w:r>
      <w:r w:rsidRPr="00351EAB">
        <w:rPr>
          <w:rFonts w:eastAsia="Times New Roman" w:cs="Tahoma"/>
          <w:color w:val="000000"/>
          <w:lang w:eastAsia="en-GB"/>
        </w:rPr>
        <w:t>under</w:t>
      </w:r>
      <w:r>
        <w:rPr>
          <w:rFonts w:eastAsia="Times New Roman" w:cs="Tahoma"/>
          <w:color w:val="000000"/>
          <w:lang w:eastAsia="en-GB"/>
        </w:rPr>
        <w:t>graduates is highest in LAW (1</w:t>
      </w:r>
      <w:r w:rsidRPr="00351EAB">
        <w:rPr>
          <w:rFonts w:eastAsia="Times New Roman" w:cs="Tahoma"/>
          <w:color w:val="000000"/>
          <w:lang w:eastAsia="en-GB"/>
        </w:rPr>
        <w:t>8</w:t>
      </w:r>
      <w:r>
        <w:rPr>
          <w:rFonts w:eastAsia="Times New Roman" w:cs="Tahoma"/>
          <w:color w:val="000000"/>
          <w:lang w:eastAsia="en-GB"/>
        </w:rPr>
        <w:t xml:space="preserve"> per cent</w:t>
      </w:r>
      <w:r w:rsidRPr="00351EAB">
        <w:rPr>
          <w:rFonts w:eastAsia="Times New Roman" w:cs="Tahoma"/>
          <w:color w:val="000000"/>
          <w:lang w:eastAsia="en-GB"/>
        </w:rPr>
        <w:t>) and lowest in SALC (1</w:t>
      </w:r>
      <w:r>
        <w:rPr>
          <w:rFonts w:eastAsia="Times New Roman" w:cs="Tahoma"/>
          <w:color w:val="000000"/>
          <w:lang w:eastAsia="en-GB"/>
        </w:rPr>
        <w:t>1 per cent</w:t>
      </w:r>
      <w:r w:rsidRPr="00351EAB">
        <w:rPr>
          <w:rFonts w:eastAsia="Times New Roman" w:cs="Tahoma"/>
          <w:color w:val="000000"/>
          <w:lang w:eastAsia="en-GB"/>
        </w:rPr>
        <w:t xml:space="preserve">). </w:t>
      </w:r>
    </w:p>
    <w:p w:rsidR="00A3691C" w:rsidRDefault="00A3691C" w:rsidP="00A3691C">
      <w:pPr>
        <w:numPr>
          <w:ilvl w:val="0"/>
          <w:numId w:val="11"/>
        </w:numPr>
        <w:spacing w:after="120"/>
        <w:contextualSpacing/>
        <w:jc w:val="both"/>
        <w:rPr>
          <w:rFonts w:eastAsia="Times New Roman" w:cs="Tahoma"/>
          <w:color w:val="000000"/>
          <w:lang w:eastAsia="en-GB"/>
        </w:rPr>
      </w:pPr>
      <w:r w:rsidRPr="00351EAB">
        <w:rPr>
          <w:rFonts w:eastAsia="Times New Roman" w:cs="Tahoma"/>
          <w:color w:val="000000"/>
          <w:lang w:eastAsia="en-GB"/>
        </w:rPr>
        <w:t xml:space="preserve">BME representation among </w:t>
      </w:r>
      <w:r>
        <w:rPr>
          <w:rFonts w:eastAsia="Times New Roman" w:cs="Tahoma"/>
          <w:color w:val="000000"/>
          <w:lang w:eastAsia="en-GB"/>
        </w:rPr>
        <w:t xml:space="preserve">home </w:t>
      </w:r>
      <w:r w:rsidRPr="00351EAB">
        <w:rPr>
          <w:rFonts w:eastAsia="Times New Roman" w:cs="Tahoma"/>
          <w:color w:val="000000"/>
          <w:lang w:eastAsia="en-GB"/>
        </w:rPr>
        <w:t xml:space="preserve">students </w:t>
      </w:r>
      <w:r>
        <w:rPr>
          <w:rFonts w:eastAsia="Times New Roman" w:cs="Tahoma"/>
          <w:color w:val="000000"/>
          <w:lang w:eastAsia="en-GB"/>
        </w:rPr>
        <w:t xml:space="preserve">is lower </w:t>
      </w:r>
      <w:r w:rsidRPr="00351EAB">
        <w:rPr>
          <w:rFonts w:eastAsia="Times New Roman" w:cs="Tahoma"/>
          <w:color w:val="000000"/>
          <w:lang w:eastAsia="en-GB"/>
        </w:rPr>
        <w:t>at PGT</w:t>
      </w:r>
      <w:r>
        <w:rPr>
          <w:rFonts w:eastAsia="Times New Roman" w:cs="Tahoma"/>
          <w:color w:val="000000"/>
          <w:lang w:eastAsia="en-GB"/>
        </w:rPr>
        <w:t xml:space="preserve"> and PGR than at UG level </w:t>
      </w:r>
      <w:r w:rsidRPr="00351EAB">
        <w:rPr>
          <w:rFonts w:eastAsia="Times New Roman" w:cs="Tahoma"/>
          <w:color w:val="000000"/>
          <w:lang w:eastAsia="en-GB"/>
        </w:rPr>
        <w:t>in every School.</w:t>
      </w:r>
    </w:p>
    <w:p w:rsidR="00A3691C" w:rsidRPr="00351EAB" w:rsidRDefault="00A3691C" w:rsidP="00A3691C">
      <w:pPr>
        <w:numPr>
          <w:ilvl w:val="0"/>
          <w:numId w:val="11"/>
        </w:numPr>
        <w:spacing w:after="120"/>
        <w:contextualSpacing/>
        <w:jc w:val="both"/>
        <w:rPr>
          <w:rFonts w:eastAsia="Times New Roman" w:cs="Tahoma"/>
          <w:color w:val="000000"/>
          <w:lang w:eastAsia="en-GB"/>
        </w:rPr>
      </w:pPr>
      <w:r>
        <w:rPr>
          <w:rFonts w:eastAsia="Times New Roman" w:cs="Tahoma"/>
          <w:color w:val="000000"/>
          <w:lang w:eastAsia="en-GB"/>
        </w:rPr>
        <w:t>There is a lower proportion of UK BME students than non-UK students at every level of study in every school except among undergraduates in SALC and SEED.</w:t>
      </w:r>
    </w:p>
    <w:p w:rsidR="00A3691C" w:rsidRDefault="00A3691C" w:rsidP="00A3691C">
      <w:pPr>
        <w:spacing w:after="120"/>
        <w:contextualSpacing/>
        <w:jc w:val="both"/>
        <w:rPr>
          <w:rFonts w:eastAsia="Times New Roman" w:cs="Tahoma"/>
          <w:color w:val="000000"/>
          <w:lang w:eastAsia="en-GB"/>
        </w:rPr>
      </w:pPr>
    </w:p>
    <w:p w:rsidR="00A3691C" w:rsidRDefault="00A3691C" w:rsidP="00A3691C">
      <w:pPr>
        <w:spacing w:after="120"/>
        <w:contextualSpacing/>
        <w:jc w:val="both"/>
        <w:rPr>
          <w:rFonts w:eastAsia="Times New Roman" w:cs="Tahoma"/>
          <w:color w:val="000000"/>
          <w:lang w:eastAsia="en-GB"/>
        </w:rPr>
      </w:pPr>
      <w:r>
        <w:rPr>
          <w:rFonts w:eastAsia="Times New Roman" w:cs="Tahoma"/>
          <w:color w:val="000000"/>
          <w:lang w:eastAsia="en-GB"/>
        </w:rPr>
        <w:t>These aggregate School data may hide more pronounced gender and BMW differences between disciplines and degree programmes within Schools.</w:t>
      </w:r>
    </w:p>
    <w:p w:rsidR="00A3691C" w:rsidRDefault="00A3691C" w:rsidP="00351EAB">
      <w:pPr>
        <w:rPr>
          <w:sz w:val="16"/>
          <w:szCs w:val="16"/>
        </w:rPr>
      </w:pPr>
    </w:p>
    <w:p w:rsidR="00351EAB" w:rsidRPr="002B0182" w:rsidRDefault="00FC4BEA" w:rsidP="00351EAB">
      <w:pPr>
        <w:spacing w:after="120" w:line="240" w:lineRule="auto"/>
        <w:rPr>
          <w:rFonts w:eastAsia="Times New Roman" w:cs="Segoe UI"/>
          <w:b/>
          <w:sz w:val="24"/>
          <w:szCs w:val="24"/>
          <w:lang w:val="en" w:eastAsia="en-GB"/>
        </w:rPr>
      </w:pPr>
      <w:r>
        <w:rPr>
          <w:rFonts w:eastAsia="Times New Roman" w:cs="Segoe UI"/>
          <w:b/>
          <w:sz w:val="24"/>
          <w:szCs w:val="24"/>
          <w:lang w:val="en" w:eastAsia="en-GB"/>
        </w:rPr>
        <w:t>3</w:t>
      </w:r>
      <w:r w:rsidR="00351EAB" w:rsidRPr="002B0182">
        <w:rPr>
          <w:rFonts w:eastAsia="Times New Roman" w:cs="Segoe UI"/>
          <w:b/>
          <w:sz w:val="24"/>
          <w:szCs w:val="24"/>
          <w:lang w:val="en" w:eastAsia="en-GB"/>
        </w:rPr>
        <w:t>.</w:t>
      </w:r>
      <w:r w:rsidR="00B254A7" w:rsidRPr="002B0182">
        <w:rPr>
          <w:rFonts w:eastAsia="Times New Roman" w:cs="Segoe UI"/>
          <w:b/>
          <w:sz w:val="24"/>
          <w:szCs w:val="24"/>
          <w:lang w:val="en" w:eastAsia="en-GB"/>
        </w:rPr>
        <w:t>3</w:t>
      </w:r>
      <w:r w:rsidR="00351EAB" w:rsidRPr="002B0182">
        <w:rPr>
          <w:rFonts w:eastAsia="Times New Roman" w:cs="Segoe UI"/>
          <w:b/>
          <w:sz w:val="24"/>
          <w:szCs w:val="24"/>
          <w:lang w:val="en" w:eastAsia="en-GB"/>
        </w:rPr>
        <w:t xml:space="preserve"> The University of Manchester’s Equal Pay Audit</w:t>
      </w:r>
      <w:r w:rsidR="00B254A7" w:rsidRPr="002B0182">
        <w:rPr>
          <w:rFonts w:eastAsia="Times New Roman" w:cs="Segoe UI"/>
          <w:b/>
          <w:sz w:val="24"/>
          <w:szCs w:val="24"/>
          <w:lang w:val="en" w:eastAsia="en-GB"/>
        </w:rPr>
        <w:t>s</w:t>
      </w:r>
    </w:p>
    <w:p w:rsidR="004A71A0" w:rsidRDefault="004A71A0" w:rsidP="004A71A0">
      <w:pPr>
        <w:spacing w:after="120"/>
        <w:jc w:val="both"/>
        <w:rPr>
          <w:rFonts w:eastAsia="Times New Roman" w:cs="Tahoma"/>
          <w:color w:val="000000"/>
          <w:lang w:eastAsia="en-GB"/>
        </w:rPr>
      </w:pPr>
      <w:r>
        <w:rPr>
          <w:rFonts w:eastAsia="Times New Roman" w:cs="Tahoma"/>
          <w:color w:val="000000"/>
          <w:lang w:eastAsia="en-GB"/>
        </w:rPr>
        <w:t>A pay gap by gender or ethnicity in any occupation is caused by two aspects in the application of payment systems:</w:t>
      </w:r>
    </w:p>
    <w:p w:rsidR="004A71A0" w:rsidRPr="004A71A0" w:rsidRDefault="004A71A0" w:rsidP="006601FD">
      <w:pPr>
        <w:pStyle w:val="ListParagraph"/>
        <w:numPr>
          <w:ilvl w:val="0"/>
          <w:numId w:val="45"/>
        </w:numPr>
        <w:spacing w:after="120"/>
        <w:jc w:val="both"/>
        <w:rPr>
          <w:rFonts w:eastAsia="Times New Roman" w:cs="Tahoma"/>
          <w:color w:val="000000"/>
          <w:lang w:eastAsia="en-GB"/>
        </w:rPr>
      </w:pPr>
      <w:r w:rsidRPr="004A71A0">
        <w:rPr>
          <w:rFonts w:eastAsia="Times New Roman" w:cs="Tahoma"/>
          <w:b/>
          <w:i/>
          <w:color w:val="000000"/>
          <w:lang w:eastAsia="en-GB"/>
        </w:rPr>
        <w:t>Equal treatment but lower ‘human capital’</w:t>
      </w:r>
      <w:r>
        <w:rPr>
          <w:rFonts w:eastAsia="Times New Roman" w:cs="Tahoma"/>
          <w:b/>
          <w:i/>
          <w:color w:val="000000"/>
          <w:lang w:eastAsia="en-GB"/>
        </w:rPr>
        <w:t xml:space="preserve"> (qualifications, skills, experience, productivity)</w:t>
      </w:r>
      <w:r w:rsidRPr="004A71A0">
        <w:rPr>
          <w:rFonts w:eastAsia="Times New Roman" w:cs="Tahoma"/>
          <w:color w:val="000000"/>
          <w:lang w:eastAsia="en-GB"/>
        </w:rPr>
        <w:t>: the lower-paid group command lower salaries because they are more recent entrants (less experienced)</w:t>
      </w:r>
      <w:r>
        <w:rPr>
          <w:rFonts w:eastAsia="Times New Roman" w:cs="Tahoma"/>
          <w:color w:val="000000"/>
          <w:lang w:eastAsia="en-GB"/>
        </w:rPr>
        <w:t>, have fewer qualifications or are less productive</w:t>
      </w:r>
    </w:p>
    <w:p w:rsidR="004A71A0" w:rsidRPr="004A71A0" w:rsidRDefault="004A71A0" w:rsidP="006601FD">
      <w:pPr>
        <w:pStyle w:val="ListParagraph"/>
        <w:numPr>
          <w:ilvl w:val="0"/>
          <w:numId w:val="45"/>
        </w:numPr>
        <w:spacing w:after="120"/>
        <w:jc w:val="both"/>
        <w:rPr>
          <w:rFonts w:eastAsia="Times New Roman" w:cs="Tahoma"/>
          <w:color w:val="000000"/>
          <w:lang w:eastAsia="en-GB"/>
        </w:rPr>
      </w:pPr>
      <w:r w:rsidRPr="004A71A0">
        <w:rPr>
          <w:rFonts w:eastAsia="Times New Roman" w:cs="Tahoma"/>
          <w:b/>
          <w:i/>
          <w:color w:val="000000"/>
          <w:lang w:eastAsia="en-GB"/>
        </w:rPr>
        <w:t>Unequal treatment despite similar ‘human capital:</w:t>
      </w:r>
      <w:r w:rsidRPr="004A71A0">
        <w:rPr>
          <w:rFonts w:eastAsia="Times New Roman" w:cs="Tahoma"/>
          <w:color w:val="000000"/>
          <w:lang w:eastAsia="en-GB"/>
        </w:rPr>
        <w:t xml:space="preserve"> the lower-paid group tend to be appointed to a lower starting salary and/or progress more slowly through the pay and promotion scale despite having similar skills, productivity and experience</w:t>
      </w:r>
      <w:r>
        <w:rPr>
          <w:rFonts w:eastAsia="Times New Roman" w:cs="Tahoma"/>
          <w:color w:val="000000"/>
          <w:lang w:eastAsia="en-GB"/>
        </w:rPr>
        <w:t xml:space="preserve"> to their better-paid counterparts</w:t>
      </w:r>
    </w:p>
    <w:p w:rsidR="00A937B3" w:rsidRDefault="00A937B3" w:rsidP="00371EFA">
      <w:pPr>
        <w:spacing w:after="120"/>
        <w:rPr>
          <w:rFonts w:eastAsia="Times New Roman" w:cs="Segoe UI"/>
          <w:lang w:val="en" w:eastAsia="en-GB"/>
        </w:rPr>
      </w:pPr>
      <w:r>
        <w:t xml:space="preserve">In the sector’s JNCHES negotiating guidelines for equal pay a pay gap greater than 5% </w:t>
      </w:r>
      <w:r w:rsidR="00A43934">
        <w:t xml:space="preserve">within a grade </w:t>
      </w:r>
      <w:r>
        <w:t>is considered significant</w:t>
      </w:r>
      <w:r>
        <w:rPr>
          <w:rStyle w:val="FootnoteReference"/>
        </w:rPr>
        <w:footnoteReference w:id="5"/>
      </w:r>
      <w:r>
        <w:t>.</w:t>
      </w:r>
    </w:p>
    <w:p w:rsidR="00351EAB" w:rsidRPr="00351EAB" w:rsidRDefault="00351EAB" w:rsidP="00371EFA">
      <w:pPr>
        <w:spacing w:after="120"/>
        <w:rPr>
          <w:rFonts w:eastAsia="Times New Roman" w:cs="Segoe UI"/>
          <w:lang w:val="en" w:eastAsia="en-GB"/>
        </w:rPr>
      </w:pPr>
      <w:r w:rsidRPr="00351EAB">
        <w:rPr>
          <w:rFonts w:eastAsia="Times New Roman" w:cs="Segoe UI"/>
          <w:lang w:val="en" w:eastAsia="en-GB"/>
        </w:rPr>
        <w:t xml:space="preserve">The main findings of the University’s equal pay audit </w:t>
      </w:r>
      <w:r w:rsidR="00B254A7">
        <w:rPr>
          <w:rFonts w:eastAsia="Times New Roman" w:cs="Segoe UI"/>
          <w:lang w:val="en" w:eastAsia="en-GB"/>
        </w:rPr>
        <w:t xml:space="preserve">in 2013 </w:t>
      </w:r>
      <w:r w:rsidRPr="00351EAB">
        <w:rPr>
          <w:rFonts w:eastAsia="Times New Roman" w:cs="Segoe UI"/>
          <w:lang w:val="en" w:eastAsia="en-GB"/>
        </w:rPr>
        <w:t xml:space="preserve">of all staff below professorial and Grade 9 level </w:t>
      </w:r>
      <w:r w:rsidR="00835AF9">
        <w:rPr>
          <w:rFonts w:eastAsia="Times New Roman" w:cs="Segoe UI"/>
          <w:lang w:val="en" w:eastAsia="en-GB"/>
        </w:rPr>
        <w:t xml:space="preserve">(excluding casual staff and those employed in subsidiaries) </w:t>
      </w:r>
      <w:r w:rsidRPr="00351EAB">
        <w:rPr>
          <w:rFonts w:eastAsia="Times New Roman" w:cs="Segoe UI"/>
          <w:lang w:val="en" w:eastAsia="en-GB"/>
        </w:rPr>
        <w:t xml:space="preserve">were </w:t>
      </w:r>
      <w:r w:rsidR="004A71A0">
        <w:rPr>
          <w:rFonts w:eastAsia="Times New Roman" w:cs="Segoe UI"/>
          <w:lang w:val="en" w:eastAsia="en-GB"/>
        </w:rPr>
        <w:t>that the pay gaps within grades were small and less than the 5%</w:t>
      </w:r>
      <w:r w:rsidR="006B7A3D">
        <w:rPr>
          <w:rFonts w:eastAsia="Times New Roman" w:cs="Segoe UI"/>
          <w:lang w:val="en" w:eastAsia="en-GB"/>
        </w:rPr>
        <w:t xml:space="preserve">. However, </w:t>
      </w:r>
      <w:r w:rsidR="004A71A0">
        <w:rPr>
          <w:rFonts w:eastAsia="Times New Roman" w:cs="Segoe UI"/>
          <w:lang w:val="en" w:eastAsia="en-GB"/>
        </w:rPr>
        <w:t>the underrepresentation of women and BME staff at senior grades</w:t>
      </w:r>
      <w:r w:rsidR="006B7A3D">
        <w:rPr>
          <w:rFonts w:eastAsia="Times New Roman" w:cs="Segoe UI"/>
          <w:lang w:val="en" w:eastAsia="en-GB"/>
        </w:rPr>
        <w:t xml:space="preserve"> meant that the overall pay gaps for staff in Grades 1-8 exceeded 5%:</w:t>
      </w:r>
    </w:p>
    <w:p w:rsidR="00E06CED" w:rsidRDefault="00351EAB" w:rsidP="006601FD">
      <w:pPr>
        <w:numPr>
          <w:ilvl w:val="0"/>
          <w:numId w:val="13"/>
        </w:numPr>
        <w:spacing w:after="120"/>
        <w:ind w:left="357" w:hanging="357"/>
        <w:jc w:val="both"/>
        <w:rPr>
          <w:rFonts w:eastAsia="Times New Roman" w:cs="Segoe UI"/>
          <w:b/>
          <w:bCs/>
          <w:lang w:val="en" w:eastAsia="en-GB"/>
        </w:rPr>
      </w:pPr>
      <w:r w:rsidRPr="00351EAB">
        <w:rPr>
          <w:rFonts w:eastAsia="Times New Roman" w:cs="Segoe UI"/>
          <w:b/>
          <w:bCs/>
          <w:i/>
          <w:lang w:val="en" w:eastAsia="en-GB"/>
        </w:rPr>
        <w:t xml:space="preserve">Gender: </w:t>
      </w:r>
      <w:r w:rsidRPr="00351EAB">
        <w:rPr>
          <w:rFonts w:eastAsia="Times New Roman" w:cs="Segoe UI"/>
          <w:lang w:val="en" w:eastAsia="en-GB"/>
        </w:rPr>
        <w:t xml:space="preserve">There is an overall </w:t>
      </w:r>
      <w:r w:rsidR="00091365">
        <w:rPr>
          <w:rFonts w:eastAsia="Times New Roman" w:cs="Segoe UI"/>
          <w:lang w:val="en" w:eastAsia="en-GB"/>
        </w:rPr>
        <w:t xml:space="preserve">gender </w:t>
      </w:r>
      <w:r w:rsidRPr="00351EAB">
        <w:rPr>
          <w:rFonts w:eastAsia="Times New Roman" w:cs="Segoe UI"/>
          <w:lang w:val="en" w:eastAsia="en-GB"/>
        </w:rPr>
        <w:t xml:space="preserve">pay gap </w:t>
      </w:r>
      <w:r w:rsidR="00091365">
        <w:rPr>
          <w:rFonts w:eastAsia="Times New Roman" w:cs="Segoe UI"/>
          <w:lang w:val="en" w:eastAsia="en-GB"/>
        </w:rPr>
        <w:t xml:space="preserve">across Grades 1-8 </w:t>
      </w:r>
      <w:r w:rsidRPr="00351EAB">
        <w:rPr>
          <w:rFonts w:eastAsia="Times New Roman" w:cs="Segoe UI"/>
          <w:lang w:val="en" w:eastAsia="en-GB"/>
        </w:rPr>
        <w:t xml:space="preserve">of </w:t>
      </w:r>
      <w:r w:rsidR="00E1301A">
        <w:rPr>
          <w:rFonts w:eastAsia="Times New Roman" w:cs="Segoe UI"/>
          <w:lang w:val="en" w:eastAsia="en-GB"/>
        </w:rPr>
        <w:t>9.7</w:t>
      </w:r>
      <w:r w:rsidR="005B4E56">
        <w:rPr>
          <w:rFonts w:eastAsia="Times New Roman" w:cs="Segoe UI"/>
          <w:lang w:val="en" w:eastAsia="en-GB"/>
        </w:rPr>
        <w:t xml:space="preserve"> per cent</w:t>
      </w:r>
      <w:r w:rsidRPr="00351EAB">
        <w:rPr>
          <w:rFonts w:eastAsia="Times New Roman" w:cs="Segoe UI"/>
          <w:lang w:val="en" w:eastAsia="en-GB"/>
        </w:rPr>
        <w:t xml:space="preserve"> in favour of male staff. At no grade does male staff pay exceed female staff pay by more than 1.</w:t>
      </w:r>
      <w:r w:rsidR="00E1301A">
        <w:rPr>
          <w:rFonts w:eastAsia="Times New Roman" w:cs="Segoe UI"/>
          <w:lang w:val="en" w:eastAsia="en-GB"/>
        </w:rPr>
        <w:t>9</w:t>
      </w:r>
      <w:r w:rsidR="005B4E56">
        <w:rPr>
          <w:rFonts w:eastAsia="Times New Roman" w:cs="Segoe UI"/>
          <w:lang w:val="en" w:eastAsia="en-GB"/>
        </w:rPr>
        <w:t xml:space="preserve"> per cent</w:t>
      </w:r>
      <w:r w:rsidRPr="00351EAB">
        <w:rPr>
          <w:rFonts w:eastAsia="Times New Roman" w:cs="Segoe UI"/>
          <w:lang w:val="en" w:eastAsia="en-GB"/>
        </w:rPr>
        <w:t>.</w:t>
      </w:r>
    </w:p>
    <w:p w:rsidR="00351EAB" w:rsidRPr="00E06CED" w:rsidRDefault="00351EAB" w:rsidP="006601FD">
      <w:pPr>
        <w:numPr>
          <w:ilvl w:val="0"/>
          <w:numId w:val="13"/>
        </w:numPr>
        <w:spacing w:after="120"/>
        <w:ind w:left="357" w:hanging="357"/>
        <w:jc w:val="both"/>
        <w:rPr>
          <w:rFonts w:eastAsia="Times New Roman" w:cs="Segoe UI"/>
          <w:b/>
          <w:bCs/>
          <w:lang w:val="en" w:eastAsia="en-GB"/>
        </w:rPr>
      </w:pPr>
      <w:r w:rsidRPr="00E06CED">
        <w:rPr>
          <w:rFonts w:eastAsia="Times New Roman" w:cs="Segoe UI"/>
          <w:b/>
          <w:bCs/>
          <w:i/>
          <w:lang w:val="en" w:eastAsia="en-GB"/>
        </w:rPr>
        <w:t xml:space="preserve">Ethnicity: </w:t>
      </w:r>
      <w:r w:rsidRPr="00E06CED">
        <w:rPr>
          <w:rFonts w:eastAsia="Times New Roman" w:cs="Segoe UI"/>
          <w:bCs/>
          <w:lang w:val="en" w:eastAsia="en-GB"/>
        </w:rPr>
        <w:t>T</w:t>
      </w:r>
      <w:r w:rsidRPr="00E06CED">
        <w:rPr>
          <w:rFonts w:eastAsia="Times New Roman" w:cs="Segoe UI"/>
          <w:lang w:val="en" w:eastAsia="en-GB"/>
        </w:rPr>
        <w:t xml:space="preserve">here is an overall pay gap of </w:t>
      </w:r>
      <w:r w:rsidR="00E1301A" w:rsidRPr="00E06CED">
        <w:rPr>
          <w:rFonts w:eastAsia="Times New Roman" w:cs="Segoe UI"/>
          <w:lang w:val="en" w:eastAsia="en-GB"/>
        </w:rPr>
        <w:t>6</w:t>
      </w:r>
      <w:r w:rsidRPr="00E06CED">
        <w:rPr>
          <w:rFonts w:eastAsia="Times New Roman" w:cs="Segoe UI"/>
          <w:lang w:val="en" w:eastAsia="en-GB"/>
        </w:rPr>
        <w:t>.3</w:t>
      </w:r>
      <w:r w:rsidR="005B4E56" w:rsidRPr="00E06CED">
        <w:rPr>
          <w:rFonts w:eastAsia="Times New Roman" w:cs="Segoe UI"/>
          <w:lang w:val="en" w:eastAsia="en-GB"/>
        </w:rPr>
        <w:t xml:space="preserve"> per cent</w:t>
      </w:r>
      <w:r w:rsidRPr="00E06CED">
        <w:rPr>
          <w:rFonts w:eastAsia="Times New Roman" w:cs="Segoe UI"/>
          <w:lang w:val="en" w:eastAsia="en-GB"/>
        </w:rPr>
        <w:t xml:space="preserve"> between BME staff and white staff, in favour of white staff. At no grade does the pay of white staff exceed that of BME staff by more than 2.</w:t>
      </w:r>
      <w:r w:rsidR="00E1301A" w:rsidRPr="00E06CED">
        <w:rPr>
          <w:rFonts w:eastAsia="Times New Roman" w:cs="Segoe UI"/>
          <w:lang w:val="en" w:eastAsia="en-GB"/>
        </w:rPr>
        <w:t>6</w:t>
      </w:r>
      <w:r w:rsidR="005B4E56" w:rsidRPr="00E06CED">
        <w:rPr>
          <w:rFonts w:eastAsia="Times New Roman" w:cs="Segoe UI"/>
          <w:lang w:val="en" w:eastAsia="en-GB"/>
        </w:rPr>
        <w:t xml:space="preserve"> per cent</w:t>
      </w:r>
      <w:r w:rsidRPr="00E06CED">
        <w:rPr>
          <w:rFonts w:eastAsia="Times New Roman" w:cs="Segoe UI"/>
          <w:lang w:val="en" w:eastAsia="en-GB"/>
        </w:rPr>
        <w:t>.</w:t>
      </w:r>
    </w:p>
    <w:p w:rsidR="00351EAB" w:rsidRPr="00351EAB" w:rsidRDefault="006B7A3D" w:rsidP="006B7A3D">
      <w:pPr>
        <w:spacing w:after="120"/>
        <w:jc w:val="both"/>
        <w:rPr>
          <w:rFonts w:eastAsia="Times New Roman" w:cs="Tahoma"/>
          <w:color w:val="000000"/>
          <w:lang w:eastAsia="en-GB"/>
        </w:rPr>
      </w:pPr>
      <w:r>
        <w:rPr>
          <w:rFonts w:eastAsia="Times New Roman" w:cs="Tahoma"/>
          <w:color w:val="000000"/>
          <w:lang w:eastAsia="en-GB"/>
        </w:rPr>
        <w:t xml:space="preserve">What does this mean in monetary terms? </w:t>
      </w:r>
      <w:r w:rsidR="00351EAB" w:rsidRPr="00351EAB">
        <w:rPr>
          <w:rFonts w:eastAsia="Times New Roman" w:cs="Tahoma"/>
          <w:color w:val="000000"/>
          <w:lang w:eastAsia="en-GB"/>
        </w:rPr>
        <w:t>Across all full-time staff at grades 1-8 the average annual salary i</w:t>
      </w:r>
      <w:r w:rsidR="00A43934">
        <w:rPr>
          <w:rFonts w:eastAsia="Times New Roman" w:cs="Tahoma"/>
          <w:color w:val="000000"/>
          <w:lang w:eastAsia="en-GB"/>
        </w:rPr>
        <w:t>n 2013 was</w:t>
      </w:r>
      <w:r w:rsidR="00351EAB" w:rsidRPr="00351EAB">
        <w:rPr>
          <w:rFonts w:eastAsia="Times New Roman" w:cs="Tahoma"/>
          <w:color w:val="000000"/>
          <w:lang w:eastAsia="en-GB"/>
        </w:rPr>
        <w:t xml:space="preserve"> £33,678. Among staff at this grade</w:t>
      </w:r>
    </w:p>
    <w:p w:rsidR="00E06CED" w:rsidRDefault="00E06CED" w:rsidP="006601FD">
      <w:pPr>
        <w:numPr>
          <w:ilvl w:val="0"/>
          <w:numId w:val="22"/>
        </w:numPr>
        <w:spacing w:after="120"/>
        <w:contextualSpacing/>
        <w:jc w:val="both"/>
        <w:rPr>
          <w:rFonts w:eastAsia="Times New Roman" w:cs="Tahoma"/>
          <w:color w:val="000000"/>
          <w:lang w:eastAsia="en-GB"/>
        </w:rPr>
      </w:pPr>
      <w:r>
        <w:rPr>
          <w:rFonts w:eastAsia="Times New Roman" w:cs="Tahoma"/>
          <w:color w:val="000000"/>
          <w:lang w:eastAsia="en-GB"/>
        </w:rPr>
        <w:t>M</w:t>
      </w:r>
      <w:r w:rsidR="00351EAB" w:rsidRPr="00351EAB">
        <w:rPr>
          <w:rFonts w:eastAsia="Times New Roman" w:cs="Tahoma"/>
          <w:color w:val="000000"/>
          <w:lang w:eastAsia="en-GB"/>
        </w:rPr>
        <w:t xml:space="preserve">en in full-time positions </w:t>
      </w:r>
      <w:r w:rsidR="00A43934">
        <w:rPr>
          <w:rFonts w:eastAsia="Times New Roman" w:cs="Tahoma"/>
          <w:color w:val="000000"/>
          <w:lang w:eastAsia="en-GB"/>
        </w:rPr>
        <w:t>were</w:t>
      </w:r>
      <w:r w:rsidR="00351EAB" w:rsidRPr="00351EAB">
        <w:rPr>
          <w:rFonts w:eastAsia="Times New Roman" w:cs="Tahoma"/>
          <w:color w:val="000000"/>
          <w:lang w:eastAsia="en-GB"/>
        </w:rPr>
        <w:t xml:space="preserve"> paid an average £</w:t>
      </w:r>
      <w:r>
        <w:rPr>
          <w:rFonts w:eastAsia="Times New Roman" w:cs="Tahoma"/>
          <w:color w:val="000000"/>
          <w:lang w:eastAsia="en-GB"/>
        </w:rPr>
        <w:t>2,926.59</w:t>
      </w:r>
      <w:r w:rsidR="00351EAB" w:rsidRPr="00351EAB">
        <w:rPr>
          <w:rFonts w:eastAsia="Times New Roman" w:cs="Tahoma"/>
          <w:color w:val="000000"/>
          <w:lang w:eastAsia="en-GB"/>
        </w:rPr>
        <w:t xml:space="preserve"> more per annum than women</w:t>
      </w:r>
      <w:r>
        <w:rPr>
          <w:rFonts w:eastAsia="Times New Roman" w:cs="Tahoma"/>
          <w:color w:val="000000"/>
          <w:lang w:eastAsia="en-GB"/>
        </w:rPr>
        <w:t>.</w:t>
      </w:r>
    </w:p>
    <w:p w:rsidR="00351EAB" w:rsidRPr="00A43934" w:rsidRDefault="00E06CED" w:rsidP="006601FD">
      <w:pPr>
        <w:numPr>
          <w:ilvl w:val="0"/>
          <w:numId w:val="22"/>
        </w:numPr>
        <w:spacing w:after="120"/>
        <w:contextualSpacing/>
        <w:jc w:val="both"/>
        <w:rPr>
          <w:rFonts w:eastAsia="Times New Roman" w:cs="Tahoma"/>
          <w:color w:val="000000"/>
          <w:lang w:eastAsia="en-GB"/>
        </w:rPr>
      </w:pPr>
      <w:r>
        <w:rPr>
          <w:rFonts w:eastAsia="Times New Roman" w:cs="Tahoma"/>
          <w:color w:val="000000"/>
          <w:lang w:eastAsia="en-GB"/>
        </w:rPr>
        <w:t>A</w:t>
      </w:r>
      <w:r w:rsidR="00351EAB" w:rsidRPr="00351EAB">
        <w:rPr>
          <w:rFonts w:eastAsia="Times New Roman" w:cs="Tahoma"/>
          <w:color w:val="000000"/>
          <w:lang w:eastAsia="en-GB"/>
        </w:rPr>
        <w:t xml:space="preserve">mong part-timers the pay gap is </w:t>
      </w:r>
      <w:r>
        <w:rPr>
          <w:rFonts w:eastAsia="Times New Roman" w:cs="Tahoma"/>
          <w:color w:val="000000"/>
          <w:lang w:eastAsia="en-GB"/>
        </w:rPr>
        <w:t>smaller</w:t>
      </w:r>
      <w:r w:rsidR="00351EAB" w:rsidRPr="00351EAB">
        <w:rPr>
          <w:rFonts w:eastAsia="Times New Roman" w:cs="Tahoma"/>
          <w:color w:val="000000"/>
          <w:lang w:eastAsia="en-GB"/>
        </w:rPr>
        <w:t>, with women earning just over £</w:t>
      </w:r>
      <w:r>
        <w:rPr>
          <w:rFonts w:eastAsia="Times New Roman" w:cs="Tahoma"/>
          <w:color w:val="000000"/>
          <w:lang w:eastAsia="en-GB"/>
        </w:rPr>
        <w:t xml:space="preserve">221.07 less </w:t>
      </w:r>
      <w:r w:rsidR="00351EAB" w:rsidRPr="00351EAB">
        <w:rPr>
          <w:rFonts w:eastAsia="Times New Roman" w:cs="Tahoma"/>
          <w:color w:val="000000"/>
          <w:lang w:eastAsia="en-GB"/>
        </w:rPr>
        <w:t xml:space="preserve">per </w:t>
      </w:r>
      <w:r w:rsidR="00351EAB" w:rsidRPr="00A43934">
        <w:rPr>
          <w:rFonts w:eastAsia="Times New Roman" w:cs="Tahoma"/>
          <w:color w:val="000000"/>
          <w:lang w:eastAsia="en-GB"/>
        </w:rPr>
        <w:t>annum than the minorit</w:t>
      </w:r>
      <w:r w:rsidRPr="00A43934">
        <w:rPr>
          <w:rFonts w:eastAsia="Times New Roman" w:cs="Tahoma"/>
          <w:color w:val="000000"/>
          <w:lang w:eastAsia="en-GB"/>
        </w:rPr>
        <w:t>y of men on part-time contracts</w:t>
      </w:r>
      <w:r w:rsidR="00351EAB" w:rsidRPr="00A43934">
        <w:rPr>
          <w:rFonts w:eastAsia="Times New Roman" w:cs="Tahoma"/>
          <w:color w:val="000000"/>
          <w:lang w:eastAsia="en-GB"/>
        </w:rPr>
        <w:t>.</w:t>
      </w:r>
    </w:p>
    <w:p w:rsidR="00A43934" w:rsidRPr="00A43934" w:rsidRDefault="00A43934" w:rsidP="006601FD">
      <w:pPr>
        <w:numPr>
          <w:ilvl w:val="0"/>
          <w:numId w:val="22"/>
        </w:numPr>
        <w:spacing w:after="120"/>
        <w:contextualSpacing/>
        <w:jc w:val="both"/>
        <w:rPr>
          <w:rFonts w:eastAsia="Times New Roman" w:cs="Tahoma"/>
          <w:color w:val="000000"/>
          <w:lang w:eastAsia="en-GB"/>
        </w:rPr>
      </w:pPr>
      <w:r w:rsidRPr="00A43934">
        <w:rPr>
          <w:rFonts w:eastAsia="Times New Roman" w:cs="Tahoma"/>
          <w:color w:val="000000"/>
          <w:lang w:eastAsia="en-GB"/>
        </w:rPr>
        <w:lastRenderedPageBreak/>
        <w:t xml:space="preserve">BME staff were paid an average </w:t>
      </w:r>
      <w:r w:rsidR="00351EAB" w:rsidRPr="00A43934">
        <w:rPr>
          <w:rFonts w:eastAsia="Times New Roman" w:cs="Tahoma"/>
          <w:color w:val="000000"/>
          <w:lang w:eastAsia="en-GB"/>
        </w:rPr>
        <w:t>£</w:t>
      </w:r>
      <w:r w:rsidRPr="00A43934">
        <w:rPr>
          <w:rFonts w:eastAsia="Times New Roman" w:cs="Tahoma"/>
          <w:color w:val="000000"/>
          <w:lang w:eastAsia="en-GB"/>
        </w:rPr>
        <w:t>1,222.43</w:t>
      </w:r>
      <w:r w:rsidR="00351EAB" w:rsidRPr="00A43934">
        <w:rPr>
          <w:rFonts w:eastAsia="Times New Roman" w:cs="Tahoma"/>
          <w:color w:val="000000"/>
          <w:lang w:eastAsia="en-GB"/>
        </w:rPr>
        <w:t xml:space="preserve"> </w:t>
      </w:r>
      <w:r w:rsidRPr="00A43934">
        <w:rPr>
          <w:rFonts w:eastAsia="Times New Roman" w:cs="Tahoma"/>
          <w:color w:val="000000"/>
          <w:lang w:eastAsia="en-GB"/>
        </w:rPr>
        <w:t xml:space="preserve">less than White staff. </w:t>
      </w:r>
    </w:p>
    <w:p w:rsidR="00351EAB" w:rsidRPr="00371EFA" w:rsidRDefault="00351EAB" w:rsidP="006601FD">
      <w:pPr>
        <w:numPr>
          <w:ilvl w:val="0"/>
          <w:numId w:val="22"/>
        </w:numPr>
        <w:spacing w:after="120"/>
        <w:contextualSpacing/>
        <w:jc w:val="both"/>
        <w:rPr>
          <w:rFonts w:eastAsia="Times New Roman" w:cs="Tahoma"/>
          <w:color w:val="000000"/>
          <w:lang w:eastAsia="en-GB"/>
        </w:rPr>
      </w:pPr>
      <w:r w:rsidRPr="00A43934">
        <w:rPr>
          <w:rFonts w:eastAsia="Times New Roman" w:cs="Tahoma"/>
          <w:color w:val="000000"/>
          <w:lang w:eastAsia="en-GB"/>
        </w:rPr>
        <w:t>The 2</w:t>
      </w:r>
      <w:r w:rsidR="005B4E56" w:rsidRPr="00A43934">
        <w:rPr>
          <w:rFonts w:eastAsia="Times New Roman" w:cs="Tahoma"/>
          <w:color w:val="000000"/>
          <w:lang w:eastAsia="en-GB"/>
        </w:rPr>
        <w:t xml:space="preserve"> per cent</w:t>
      </w:r>
      <w:r w:rsidRPr="00A43934">
        <w:rPr>
          <w:rFonts w:eastAsia="Times New Roman" w:cs="Tahoma"/>
          <w:color w:val="000000"/>
          <w:lang w:eastAsia="en-GB"/>
        </w:rPr>
        <w:t xml:space="preserve"> of staff who do not declare that ethnic status are lower paid than both BME and White staff</w:t>
      </w:r>
      <w:r w:rsidR="00371EFA">
        <w:rPr>
          <w:rFonts w:eastAsia="Times New Roman" w:cs="Tahoma"/>
          <w:color w:val="000000"/>
          <w:lang w:eastAsia="en-GB"/>
        </w:rPr>
        <w:t>.</w:t>
      </w:r>
    </w:p>
    <w:p w:rsidR="00991DAD" w:rsidRPr="00351EAB" w:rsidRDefault="00991DAD" w:rsidP="00991DAD">
      <w:pPr>
        <w:spacing w:after="0" w:line="240" w:lineRule="auto"/>
        <w:rPr>
          <w:rFonts w:eastAsia="Times New Roman" w:cs="Tahoma"/>
          <w:b/>
          <w:color w:val="000000"/>
          <w:lang w:eastAsia="en-GB"/>
        </w:rPr>
      </w:pPr>
    </w:p>
    <w:p w:rsidR="00351EAB" w:rsidRPr="00351EAB" w:rsidRDefault="00FC4BEA" w:rsidP="00E06CED">
      <w:pPr>
        <w:spacing w:after="120" w:line="240" w:lineRule="auto"/>
        <w:jc w:val="center"/>
        <w:rPr>
          <w:rFonts w:eastAsia="Times New Roman" w:cs="Tahoma"/>
          <w:b/>
          <w:color w:val="000000"/>
          <w:lang w:eastAsia="en-GB"/>
        </w:rPr>
      </w:pPr>
      <w:r>
        <w:rPr>
          <w:rFonts w:eastAsia="Times New Roman" w:cs="Tahoma"/>
          <w:b/>
          <w:color w:val="000000"/>
          <w:lang w:eastAsia="en-GB"/>
        </w:rPr>
        <w:t>Table 3</w:t>
      </w:r>
      <w:r w:rsidR="00351EAB" w:rsidRPr="00351EAB">
        <w:rPr>
          <w:rFonts w:eastAsia="Times New Roman" w:cs="Tahoma"/>
          <w:b/>
          <w:color w:val="000000"/>
          <w:lang w:eastAsia="en-GB"/>
        </w:rPr>
        <w:t>.4 Extract of the Equal Pay Audit</w:t>
      </w:r>
      <w:r w:rsidR="00B254A7">
        <w:rPr>
          <w:rFonts w:eastAsia="Times New Roman" w:cs="Tahoma"/>
          <w:b/>
          <w:color w:val="000000"/>
          <w:lang w:eastAsia="en-GB"/>
        </w:rPr>
        <w:t xml:space="preserve"> </w:t>
      </w:r>
      <w:r w:rsidR="00B254A7" w:rsidRPr="00B254A7">
        <w:rPr>
          <w:rFonts w:eastAsia="Times New Roman" w:cs="Tahoma"/>
          <w:b/>
          <w:color w:val="000000"/>
          <w:lang w:eastAsia="en-GB"/>
        </w:rPr>
        <w:t>for PSS and academic staff grades 1-8</w:t>
      </w:r>
    </w:p>
    <w:p w:rsidR="00351EAB" w:rsidRPr="005B6EEC" w:rsidRDefault="00351EAB" w:rsidP="006601FD">
      <w:pPr>
        <w:pStyle w:val="ListParagraph"/>
        <w:numPr>
          <w:ilvl w:val="0"/>
          <w:numId w:val="30"/>
        </w:numPr>
        <w:spacing w:after="0" w:line="240" w:lineRule="auto"/>
        <w:rPr>
          <w:rFonts w:eastAsia="Times New Roman" w:cs="Tahoma"/>
          <w:b/>
          <w:i/>
          <w:color w:val="000000"/>
          <w:lang w:eastAsia="en-GB"/>
        </w:rPr>
      </w:pPr>
      <w:r w:rsidRPr="005B6EEC">
        <w:rPr>
          <w:rFonts w:eastAsia="Times New Roman" w:cs="Tahoma"/>
          <w:b/>
          <w:i/>
          <w:color w:val="000000"/>
          <w:lang w:eastAsia="en-GB"/>
        </w:rPr>
        <w:t>Gender pay gap</w:t>
      </w:r>
      <w:r w:rsidRPr="00351EAB">
        <w:rPr>
          <w:vertAlign w:val="superscript"/>
          <w:lang w:eastAsia="en-GB"/>
        </w:rPr>
        <w:footnoteReference w:id="6"/>
      </w:r>
    </w:p>
    <w:p w:rsidR="00351EAB" w:rsidRPr="00351EAB" w:rsidRDefault="00351EAB" w:rsidP="00351EAB">
      <w:pPr>
        <w:spacing w:after="0" w:line="240" w:lineRule="auto"/>
        <w:rPr>
          <w:rFonts w:eastAsia="Times New Roman" w:cs="Tahoma"/>
          <w:b/>
          <w:color w:val="000000"/>
          <w:lang w:eastAsia="en-GB"/>
        </w:rPr>
      </w:pPr>
    </w:p>
    <w:tbl>
      <w:tblPr>
        <w:tblW w:w="8378" w:type="dxa"/>
        <w:tblInd w:w="94" w:type="dxa"/>
        <w:tblLayout w:type="fixed"/>
        <w:tblLook w:val="04A0" w:firstRow="1" w:lastRow="0" w:firstColumn="1" w:lastColumn="0" w:noHBand="0" w:noVBand="1"/>
      </w:tblPr>
      <w:tblGrid>
        <w:gridCol w:w="1007"/>
        <w:gridCol w:w="1417"/>
        <w:gridCol w:w="992"/>
        <w:gridCol w:w="1418"/>
        <w:gridCol w:w="1134"/>
        <w:gridCol w:w="1276"/>
        <w:gridCol w:w="1134"/>
      </w:tblGrid>
      <w:tr w:rsidR="00351EAB" w:rsidRPr="00351EAB" w:rsidTr="00351EAB">
        <w:trPr>
          <w:trHeight w:val="510"/>
          <w:tblHeader/>
        </w:trPr>
        <w:tc>
          <w:tcPr>
            <w:tcW w:w="100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i/>
                <w:iCs/>
                <w:color w:val="000000"/>
                <w:lang w:eastAsia="en-GB"/>
              </w:rPr>
            </w:pPr>
            <w:r w:rsidRPr="00351EAB">
              <w:rPr>
                <w:rFonts w:eastAsia="Times New Roman" w:cs="Tahoma"/>
                <w:bCs/>
                <w:i/>
                <w:iCs/>
                <w:color w:val="000000"/>
                <w:lang w:eastAsia="en-GB"/>
              </w:rPr>
              <w:t>Grades 1-8</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FT Average Salary</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FT Pay Gap %</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PT Average Salary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PT Pay Gap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All Average Salary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All Pay Gap %</w:t>
            </w:r>
          </w:p>
        </w:tc>
      </w:tr>
      <w:tr w:rsidR="00351EAB" w:rsidRPr="00351EAB" w:rsidTr="00351EAB">
        <w:trPr>
          <w:trHeight w:val="510"/>
        </w:trPr>
        <w:tc>
          <w:tcPr>
            <w:tcW w:w="100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Total</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£33,678.23</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£28,255.42</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£32,645.00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 </w:t>
            </w:r>
          </w:p>
        </w:tc>
      </w:tr>
      <w:tr w:rsidR="00351EAB" w:rsidRPr="00351EAB" w:rsidTr="005B6EEC">
        <w:trPr>
          <w:trHeight w:val="510"/>
        </w:trPr>
        <w:tc>
          <w:tcPr>
            <w:tcW w:w="100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Women</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640EB3" w:rsidP="00351EAB">
            <w:pPr>
              <w:spacing w:after="0" w:line="240" w:lineRule="auto"/>
              <w:rPr>
                <w:rFonts w:eastAsia="Times New Roman" w:cs="Tahoma"/>
                <w:color w:val="000000"/>
                <w:lang w:eastAsia="en-GB"/>
              </w:rPr>
            </w:pPr>
            <w:r>
              <w:rPr>
                <w:rFonts w:eastAsia="Times New Roman" w:cs="Tahoma"/>
                <w:color w:val="000000"/>
                <w:lang w:eastAsia="en-GB"/>
              </w:rPr>
              <w:t xml:space="preserve"> £</w:t>
            </w:r>
            <w:r w:rsidRPr="00640EB3">
              <w:rPr>
                <w:rFonts w:eastAsia="Times New Roman" w:cs="Tahoma"/>
                <w:color w:val="000000"/>
                <w:lang w:eastAsia="en-GB"/>
              </w:rPr>
              <w:t>32</w:t>
            </w:r>
            <w:r w:rsidR="00E06CED">
              <w:rPr>
                <w:rFonts w:eastAsia="Times New Roman" w:cs="Tahoma"/>
                <w:color w:val="000000"/>
                <w:lang w:eastAsia="en-GB"/>
              </w:rPr>
              <w:t>,</w:t>
            </w:r>
            <w:r w:rsidRPr="00640EB3">
              <w:rPr>
                <w:rFonts w:eastAsia="Times New Roman" w:cs="Tahoma"/>
                <w:color w:val="000000"/>
                <w:lang w:eastAsia="en-GB"/>
              </w:rPr>
              <w:t>112.34</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color w:val="000000"/>
                <w:lang w:eastAsia="en-GB"/>
              </w:rPr>
            </w:pPr>
            <w:r w:rsidRPr="00351EAB">
              <w:rPr>
                <w:rFonts w:eastAsia="Times New Roman" w:cs="Tahoma"/>
                <w:color w:val="000000"/>
                <w:lang w:eastAsia="en-GB"/>
              </w:rPr>
              <w:t>-</w:t>
            </w:r>
            <w:r w:rsidR="00640EB3">
              <w:rPr>
                <w:rFonts w:eastAsia="Times New Roman" w:cs="Tahoma"/>
                <w:color w:val="000000"/>
                <w:lang w:eastAsia="en-GB"/>
              </w:rPr>
              <w:t>8.3</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640EB3">
            <w:pPr>
              <w:spacing w:after="0" w:line="240" w:lineRule="auto"/>
              <w:rPr>
                <w:rFonts w:eastAsia="Times New Roman" w:cs="Tahoma"/>
                <w:color w:val="000000"/>
                <w:lang w:eastAsia="en-GB"/>
              </w:rPr>
            </w:pPr>
            <w:r w:rsidRPr="00351EAB">
              <w:rPr>
                <w:rFonts w:eastAsia="Times New Roman" w:cs="Tahoma"/>
                <w:color w:val="000000"/>
                <w:lang w:eastAsia="en-GB"/>
              </w:rPr>
              <w:t>£</w:t>
            </w:r>
            <w:r w:rsidR="00640EB3">
              <w:rPr>
                <w:rFonts w:eastAsia="Times New Roman" w:cs="Tahoma"/>
                <w:color w:val="000000"/>
                <w:lang w:eastAsia="en-GB"/>
              </w:rPr>
              <w:t>28,199.80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351EAB" w:rsidRPr="00351EAB" w:rsidRDefault="00640EB3" w:rsidP="00351EAB">
            <w:pPr>
              <w:spacing w:after="0" w:line="240" w:lineRule="auto"/>
              <w:rPr>
                <w:rFonts w:eastAsia="Times New Roman" w:cs="Tahoma"/>
                <w:color w:val="000000"/>
                <w:lang w:eastAsia="en-GB"/>
              </w:rPr>
            </w:pPr>
            <w:r>
              <w:rPr>
                <w:rFonts w:eastAsia="Times New Roman" w:cs="Tahoma"/>
                <w:color w:val="000000"/>
                <w:lang w:eastAsia="en-GB"/>
              </w:rPr>
              <w:t>0.78</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640EB3">
            <w:pPr>
              <w:spacing w:after="0" w:line="240" w:lineRule="auto"/>
              <w:rPr>
                <w:rFonts w:eastAsia="Times New Roman" w:cs="Tahoma"/>
                <w:color w:val="000000"/>
                <w:lang w:eastAsia="en-GB"/>
              </w:rPr>
            </w:pPr>
            <w:r w:rsidRPr="00351EAB">
              <w:rPr>
                <w:rFonts w:eastAsia="Times New Roman" w:cs="Tahoma"/>
                <w:color w:val="000000"/>
                <w:lang w:eastAsia="en-GB"/>
              </w:rPr>
              <w:t>£</w:t>
            </w:r>
            <w:r w:rsidR="00114F7E" w:rsidRPr="00114F7E">
              <w:rPr>
                <w:rFonts w:eastAsia="Times New Roman" w:cs="Tahoma"/>
                <w:color w:val="000000"/>
                <w:lang w:eastAsia="en-GB"/>
              </w:rPr>
              <w:t>31</w:t>
            </w:r>
            <w:r w:rsidR="00E06CED">
              <w:rPr>
                <w:rFonts w:eastAsia="Times New Roman" w:cs="Tahoma"/>
                <w:color w:val="000000"/>
                <w:lang w:eastAsia="en-GB"/>
              </w:rPr>
              <w:t>,</w:t>
            </w:r>
            <w:r w:rsidR="00114F7E" w:rsidRPr="00114F7E">
              <w:rPr>
                <w:rFonts w:eastAsia="Times New Roman" w:cs="Tahoma"/>
                <w:color w:val="000000"/>
                <w:lang w:eastAsia="en-GB"/>
              </w:rPr>
              <w:t>037.26</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114F7E">
            <w:pPr>
              <w:spacing w:after="0" w:line="240" w:lineRule="auto"/>
              <w:rPr>
                <w:rFonts w:eastAsia="Times New Roman" w:cs="Tahoma"/>
                <w:b/>
                <w:color w:val="000000"/>
                <w:lang w:eastAsia="en-GB"/>
              </w:rPr>
            </w:pPr>
            <w:r w:rsidRPr="00351EAB">
              <w:rPr>
                <w:rFonts w:eastAsia="Times New Roman" w:cs="Tahoma"/>
                <w:b/>
                <w:color w:val="000000"/>
                <w:lang w:eastAsia="en-GB"/>
              </w:rPr>
              <w:t>-</w:t>
            </w:r>
            <w:r w:rsidR="00114F7E">
              <w:rPr>
                <w:rFonts w:eastAsia="Times New Roman" w:cs="Tahoma"/>
                <w:b/>
                <w:color w:val="000000"/>
                <w:lang w:eastAsia="en-GB"/>
              </w:rPr>
              <w:t>9.7</w:t>
            </w:r>
          </w:p>
        </w:tc>
      </w:tr>
      <w:tr w:rsidR="00351EAB" w:rsidRPr="00351EAB" w:rsidTr="00351EAB">
        <w:trPr>
          <w:trHeight w:val="300"/>
        </w:trPr>
        <w:tc>
          <w:tcPr>
            <w:tcW w:w="100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Men</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640EB3">
            <w:pPr>
              <w:spacing w:after="0" w:line="240" w:lineRule="auto"/>
              <w:rPr>
                <w:rFonts w:eastAsia="Times New Roman" w:cs="Tahoma"/>
                <w:color w:val="000000"/>
                <w:lang w:eastAsia="en-GB"/>
              </w:rPr>
            </w:pPr>
            <w:r w:rsidRPr="00351EAB">
              <w:rPr>
                <w:rFonts w:eastAsia="Times New Roman" w:cs="Tahoma"/>
                <w:color w:val="000000"/>
                <w:lang w:eastAsia="en-GB"/>
              </w:rPr>
              <w:t>£</w:t>
            </w:r>
            <w:r w:rsidR="00640EB3" w:rsidRPr="00640EB3">
              <w:rPr>
                <w:rFonts w:eastAsia="Times New Roman" w:cs="Tahoma"/>
                <w:color w:val="000000"/>
                <w:lang w:eastAsia="en-GB"/>
              </w:rPr>
              <w:t>35</w:t>
            </w:r>
            <w:r w:rsidR="00E06CED">
              <w:rPr>
                <w:rFonts w:eastAsia="Times New Roman" w:cs="Tahoma"/>
                <w:color w:val="000000"/>
                <w:lang w:eastAsia="en-GB"/>
              </w:rPr>
              <w:t>,</w:t>
            </w:r>
            <w:r w:rsidR="00640EB3" w:rsidRPr="00640EB3">
              <w:rPr>
                <w:rFonts w:eastAsia="Times New Roman" w:cs="Tahoma"/>
                <w:color w:val="000000"/>
                <w:lang w:eastAsia="en-GB"/>
              </w:rPr>
              <w:t>038.93</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color w:val="000000"/>
                <w:lang w:eastAsia="en-GB"/>
              </w:rPr>
            </w:pPr>
            <w:r w:rsidRPr="00351EAB">
              <w:rPr>
                <w:rFonts w:eastAsia="Times New Roman" w:cs="Tahoma"/>
                <w:color w:val="000000"/>
                <w:lang w:eastAsia="en-GB"/>
              </w:rPr>
              <w:t> </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640EB3">
            <w:pPr>
              <w:spacing w:after="0" w:line="240" w:lineRule="auto"/>
              <w:rPr>
                <w:rFonts w:eastAsia="Times New Roman" w:cs="Tahoma"/>
                <w:color w:val="000000"/>
                <w:lang w:eastAsia="en-GB"/>
              </w:rPr>
            </w:pPr>
            <w:r w:rsidRPr="00351EAB">
              <w:rPr>
                <w:rFonts w:eastAsia="Times New Roman" w:cs="Tahoma"/>
                <w:color w:val="000000"/>
                <w:lang w:eastAsia="en-GB"/>
              </w:rPr>
              <w:t>£</w:t>
            </w:r>
            <w:r w:rsidR="00640EB3" w:rsidRPr="00640EB3">
              <w:rPr>
                <w:rFonts w:eastAsia="Times New Roman" w:cs="Tahoma"/>
                <w:color w:val="000000"/>
                <w:lang w:eastAsia="en-GB"/>
              </w:rPr>
              <w:t>28</w:t>
            </w:r>
            <w:r w:rsidR="00E06CED">
              <w:rPr>
                <w:rFonts w:eastAsia="Times New Roman" w:cs="Tahoma"/>
                <w:color w:val="000000"/>
                <w:lang w:eastAsia="en-GB"/>
              </w:rPr>
              <w:t>,</w:t>
            </w:r>
            <w:r w:rsidR="00640EB3" w:rsidRPr="00640EB3">
              <w:rPr>
                <w:rFonts w:eastAsia="Times New Roman" w:cs="Tahoma"/>
                <w:color w:val="000000"/>
                <w:lang w:eastAsia="en-GB"/>
              </w:rPr>
              <w:t>420.87</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color w:val="000000"/>
                <w:lang w:eastAsia="en-GB"/>
              </w:rPr>
            </w:pPr>
            <w:r w:rsidRPr="00351EAB">
              <w:rPr>
                <w:rFonts w:eastAsia="Times New Roman" w:cs="Tahoma"/>
                <w:color w:val="000000"/>
                <w:lang w:eastAsia="en-GB"/>
              </w:rPr>
              <w:t> </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640EB3">
            <w:pPr>
              <w:spacing w:after="0" w:line="240" w:lineRule="auto"/>
              <w:rPr>
                <w:rFonts w:eastAsia="Times New Roman" w:cs="Tahoma"/>
                <w:color w:val="000000"/>
                <w:lang w:eastAsia="en-GB"/>
              </w:rPr>
            </w:pPr>
            <w:r w:rsidRPr="00351EAB">
              <w:rPr>
                <w:rFonts w:eastAsia="Times New Roman" w:cs="Tahoma"/>
                <w:color w:val="000000"/>
                <w:lang w:eastAsia="en-GB"/>
              </w:rPr>
              <w:t>£</w:t>
            </w:r>
            <w:r w:rsidR="00114F7E" w:rsidRPr="00114F7E">
              <w:rPr>
                <w:rFonts w:eastAsia="Times New Roman" w:cs="Tahoma"/>
                <w:color w:val="000000"/>
                <w:lang w:eastAsia="en-GB"/>
              </w:rPr>
              <w:t>34</w:t>
            </w:r>
            <w:r w:rsidR="00E06CED">
              <w:rPr>
                <w:rFonts w:eastAsia="Times New Roman" w:cs="Tahoma"/>
                <w:color w:val="000000"/>
                <w:lang w:eastAsia="en-GB"/>
              </w:rPr>
              <w:t>,</w:t>
            </w:r>
            <w:r w:rsidR="00114F7E" w:rsidRPr="00114F7E">
              <w:rPr>
                <w:rFonts w:eastAsia="Times New Roman" w:cs="Tahoma"/>
                <w:color w:val="000000"/>
                <w:lang w:eastAsia="en-GB"/>
              </w:rPr>
              <w:t>379.45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color w:val="000000"/>
                <w:lang w:eastAsia="en-GB"/>
              </w:rPr>
            </w:pPr>
            <w:r w:rsidRPr="00351EAB">
              <w:rPr>
                <w:rFonts w:eastAsia="Times New Roman" w:cs="Tahoma"/>
                <w:color w:val="000000"/>
                <w:lang w:eastAsia="en-GB"/>
              </w:rPr>
              <w:t> </w:t>
            </w:r>
          </w:p>
        </w:tc>
      </w:tr>
    </w:tbl>
    <w:p w:rsidR="00351EAB" w:rsidRPr="00351EAB" w:rsidRDefault="00351EAB" w:rsidP="00351EAB">
      <w:pPr>
        <w:spacing w:after="0" w:line="240" w:lineRule="auto"/>
        <w:rPr>
          <w:rFonts w:eastAsia="Times New Roman" w:cs="Tahoma"/>
          <w:b/>
          <w:color w:val="000000"/>
          <w:lang w:eastAsia="en-GB"/>
        </w:rPr>
      </w:pPr>
    </w:p>
    <w:p w:rsidR="00351EAB" w:rsidRPr="005B6EEC" w:rsidRDefault="00351EAB" w:rsidP="006601FD">
      <w:pPr>
        <w:pStyle w:val="ListParagraph"/>
        <w:numPr>
          <w:ilvl w:val="0"/>
          <w:numId w:val="30"/>
        </w:numPr>
        <w:spacing w:after="0" w:line="240" w:lineRule="auto"/>
        <w:rPr>
          <w:rFonts w:eastAsia="Times New Roman" w:cs="Tahoma"/>
          <w:b/>
          <w:i/>
          <w:color w:val="000000"/>
          <w:lang w:eastAsia="en-GB"/>
        </w:rPr>
      </w:pPr>
      <w:r w:rsidRPr="005B6EEC">
        <w:rPr>
          <w:rFonts w:eastAsia="Times New Roman" w:cs="Tahoma"/>
          <w:b/>
          <w:i/>
          <w:color w:val="000000"/>
          <w:lang w:eastAsia="en-GB"/>
        </w:rPr>
        <w:t>Ethnicity pay gap</w:t>
      </w:r>
      <w:r w:rsidRPr="00351EAB">
        <w:rPr>
          <w:vertAlign w:val="superscript"/>
          <w:lang w:eastAsia="en-GB"/>
        </w:rPr>
        <w:footnoteReference w:id="7"/>
      </w:r>
      <w:r w:rsidRPr="005B6EEC">
        <w:rPr>
          <w:rFonts w:eastAsia="Times New Roman" w:cs="Tahoma"/>
          <w:b/>
          <w:i/>
          <w:color w:val="000000"/>
          <w:lang w:eastAsia="en-GB"/>
        </w:rPr>
        <w:t xml:space="preserve"> </w:t>
      </w:r>
    </w:p>
    <w:p w:rsidR="00351EAB" w:rsidRPr="00351EAB" w:rsidRDefault="00351EAB" w:rsidP="00351EAB">
      <w:pPr>
        <w:spacing w:after="0" w:line="240" w:lineRule="auto"/>
        <w:rPr>
          <w:rFonts w:eastAsia="Times New Roman" w:cs="Tahoma"/>
          <w:b/>
          <w:color w:val="000000"/>
          <w:lang w:eastAsia="en-GB"/>
        </w:rPr>
      </w:pPr>
    </w:p>
    <w:tbl>
      <w:tblPr>
        <w:tblW w:w="8378" w:type="dxa"/>
        <w:tblInd w:w="9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007"/>
        <w:gridCol w:w="1417"/>
        <w:gridCol w:w="992"/>
        <w:gridCol w:w="1418"/>
        <w:gridCol w:w="1134"/>
        <w:gridCol w:w="1276"/>
        <w:gridCol w:w="1134"/>
      </w:tblGrid>
      <w:tr w:rsidR="00351EAB" w:rsidRPr="00351EAB" w:rsidTr="00351EAB">
        <w:trPr>
          <w:trHeight w:val="495"/>
          <w:tblHeader/>
        </w:trPr>
        <w:tc>
          <w:tcPr>
            <w:tcW w:w="1007" w:type="dxa"/>
            <w:tcBorders>
              <w:top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i/>
                <w:iCs/>
                <w:color w:val="000000"/>
                <w:lang w:eastAsia="en-GB"/>
              </w:rPr>
            </w:pPr>
            <w:r w:rsidRPr="00351EAB">
              <w:rPr>
                <w:rFonts w:eastAsia="Times New Roman" w:cs="Tahoma"/>
                <w:bCs/>
                <w:i/>
                <w:iCs/>
                <w:color w:val="000000"/>
                <w:lang w:eastAsia="en-GB"/>
              </w:rPr>
              <w:t>Grades 1-8</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FT Average Salary</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FT  Pay Gap %</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PT Average Salary</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PT Pay Gap</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All Average Salary</w:t>
            </w:r>
          </w:p>
        </w:tc>
        <w:tc>
          <w:tcPr>
            <w:tcW w:w="1134" w:type="dxa"/>
            <w:tcBorders>
              <w:top w:val="single" w:sz="12" w:space="0" w:color="auto"/>
              <w:left w:val="single" w:sz="12" w:space="0" w:color="auto"/>
              <w:bottom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All Pay Gap</w:t>
            </w:r>
          </w:p>
        </w:tc>
      </w:tr>
      <w:tr w:rsidR="00351EAB" w:rsidRPr="00351EAB" w:rsidTr="00351EAB">
        <w:trPr>
          <w:trHeight w:val="300"/>
        </w:trPr>
        <w:tc>
          <w:tcPr>
            <w:tcW w:w="1007" w:type="dxa"/>
            <w:tcBorders>
              <w:top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Grand Total</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£33,678.23</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£28,255.42</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£32,645.00</w:t>
            </w:r>
          </w:p>
        </w:tc>
        <w:tc>
          <w:tcPr>
            <w:tcW w:w="1134" w:type="dxa"/>
            <w:tcBorders>
              <w:top w:val="single" w:sz="12" w:space="0" w:color="auto"/>
              <w:left w:val="single" w:sz="12" w:space="0" w:color="auto"/>
              <w:bottom w:val="single" w:sz="12" w:space="0" w:color="auto"/>
            </w:tcBorders>
            <w:shd w:val="clear" w:color="auto" w:fill="auto"/>
            <w:vAlign w:val="center"/>
            <w:hideMark/>
          </w:tcPr>
          <w:p w:rsidR="00351EAB" w:rsidRPr="00351EAB" w:rsidRDefault="00351EAB" w:rsidP="00351EAB">
            <w:pPr>
              <w:spacing w:after="0" w:line="240" w:lineRule="auto"/>
              <w:rPr>
                <w:rFonts w:eastAsia="Times New Roman" w:cs="Tahoma"/>
                <w:bCs/>
                <w:color w:val="000000"/>
                <w:lang w:eastAsia="en-GB"/>
              </w:rPr>
            </w:pPr>
          </w:p>
        </w:tc>
      </w:tr>
      <w:tr w:rsidR="00114F7E" w:rsidRPr="00351EAB" w:rsidTr="00351EAB">
        <w:trPr>
          <w:trHeight w:val="300"/>
        </w:trPr>
        <w:tc>
          <w:tcPr>
            <w:tcW w:w="1007" w:type="dxa"/>
            <w:tcBorders>
              <w:top w:val="single" w:sz="12" w:space="0" w:color="auto"/>
              <w:bottom w:val="single" w:sz="12" w:space="0" w:color="auto"/>
              <w:right w:val="single" w:sz="12" w:space="0" w:color="auto"/>
            </w:tcBorders>
            <w:shd w:val="clear" w:color="auto" w:fill="auto"/>
            <w:vAlign w:val="center"/>
            <w:hideMark/>
          </w:tcPr>
          <w:p w:rsidR="00114F7E" w:rsidRPr="00351EAB" w:rsidRDefault="00114F7E"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BME</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£32,699.60</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14F7E" w:rsidRPr="00A43934" w:rsidRDefault="00114F7E" w:rsidP="00114F7E">
            <w:pPr>
              <w:spacing w:after="0" w:line="240" w:lineRule="auto"/>
              <w:rPr>
                <w:rFonts w:eastAsia="Times New Roman" w:cs="Tahoma"/>
                <w:color w:val="000000"/>
                <w:lang w:eastAsia="en-GB"/>
              </w:rPr>
            </w:pPr>
            <w:r w:rsidRPr="00A43934">
              <w:rPr>
                <w:rFonts w:eastAsia="Times New Roman" w:cs="Tahoma"/>
                <w:color w:val="000000"/>
                <w:lang w:eastAsia="en-GB"/>
              </w:rPr>
              <w:t>-3.6</w:t>
            </w: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£22,687.10</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14F7E" w:rsidRPr="00A43934" w:rsidRDefault="00114F7E" w:rsidP="00351EAB">
            <w:pPr>
              <w:spacing w:after="0" w:line="240" w:lineRule="auto"/>
              <w:rPr>
                <w:rFonts w:eastAsia="Times New Roman" w:cs="Tahoma"/>
                <w:color w:val="000000"/>
                <w:lang w:eastAsia="en-GB"/>
              </w:rPr>
            </w:pPr>
            <w:r w:rsidRPr="00A43934">
              <w:rPr>
                <w:rFonts w:eastAsia="Times New Roman" w:cs="Tahoma"/>
                <w:color w:val="000000"/>
                <w:lang w:eastAsia="en-GB"/>
              </w:rPr>
              <w:t>-21.9</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£30,914.35</w:t>
            </w:r>
          </w:p>
        </w:tc>
        <w:tc>
          <w:tcPr>
            <w:tcW w:w="1134" w:type="dxa"/>
            <w:tcBorders>
              <w:top w:val="single" w:sz="12" w:space="0" w:color="auto"/>
              <w:left w:val="single" w:sz="12" w:space="0" w:color="auto"/>
              <w:bottom w:val="single" w:sz="12" w:space="0" w:color="auto"/>
            </w:tcBorders>
            <w:shd w:val="clear" w:color="auto" w:fill="auto"/>
            <w:vAlign w:val="center"/>
            <w:hideMark/>
          </w:tcPr>
          <w:p w:rsidR="00114F7E" w:rsidRPr="00351EAB" w:rsidRDefault="00114F7E" w:rsidP="00351EAB">
            <w:pPr>
              <w:spacing w:after="0" w:line="240" w:lineRule="auto"/>
              <w:rPr>
                <w:rFonts w:eastAsia="Times New Roman" w:cs="Tahoma"/>
                <w:b/>
                <w:color w:val="000000"/>
                <w:lang w:eastAsia="en-GB"/>
              </w:rPr>
            </w:pPr>
            <w:r w:rsidRPr="00351EAB">
              <w:rPr>
                <w:rFonts w:eastAsia="Times New Roman" w:cs="Tahoma"/>
                <w:b/>
                <w:color w:val="000000"/>
                <w:lang w:eastAsia="en-GB"/>
              </w:rPr>
              <w:t>-</w:t>
            </w:r>
            <w:r>
              <w:rPr>
                <w:rFonts w:eastAsia="Times New Roman" w:cs="Tahoma"/>
                <w:b/>
                <w:color w:val="000000"/>
                <w:lang w:eastAsia="en-GB"/>
              </w:rPr>
              <w:t>6</w:t>
            </w:r>
            <w:r w:rsidRPr="00351EAB">
              <w:rPr>
                <w:rFonts w:eastAsia="Times New Roman" w:cs="Tahoma"/>
                <w:b/>
                <w:color w:val="000000"/>
                <w:lang w:eastAsia="en-GB"/>
              </w:rPr>
              <w:t>.3</w:t>
            </w:r>
          </w:p>
        </w:tc>
      </w:tr>
      <w:tr w:rsidR="00114F7E" w:rsidRPr="00351EAB" w:rsidTr="00351EAB">
        <w:trPr>
          <w:trHeight w:val="300"/>
        </w:trPr>
        <w:tc>
          <w:tcPr>
            <w:tcW w:w="1007" w:type="dxa"/>
            <w:tcBorders>
              <w:top w:val="single" w:sz="12" w:space="0" w:color="auto"/>
              <w:bottom w:val="single" w:sz="12" w:space="0" w:color="auto"/>
              <w:right w:val="single" w:sz="12" w:space="0" w:color="auto"/>
            </w:tcBorders>
            <w:shd w:val="clear" w:color="auto" w:fill="auto"/>
            <w:vAlign w:val="center"/>
            <w:hideMark/>
          </w:tcPr>
          <w:p w:rsidR="00114F7E" w:rsidRPr="00351EAB" w:rsidRDefault="00114F7E"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Not known</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£28,597.67</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14F7E" w:rsidRPr="00A43934" w:rsidRDefault="00114F7E" w:rsidP="00351EAB">
            <w:pPr>
              <w:spacing w:after="0" w:line="240" w:lineRule="auto"/>
              <w:rPr>
                <w:rFonts w:eastAsia="Times New Roman" w:cs="Tahoma"/>
                <w:color w:val="000000"/>
                <w:lang w:eastAsia="en-GB"/>
              </w:rPr>
            </w:pP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£26,235.95</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14F7E" w:rsidRPr="00A43934" w:rsidRDefault="00114F7E" w:rsidP="00351EAB">
            <w:pPr>
              <w:spacing w:after="0" w:line="240" w:lineRule="auto"/>
              <w:rPr>
                <w:rFonts w:eastAsia="Times New Roman" w:cs="Tahoma"/>
                <w:color w:val="000000"/>
                <w:lang w:eastAsia="en-GB"/>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£28,225.75</w:t>
            </w:r>
          </w:p>
        </w:tc>
        <w:tc>
          <w:tcPr>
            <w:tcW w:w="1134" w:type="dxa"/>
            <w:tcBorders>
              <w:top w:val="single" w:sz="12" w:space="0" w:color="auto"/>
              <w:left w:val="single" w:sz="12" w:space="0" w:color="auto"/>
              <w:bottom w:val="single" w:sz="12" w:space="0" w:color="auto"/>
            </w:tcBorders>
            <w:shd w:val="clear" w:color="auto" w:fill="auto"/>
            <w:vAlign w:val="center"/>
            <w:hideMark/>
          </w:tcPr>
          <w:p w:rsidR="00114F7E" w:rsidRPr="00351EAB" w:rsidRDefault="00114F7E" w:rsidP="00351EAB">
            <w:pPr>
              <w:spacing w:after="0" w:line="240" w:lineRule="auto"/>
              <w:rPr>
                <w:rFonts w:eastAsia="Times New Roman" w:cs="Tahoma"/>
                <w:color w:val="000000"/>
                <w:lang w:eastAsia="en-GB"/>
              </w:rPr>
            </w:pPr>
          </w:p>
        </w:tc>
      </w:tr>
      <w:tr w:rsidR="00114F7E" w:rsidRPr="00351EAB" w:rsidTr="00351EAB">
        <w:trPr>
          <w:trHeight w:val="300"/>
        </w:trPr>
        <w:tc>
          <w:tcPr>
            <w:tcW w:w="1007" w:type="dxa"/>
            <w:tcBorders>
              <w:top w:val="single" w:sz="12" w:space="0" w:color="auto"/>
              <w:bottom w:val="single" w:sz="12" w:space="0" w:color="auto"/>
              <w:right w:val="single" w:sz="12" w:space="0" w:color="auto"/>
            </w:tcBorders>
            <w:shd w:val="clear" w:color="auto" w:fill="auto"/>
            <w:vAlign w:val="center"/>
            <w:hideMark/>
          </w:tcPr>
          <w:p w:rsidR="00114F7E" w:rsidRPr="00351EAB" w:rsidRDefault="00114F7E" w:rsidP="00351EAB">
            <w:pPr>
              <w:spacing w:after="0" w:line="240" w:lineRule="auto"/>
              <w:rPr>
                <w:rFonts w:eastAsia="Times New Roman" w:cs="Tahoma"/>
                <w:bCs/>
                <w:color w:val="000000"/>
                <w:lang w:eastAsia="en-GB"/>
              </w:rPr>
            </w:pPr>
            <w:r w:rsidRPr="00351EAB">
              <w:rPr>
                <w:rFonts w:eastAsia="Times New Roman" w:cs="Tahoma"/>
                <w:bCs/>
                <w:color w:val="000000"/>
                <w:lang w:eastAsia="en-GB"/>
              </w:rPr>
              <w:t>White</w:t>
            </w:r>
          </w:p>
        </w:tc>
        <w:tc>
          <w:tcPr>
            <w:tcW w:w="1417"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£33</w:t>
            </w:r>
            <w:r w:rsidR="00E06CED" w:rsidRPr="00A43934">
              <w:rPr>
                <w:rFonts w:ascii="Calibri" w:eastAsia="Times New Roman" w:hAnsi="Calibri" w:cs="Calibri"/>
                <w:color w:val="000000" w:themeColor="text1"/>
                <w:lang w:eastAsia="zh-CN"/>
              </w:rPr>
              <w:t>,</w:t>
            </w:r>
            <w:r w:rsidRPr="00A43934">
              <w:rPr>
                <w:rFonts w:ascii="Calibri" w:eastAsia="Times New Roman" w:hAnsi="Calibri" w:cs="Calibri"/>
                <w:color w:val="000000" w:themeColor="text1"/>
                <w:lang w:eastAsia="zh-CN"/>
              </w:rPr>
              <w:t>922.03</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14F7E" w:rsidRPr="00A43934" w:rsidRDefault="00114F7E" w:rsidP="00351EAB">
            <w:pPr>
              <w:spacing w:after="0" w:line="240" w:lineRule="auto"/>
              <w:rPr>
                <w:rFonts w:eastAsia="Times New Roman" w:cs="Tahoma"/>
                <w:color w:val="000000"/>
                <w:lang w:eastAsia="en-GB"/>
              </w:rPr>
            </w:pPr>
          </w:p>
        </w:tc>
        <w:tc>
          <w:tcPr>
            <w:tcW w:w="1418"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£29,053.67</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114F7E" w:rsidRPr="00A43934" w:rsidRDefault="00114F7E" w:rsidP="00351EAB">
            <w:pPr>
              <w:spacing w:after="0" w:line="240" w:lineRule="auto"/>
              <w:rPr>
                <w:rFonts w:eastAsia="Times New Roman" w:cs="Tahoma"/>
                <w:color w:val="000000"/>
                <w:lang w:eastAsia="en-GB"/>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114F7E" w:rsidRPr="00A43934" w:rsidRDefault="00114F7E" w:rsidP="00351EAB">
            <w:pPr>
              <w:spacing w:after="0" w:line="240" w:lineRule="auto"/>
              <w:rPr>
                <w:rFonts w:eastAsia="Times New Roman" w:cs="Tahoma"/>
                <w:color w:val="000000"/>
                <w:lang w:eastAsia="en-GB"/>
              </w:rPr>
            </w:pPr>
            <w:r w:rsidRPr="00A43934">
              <w:rPr>
                <w:rFonts w:ascii="Calibri" w:eastAsia="Times New Roman" w:hAnsi="Calibri" w:cs="Calibri"/>
                <w:color w:val="000000" w:themeColor="text1"/>
                <w:lang w:eastAsia="zh-CN"/>
              </w:rPr>
              <w:t>£32</w:t>
            </w:r>
            <w:r w:rsidR="00E06CED" w:rsidRPr="00A43934">
              <w:rPr>
                <w:rFonts w:ascii="Calibri" w:eastAsia="Times New Roman" w:hAnsi="Calibri" w:cs="Calibri"/>
                <w:color w:val="000000" w:themeColor="text1"/>
                <w:lang w:eastAsia="zh-CN"/>
              </w:rPr>
              <w:t>,</w:t>
            </w:r>
            <w:r w:rsidRPr="00A43934">
              <w:rPr>
                <w:rFonts w:ascii="Calibri" w:eastAsia="Times New Roman" w:hAnsi="Calibri" w:cs="Calibri"/>
                <w:color w:val="000000" w:themeColor="text1"/>
                <w:lang w:eastAsia="zh-CN"/>
              </w:rPr>
              <w:t>982.66</w:t>
            </w:r>
          </w:p>
        </w:tc>
        <w:tc>
          <w:tcPr>
            <w:tcW w:w="1134" w:type="dxa"/>
            <w:tcBorders>
              <w:top w:val="single" w:sz="12" w:space="0" w:color="auto"/>
              <w:left w:val="single" w:sz="12" w:space="0" w:color="auto"/>
              <w:bottom w:val="single" w:sz="12" w:space="0" w:color="auto"/>
            </w:tcBorders>
            <w:shd w:val="clear" w:color="auto" w:fill="auto"/>
            <w:vAlign w:val="center"/>
            <w:hideMark/>
          </w:tcPr>
          <w:p w:rsidR="00114F7E" w:rsidRPr="00351EAB" w:rsidRDefault="00114F7E" w:rsidP="00351EAB">
            <w:pPr>
              <w:spacing w:after="0" w:line="240" w:lineRule="auto"/>
              <w:rPr>
                <w:rFonts w:eastAsia="Times New Roman" w:cs="Tahoma"/>
                <w:color w:val="000000"/>
                <w:lang w:eastAsia="en-GB"/>
              </w:rPr>
            </w:pPr>
          </w:p>
        </w:tc>
      </w:tr>
    </w:tbl>
    <w:p w:rsidR="00351EAB" w:rsidRPr="00351EAB" w:rsidRDefault="00351EAB" w:rsidP="00351EAB">
      <w:pPr>
        <w:spacing w:after="0" w:line="240" w:lineRule="auto"/>
        <w:rPr>
          <w:rFonts w:eastAsia="Times New Roman" w:cs="Tahoma"/>
          <w:b/>
          <w:color w:val="000000"/>
          <w:lang w:eastAsia="en-GB"/>
        </w:rPr>
      </w:pPr>
    </w:p>
    <w:p w:rsidR="00371EFA" w:rsidRDefault="00371EFA" w:rsidP="00351EAB">
      <w:pPr>
        <w:spacing w:after="120" w:line="240" w:lineRule="auto"/>
        <w:rPr>
          <w:rFonts w:eastAsia="Times New Roman" w:cs="Tahoma"/>
          <w:b/>
          <w:color w:val="000000"/>
          <w:sz w:val="24"/>
          <w:szCs w:val="24"/>
          <w:lang w:eastAsia="en-GB"/>
        </w:rPr>
      </w:pPr>
    </w:p>
    <w:p w:rsidR="00351EAB" w:rsidRPr="002B0182" w:rsidRDefault="00FC4BEA" w:rsidP="00351EAB">
      <w:pPr>
        <w:spacing w:after="120" w:line="240" w:lineRule="auto"/>
        <w:rPr>
          <w:rFonts w:eastAsia="Times New Roman" w:cs="Tahoma"/>
          <w:b/>
          <w:color w:val="000000"/>
          <w:sz w:val="24"/>
          <w:szCs w:val="24"/>
          <w:lang w:eastAsia="en-GB"/>
        </w:rPr>
      </w:pPr>
      <w:r>
        <w:rPr>
          <w:rFonts w:eastAsia="Times New Roman" w:cs="Tahoma"/>
          <w:b/>
          <w:color w:val="000000"/>
          <w:sz w:val="24"/>
          <w:szCs w:val="24"/>
          <w:lang w:eastAsia="en-GB"/>
        </w:rPr>
        <w:t>3</w:t>
      </w:r>
      <w:r w:rsidR="00402899" w:rsidRPr="002B0182">
        <w:rPr>
          <w:rFonts w:eastAsia="Times New Roman" w:cs="Tahoma"/>
          <w:b/>
          <w:color w:val="000000"/>
          <w:sz w:val="24"/>
          <w:szCs w:val="24"/>
          <w:lang w:eastAsia="en-GB"/>
        </w:rPr>
        <w:t>.</w:t>
      </w:r>
      <w:r w:rsidR="00B254A7" w:rsidRPr="002B0182">
        <w:rPr>
          <w:rFonts w:eastAsia="Times New Roman" w:cs="Tahoma"/>
          <w:b/>
          <w:color w:val="000000"/>
          <w:sz w:val="24"/>
          <w:szCs w:val="24"/>
          <w:lang w:eastAsia="en-GB"/>
        </w:rPr>
        <w:t>4</w:t>
      </w:r>
      <w:r w:rsidR="00351EAB" w:rsidRPr="002B0182">
        <w:rPr>
          <w:rFonts w:eastAsia="Times New Roman" w:cs="Tahoma"/>
          <w:b/>
          <w:color w:val="000000"/>
          <w:sz w:val="24"/>
          <w:szCs w:val="24"/>
          <w:lang w:eastAsia="en-GB"/>
        </w:rPr>
        <w:t xml:space="preserve"> The University and Faculty Professorial Pay Gap</w:t>
      </w:r>
    </w:p>
    <w:p w:rsidR="00A1726B" w:rsidRDefault="00835AF9" w:rsidP="00371EFA">
      <w:pPr>
        <w:spacing w:after="120"/>
        <w:jc w:val="both"/>
        <w:rPr>
          <w:rFonts w:eastAsia="Times New Roman" w:cs="Tahoma"/>
          <w:color w:val="000000"/>
          <w:lang w:eastAsia="en-GB"/>
        </w:rPr>
      </w:pPr>
      <w:r>
        <w:rPr>
          <w:rFonts w:eastAsia="Times New Roman" w:cs="Tahoma"/>
          <w:color w:val="000000"/>
          <w:lang w:eastAsia="en-GB"/>
        </w:rPr>
        <w:t>Table 3</w:t>
      </w:r>
      <w:r w:rsidR="00A1726B" w:rsidRPr="00351EAB">
        <w:rPr>
          <w:rFonts w:eastAsia="Times New Roman" w:cs="Tahoma"/>
          <w:color w:val="000000"/>
          <w:lang w:eastAsia="en-GB"/>
        </w:rPr>
        <w:t>.</w:t>
      </w:r>
      <w:r w:rsidR="00E1301A">
        <w:rPr>
          <w:rFonts w:eastAsia="Times New Roman" w:cs="Tahoma"/>
          <w:color w:val="000000"/>
          <w:lang w:eastAsia="en-GB"/>
        </w:rPr>
        <w:t>5</w:t>
      </w:r>
      <w:r w:rsidR="00A1726B" w:rsidRPr="00351EAB">
        <w:rPr>
          <w:rFonts w:eastAsia="Times New Roman" w:cs="Tahoma"/>
          <w:color w:val="000000"/>
          <w:lang w:eastAsia="en-GB"/>
        </w:rPr>
        <w:t xml:space="preserve"> presents the pay gaps for the professoriate </w:t>
      </w:r>
      <w:r w:rsidR="00800B9A">
        <w:rPr>
          <w:rFonts w:eastAsia="Times New Roman" w:cs="Tahoma"/>
          <w:color w:val="000000"/>
          <w:lang w:eastAsia="en-GB"/>
        </w:rPr>
        <w:t xml:space="preserve">at Manchester </w:t>
      </w:r>
      <w:r w:rsidR="00A1726B" w:rsidRPr="00351EAB">
        <w:rPr>
          <w:rFonts w:eastAsia="Times New Roman" w:cs="Tahoma"/>
          <w:color w:val="000000"/>
          <w:lang w:eastAsia="en-GB"/>
        </w:rPr>
        <w:t xml:space="preserve">in 2012. </w:t>
      </w:r>
      <w:r w:rsidR="006043FC">
        <w:rPr>
          <w:rFonts w:eastAsia="Times New Roman" w:cs="Tahoma"/>
          <w:color w:val="000000"/>
          <w:lang w:eastAsia="en-GB"/>
        </w:rPr>
        <w:t xml:space="preserve">The size of the pay gaps in 2012 were smaller than the sector average calculated by UCU for that year (see box 3 above) and the gender pay gap was slightly lower than the data published in the THE for the following year (see box 4 above). </w:t>
      </w:r>
      <w:r w:rsidR="00A1726B" w:rsidRPr="00351EAB">
        <w:rPr>
          <w:rFonts w:eastAsia="Times New Roman" w:cs="Tahoma"/>
          <w:color w:val="000000"/>
          <w:lang w:eastAsia="en-GB"/>
        </w:rPr>
        <w:t>These pay gaps equate to a median gender pay gap among the professoriate of £3,320 per annum; the equivalent gap between white and BME professoriate is £2,507 per annum.</w:t>
      </w:r>
    </w:p>
    <w:p w:rsidR="00371EFA" w:rsidRDefault="00371EFA" w:rsidP="00A1726B">
      <w:pPr>
        <w:spacing w:after="120" w:line="240" w:lineRule="auto"/>
        <w:rPr>
          <w:rFonts w:eastAsia="Times New Roman" w:cs="Tahoma"/>
          <w:b/>
          <w:color w:val="000000"/>
          <w:lang w:eastAsia="en-GB"/>
        </w:rPr>
      </w:pPr>
    </w:p>
    <w:p w:rsidR="00A1726B" w:rsidRPr="00351EAB" w:rsidRDefault="00A1726B" w:rsidP="00A1726B">
      <w:pPr>
        <w:spacing w:after="120" w:line="240" w:lineRule="auto"/>
        <w:rPr>
          <w:rFonts w:eastAsia="Times New Roman" w:cs="Tahoma"/>
          <w:b/>
          <w:color w:val="000000"/>
          <w:lang w:eastAsia="en-GB"/>
        </w:rPr>
      </w:pPr>
      <w:r w:rsidRPr="00351EAB">
        <w:rPr>
          <w:rFonts w:eastAsia="Times New Roman" w:cs="Tahoma"/>
          <w:b/>
          <w:color w:val="000000"/>
          <w:lang w:eastAsia="en-GB"/>
        </w:rPr>
        <w:t xml:space="preserve">Table </w:t>
      </w:r>
      <w:r w:rsidR="00FC4BEA">
        <w:rPr>
          <w:rFonts w:eastAsia="Times New Roman" w:cs="Tahoma"/>
          <w:b/>
          <w:color w:val="000000"/>
          <w:lang w:eastAsia="en-GB"/>
        </w:rPr>
        <w:t>3</w:t>
      </w:r>
      <w:r w:rsidRPr="00351EAB">
        <w:rPr>
          <w:rFonts w:eastAsia="Times New Roman" w:cs="Tahoma"/>
          <w:b/>
          <w:color w:val="000000"/>
          <w:lang w:eastAsia="en-GB"/>
        </w:rPr>
        <w:t>.</w:t>
      </w:r>
      <w:r w:rsidR="00E1301A">
        <w:rPr>
          <w:rFonts w:eastAsia="Times New Roman" w:cs="Tahoma"/>
          <w:b/>
          <w:color w:val="000000"/>
          <w:lang w:eastAsia="en-GB"/>
        </w:rPr>
        <w:t>5</w:t>
      </w:r>
      <w:r w:rsidRPr="00351EAB">
        <w:rPr>
          <w:rFonts w:ascii="Verdana" w:eastAsia="Times New Roman" w:hAnsi="Verdana" w:cs="Times New Roman"/>
          <w:b/>
          <w:sz w:val="20"/>
          <w:szCs w:val="20"/>
        </w:rPr>
        <w:t xml:space="preserve"> </w:t>
      </w:r>
      <w:r w:rsidRPr="00351EAB">
        <w:rPr>
          <w:rFonts w:eastAsia="Times New Roman" w:cs="Tahoma"/>
          <w:b/>
          <w:color w:val="000000"/>
          <w:lang w:eastAsia="en-GB"/>
        </w:rPr>
        <w:t>The average and median pay gaps for the University of Manchester professoriate, 2012</w:t>
      </w:r>
    </w:p>
    <w:tbl>
      <w:tblPr>
        <w:tblStyle w:val="TableGrid"/>
        <w:tblW w:w="0" w:type="auto"/>
        <w:tblInd w:w="817" w:type="dxa"/>
        <w:tblLook w:val="04A0" w:firstRow="1" w:lastRow="0" w:firstColumn="1" w:lastColumn="0" w:noHBand="0" w:noVBand="1"/>
      </w:tblPr>
      <w:tblGrid>
        <w:gridCol w:w="2375"/>
        <w:gridCol w:w="1425"/>
        <w:gridCol w:w="1592"/>
      </w:tblGrid>
      <w:tr w:rsidR="00A1726B" w:rsidRPr="00E87F48" w:rsidTr="00371EFA">
        <w:tc>
          <w:tcPr>
            <w:tcW w:w="2375" w:type="dxa"/>
            <w:tcBorders>
              <w:bottom w:val="single" w:sz="4" w:space="0" w:color="auto"/>
            </w:tcBorders>
          </w:tcPr>
          <w:p w:rsidR="00A1726B" w:rsidRPr="00E87F48" w:rsidRDefault="00A1726B" w:rsidP="00371EFA">
            <w:pPr>
              <w:ind w:left="720"/>
              <w:contextualSpacing/>
              <w:rPr>
                <w:rFonts w:asciiTheme="minorHAnsi" w:hAnsiTheme="minorHAnsi" w:cs="Tahoma"/>
                <w:b/>
                <w:color w:val="000000"/>
              </w:rPr>
            </w:pPr>
          </w:p>
        </w:tc>
        <w:tc>
          <w:tcPr>
            <w:tcW w:w="1425" w:type="dxa"/>
            <w:tcBorders>
              <w:bottom w:val="single" w:sz="4" w:space="0" w:color="auto"/>
            </w:tcBorders>
          </w:tcPr>
          <w:p w:rsidR="00A1726B" w:rsidRPr="00E87F48" w:rsidRDefault="00A1726B" w:rsidP="00371EFA">
            <w:pPr>
              <w:ind w:left="720"/>
              <w:contextualSpacing/>
              <w:jc w:val="center"/>
              <w:rPr>
                <w:rFonts w:asciiTheme="minorHAnsi" w:hAnsiTheme="minorHAnsi" w:cs="Tahoma"/>
                <w:b/>
                <w:color w:val="000000"/>
              </w:rPr>
            </w:pPr>
            <w:r w:rsidRPr="00E87F48">
              <w:rPr>
                <w:rFonts w:asciiTheme="minorHAnsi" w:hAnsiTheme="minorHAnsi" w:cs="Tahoma"/>
                <w:b/>
                <w:color w:val="000000"/>
              </w:rPr>
              <w:t>Mean</w:t>
            </w:r>
          </w:p>
        </w:tc>
        <w:tc>
          <w:tcPr>
            <w:tcW w:w="1592" w:type="dxa"/>
            <w:tcBorders>
              <w:bottom w:val="single" w:sz="4" w:space="0" w:color="auto"/>
            </w:tcBorders>
          </w:tcPr>
          <w:p w:rsidR="00A1726B" w:rsidRPr="00E87F48" w:rsidRDefault="00A1726B" w:rsidP="00371EFA">
            <w:pPr>
              <w:ind w:left="720"/>
              <w:contextualSpacing/>
              <w:rPr>
                <w:rFonts w:asciiTheme="minorHAnsi" w:hAnsiTheme="minorHAnsi" w:cs="Tahoma"/>
                <w:b/>
                <w:color w:val="000000"/>
              </w:rPr>
            </w:pPr>
            <w:r w:rsidRPr="00E87F48">
              <w:rPr>
                <w:rFonts w:asciiTheme="minorHAnsi" w:hAnsiTheme="minorHAnsi" w:cs="Tahoma"/>
                <w:b/>
                <w:color w:val="000000"/>
              </w:rPr>
              <w:t>Median</w:t>
            </w:r>
          </w:p>
        </w:tc>
      </w:tr>
      <w:tr w:rsidR="00A1726B" w:rsidRPr="00E87F48" w:rsidTr="00371EFA">
        <w:tc>
          <w:tcPr>
            <w:tcW w:w="2375" w:type="dxa"/>
            <w:tcBorders>
              <w:top w:val="single" w:sz="4" w:space="0" w:color="auto"/>
              <w:left w:val="single" w:sz="4" w:space="0" w:color="auto"/>
              <w:bottom w:val="nil"/>
              <w:right w:val="single" w:sz="4" w:space="0" w:color="auto"/>
            </w:tcBorders>
          </w:tcPr>
          <w:p w:rsidR="00A1726B" w:rsidRPr="00E87F48" w:rsidRDefault="00A1726B" w:rsidP="00800B9A">
            <w:pPr>
              <w:ind w:left="720"/>
              <w:contextualSpacing/>
              <w:rPr>
                <w:rFonts w:asciiTheme="minorHAnsi" w:hAnsiTheme="minorHAnsi" w:cs="Tahoma"/>
                <w:b/>
                <w:color w:val="000000"/>
              </w:rPr>
            </w:pPr>
            <w:r w:rsidRPr="00E87F48">
              <w:rPr>
                <w:rFonts w:asciiTheme="minorHAnsi" w:hAnsiTheme="minorHAnsi" w:cs="Tahoma"/>
                <w:b/>
                <w:color w:val="000000"/>
              </w:rPr>
              <w:t>Gender pay gap</w:t>
            </w:r>
          </w:p>
        </w:tc>
        <w:tc>
          <w:tcPr>
            <w:tcW w:w="1425" w:type="dxa"/>
            <w:tcBorders>
              <w:top w:val="single" w:sz="4" w:space="0" w:color="auto"/>
              <w:left w:val="single" w:sz="4" w:space="0" w:color="auto"/>
              <w:bottom w:val="nil"/>
              <w:right w:val="single" w:sz="4" w:space="0" w:color="auto"/>
            </w:tcBorders>
          </w:tcPr>
          <w:p w:rsidR="00A1726B" w:rsidRPr="00E87F48" w:rsidRDefault="00A1726B" w:rsidP="00800B9A">
            <w:pPr>
              <w:ind w:left="720"/>
              <w:contextualSpacing/>
              <w:jc w:val="center"/>
              <w:rPr>
                <w:rFonts w:asciiTheme="minorHAnsi" w:hAnsiTheme="minorHAnsi" w:cs="Tahoma"/>
                <w:color w:val="000000"/>
              </w:rPr>
            </w:pPr>
            <w:r w:rsidRPr="00E87F48">
              <w:rPr>
                <w:rFonts w:asciiTheme="minorHAnsi" w:hAnsiTheme="minorHAnsi" w:cs="Tahoma"/>
                <w:color w:val="000000"/>
              </w:rPr>
              <w:t>4%</w:t>
            </w:r>
          </w:p>
        </w:tc>
        <w:tc>
          <w:tcPr>
            <w:tcW w:w="1592" w:type="dxa"/>
            <w:tcBorders>
              <w:top w:val="single" w:sz="4" w:space="0" w:color="auto"/>
              <w:left w:val="single" w:sz="4" w:space="0" w:color="auto"/>
              <w:bottom w:val="nil"/>
              <w:right w:val="single" w:sz="4" w:space="0" w:color="auto"/>
            </w:tcBorders>
          </w:tcPr>
          <w:p w:rsidR="00A1726B" w:rsidRPr="00E87F48" w:rsidRDefault="00A1726B" w:rsidP="00800B9A">
            <w:pPr>
              <w:ind w:left="720"/>
              <w:contextualSpacing/>
              <w:jc w:val="center"/>
              <w:rPr>
                <w:rFonts w:asciiTheme="minorHAnsi" w:hAnsiTheme="minorHAnsi" w:cs="Tahoma"/>
                <w:color w:val="000000"/>
              </w:rPr>
            </w:pPr>
            <w:r w:rsidRPr="00E87F48">
              <w:rPr>
                <w:rFonts w:asciiTheme="minorHAnsi" w:hAnsiTheme="minorHAnsi" w:cs="Tahoma"/>
                <w:color w:val="000000"/>
              </w:rPr>
              <w:t>5%</w:t>
            </w:r>
          </w:p>
        </w:tc>
      </w:tr>
      <w:tr w:rsidR="00A1726B" w:rsidRPr="00E87F48" w:rsidTr="00371EFA">
        <w:tc>
          <w:tcPr>
            <w:tcW w:w="2375" w:type="dxa"/>
            <w:tcBorders>
              <w:top w:val="nil"/>
              <w:left w:val="single" w:sz="4" w:space="0" w:color="auto"/>
              <w:bottom w:val="single" w:sz="4" w:space="0" w:color="auto"/>
              <w:right w:val="single" w:sz="4" w:space="0" w:color="auto"/>
            </w:tcBorders>
          </w:tcPr>
          <w:p w:rsidR="00A1726B" w:rsidRPr="00E87F48" w:rsidRDefault="00A1726B" w:rsidP="00800B9A">
            <w:pPr>
              <w:ind w:left="720"/>
              <w:contextualSpacing/>
              <w:rPr>
                <w:rFonts w:asciiTheme="minorHAnsi" w:hAnsiTheme="minorHAnsi" w:cs="Tahoma"/>
                <w:b/>
                <w:color w:val="000000"/>
              </w:rPr>
            </w:pPr>
            <w:r w:rsidRPr="00E87F48">
              <w:rPr>
                <w:rFonts w:asciiTheme="minorHAnsi" w:hAnsiTheme="minorHAnsi" w:cs="Tahoma"/>
                <w:b/>
                <w:color w:val="000000"/>
              </w:rPr>
              <w:t>White: BME</w:t>
            </w:r>
          </w:p>
        </w:tc>
        <w:tc>
          <w:tcPr>
            <w:tcW w:w="1425" w:type="dxa"/>
            <w:tcBorders>
              <w:top w:val="nil"/>
              <w:left w:val="single" w:sz="4" w:space="0" w:color="auto"/>
              <w:bottom w:val="single" w:sz="4" w:space="0" w:color="auto"/>
              <w:right w:val="single" w:sz="4" w:space="0" w:color="auto"/>
            </w:tcBorders>
          </w:tcPr>
          <w:p w:rsidR="00A1726B" w:rsidRPr="00E87F48" w:rsidRDefault="00A1726B" w:rsidP="00800B9A">
            <w:pPr>
              <w:ind w:left="720"/>
              <w:contextualSpacing/>
              <w:jc w:val="center"/>
              <w:rPr>
                <w:rFonts w:asciiTheme="minorHAnsi" w:hAnsiTheme="minorHAnsi" w:cs="Tahoma"/>
                <w:color w:val="000000"/>
              </w:rPr>
            </w:pPr>
            <w:r w:rsidRPr="00E87F48">
              <w:rPr>
                <w:rFonts w:asciiTheme="minorHAnsi" w:hAnsiTheme="minorHAnsi" w:cs="Tahoma"/>
                <w:color w:val="000000"/>
              </w:rPr>
              <w:t>1%</w:t>
            </w:r>
          </w:p>
        </w:tc>
        <w:tc>
          <w:tcPr>
            <w:tcW w:w="1592" w:type="dxa"/>
            <w:tcBorders>
              <w:top w:val="nil"/>
              <w:left w:val="single" w:sz="4" w:space="0" w:color="auto"/>
              <w:bottom w:val="single" w:sz="4" w:space="0" w:color="auto"/>
              <w:right w:val="single" w:sz="4" w:space="0" w:color="auto"/>
            </w:tcBorders>
          </w:tcPr>
          <w:p w:rsidR="00A1726B" w:rsidRPr="00E87F48" w:rsidRDefault="00A1726B" w:rsidP="00800B9A">
            <w:pPr>
              <w:ind w:left="720"/>
              <w:contextualSpacing/>
              <w:jc w:val="center"/>
              <w:rPr>
                <w:rFonts w:asciiTheme="minorHAnsi" w:hAnsiTheme="minorHAnsi" w:cs="Tahoma"/>
                <w:color w:val="000000"/>
              </w:rPr>
            </w:pPr>
            <w:r w:rsidRPr="00E87F48">
              <w:rPr>
                <w:rFonts w:asciiTheme="minorHAnsi" w:hAnsiTheme="minorHAnsi" w:cs="Tahoma"/>
                <w:color w:val="000000"/>
              </w:rPr>
              <w:t>3%</w:t>
            </w:r>
          </w:p>
        </w:tc>
      </w:tr>
    </w:tbl>
    <w:p w:rsidR="00A1726B" w:rsidRPr="00351EAB" w:rsidRDefault="00A1726B" w:rsidP="00A1726B">
      <w:pPr>
        <w:spacing w:after="0" w:line="240" w:lineRule="auto"/>
        <w:rPr>
          <w:rFonts w:eastAsia="Times New Roman" w:cs="Tahoma"/>
          <w:color w:val="000000"/>
          <w:sz w:val="18"/>
          <w:szCs w:val="18"/>
          <w:lang w:eastAsia="en-GB"/>
        </w:rPr>
      </w:pPr>
      <w:r w:rsidRPr="00351EAB">
        <w:rPr>
          <w:rFonts w:eastAsia="Times New Roman" w:cs="Tahoma"/>
          <w:color w:val="000000"/>
          <w:sz w:val="18"/>
          <w:szCs w:val="18"/>
          <w:lang w:eastAsia="en-GB"/>
        </w:rPr>
        <w:t>Source: analyse conducted by the University of Manchester Equality and Diversity Unit</w:t>
      </w:r>
    </w:p>
    <w:p w:rsidR="00A1726B" w:rsidRDefault="00A1726B" w:rsidP="00351EAB">
      <w:pPr>
        <w:spacing w:after="0" w:line="240" w:lineRule="auto"/>
        <w:rPr>
          <w:rFonts w:eastAsia="Times New Roman" w:cs="Tahoma"/>
          <w:color w:val="000000"/>
          <w:highlight w:val="yellow"/>
          <w:lang w:eastAsia="en-GB"/>
        </w:rPr>
      </w:pPr>
    </w:p>
    <w:p w:rsidR="003F4E27" w:rsidRDefault="006043FC" w:rsidP="00371EFA">
      <w:pPr>
        <w:spacing w:after="120"/>
        <w:jc w:val="both"/>
        <w:rPr>
          <w:rFonts w:eastAsia="Times New Roman" w:cs="Tahoma"/>
          <w:color w:val="000000"/>
          <w:lang w:eastAsia="en-GB"/>
        </w:rPr>
      </w:pPr>
      <w:r>
        <w:rPr>
          <w:rFonts w:eastAsia="Times New Roman" w:cs="Tahoma"/>
          <w:color w:val="000000"/>
          <w:lang w:eastAsia="en-GB"/>
        </w:rPr>
        <w:lastRenderedPageBreak/>
        <w:t>Table 3</w:t>
      </w:r>
      <w:r w:rsidR="00E87F48">
        <w:rPr>
          <w:rFonts w:eastAsia="Times New Roman" w:cs="Tahoma"/>
          <w:color w:val="000000"/>
          <w:lang w:eastAsia="en-GB"/>
        </w:rPr>
        <w:t xml:space="preserve">.6 </w:t>
      </w:r>
      <w:r w:rsidR="00B254A7" w:rsidRPr="00B254A7">
        <w:rPr>
          <w:rFonts w:eastAsia="Times New Roman" w:cs="Tahoma"/>
          <w:color w:val="000000"/>
          <w:lang w:eastAsia="en-GB"/>
        </w:rPr>
        <w:t>pr</w:t>
      </w:r>
      <w:r>
        <w:rPr>
          <w:rFonts w:eastAsia="Times New Roman" w:cs="Tahoma"/>
          <w:color w:val="000000"/>
          <w:lang w:eastAsia="en-GB"/>
        </w:rPr>
        <w:t>ovides an update for the situation in 2014</w:t>
      </w:r>
      <w:r w:rsidR="005977D1">
        <w:rPr>
          <w:rFonts w:eastAsia="Times New Roman" w:cs="Tahoma"/>
          <w:color w:val="000000"/>
          <w:lang w:eastAsia="en-GB"/>
        </w:rPr>
        <w:t>, but only for the Faculty of Humanities</w:t>
      </w:r>
      <w:r w:rsidR="00B254A7" w:rsidRPr="00B254A7">
        <w:rPr>
          <w:rFonts w:eastAsia="Times New Roman" w:cs="Tahoma"/>
          <w:color w:val="000000"/>
          <w:lang w:eastAsia="en-GB"/>
        </w:rPr>
        <w:t>. It shows that the average gender pay gap for professors was 5.6</w:t>
      </w:r>
      <w:r w:rsidR="005B4E56">
        <w:rPr>
          <w:rFonts w:eastAsia="Times New Roman" w:cs="Tahoma"/>
          <w:color w:val="000000"/>
          <w:lang w:eastAsia="en-GB"/>
        </w:rPr>
        <w:t xml:space="preserve"> per cent</w:t>
      </w:r>
      <w:r w:rsidR="00B254A7" w:rsidRPr="00B254A7">
        <w:rPr>
          <w:rFonts w:eastAsia="Times New Roman" w:cs="Tahoma"/>
          <w:color w:val="000000"/>
          <w:lang w:eastAsia="en-GB"/>
        </w:rPr>
        <w:t xml:space="preserve"> in favour of men as at 1 May 2014</w:t>
      </w:r>
      <w:r w:rsidR="005977D1">
        <w:rPr>
          <w:rFonts w:eastAsia="Times New Roman" w:cs="Tahoma"/>
          <w:color w:val="000000"/>
          <w:lang w:eastAsia="en-GB"/>
        </w:rPr>
        <w:t>.</w:t>
      </w:r>
      <w:r w:rsidR="00B254A7" w:rsidRPr="00B254A7">
        <w:rPr>
          <w:rFonts w:eastAsia="Times New Roman" w:cs="Tahoma"/>
          <w:color w:val="000000"/>
          <w:lang w:eastAsia="en-GB"/>
        </w:rPr>
        <w:t xml:space="preserve"> </w:t>
      </w:r>
      <w:r w:rsidR="005977D1">
        <w:rPr>
          <w:rFonts w:eastAsia="Times New Roman" w:cs="Tahoma"/>
          <w:color w:val="000000"/>
          <w:lang w:eastAsia="en-GB"/>
        </w:rPr>
        <w:t xml:space="preserve">  This is wider than at University level in </w:t>
      </w:r>
      <w:r w:rsidR="00B254A7" w:rsidRPr="00B254A7">
        <w:rPr>
          <w:rFonts w:eastAsia="Times New Roman" w:cs="Tahoma"/>
          <w:color w:val="000000"/>
          <w:lang w:eastAsia="en-GB"/>
        </w:rPr>
        <w:t>2012</w:t>
      </w:r>
      <w:r>
        <w:rPr>
          <w:rFonts w:eastAsia="Times New Roman" w:cs="Tahoma"/>
          <w:color w:val="000000"/>
          <w:lang w:eastAsia="en-GB"/>
        </w:rPr>
        <w:t xml:space="preserve">. </w:t>
      </w:r>
    </w:p>
    <w:p w:rsidR="00091365" w:rsidRDefault="00B254A7" w:rsidP="00371EFA">
      <w:pPr>
        <w:spacing w:after="120"/>
        <w:jc w:val="both"/>
        <w:rPr>
          <w:rFonts w:eastAsia="Times New Roman" w:cs="Tahoma"/>
          <w:color w:val="000000"/>
          <w:lang w:eastAsia="en-GB"/>
        </w:rPr>
      </w:pPr>
      <w:r w:rsidRPr="00B254A7">
        <w:rPr>
          <w:rFonts w:eastAsia="Times New Roman" w:cs="Tahoma"/>
          <w:color w:val="000000"/>
          <w:lang w:eastAsia="en-GB"/>
        </w:rPr>
        <w:t xml:space="preserve">The gender pay gap among the professoriate is </w:t>
      </w:r>
      <w:r w:rsidR="003F4E27">
        <w:rPr>
          <w:rFonts w:eastAsia="Times New Roman" w:cs="Tahoma"/>
          <w:color w:val="000000"/>
          <w:lang w:eastAsia="en-GB"/>
        </w:rPr>
        <w:t xml:space="preserve">negligible in percentage terms at the </w:t>
      </w:r>
      <w:r w:rsidRPr="00B254A7">
        <w:rPr>
          <w:rFonts w:eastAsia="Times New Roman" w:cs="Tahoma"/>
          <w:color w:val="000000"/>
          <w:lang w:eastAsia="en-GB"/>
        </w:rPr>
        <w:t>entry grade</w:t>
      </w:r>
      <w:r w:rsidR="003F4E27">
        <w:rPr>
          <w:rFonts w:eastAsia="Times New Roman" w:cs="Tahoma"/>
          <w:color w:val="000000"/>
          <w:lang w:eastAsia="en-GB"/>
        </w:rPr>
        <w:t xml:space="preserve"> of promotion to a professor</w:t>
      </w:r>
      <w:r w:rsidRPr="00B254A7">
        <w:rPr>
          <w:rFonts w:eastAsia="Times New Roman" w:cs="Tahoma"/>
          <w:color w:val="000000"/>
          <w:lang w:eastAsia="en-GB"/>
        </w:rPr>
        <w:t xml:space="preserve"> (9</w:t>
      </w:r>
      <w:r w:rsidR="003F4E27">
        <w:rPr>
          <w:rFonts w:eastAsia="Times New Roman" w:cs="Tahoma"/>
          <w:color w:val="000000"/>
          <w:lang w:eastAsia="en-GB"/>
        </w:rPr>
        <w:t>E</w:t>
      </w:r>
      <w:r w:rsidRPr="00B254A7">
        <w:rPr>
          <w:rFonts w:eastAsia="Times New Roman" w:cs="Tahoma"/>
          <w:color w:val="000000"/>
          <w:lang w:eastAsia="en-GB"/>
        </w:rPr>
        <w:t>)</w:t>
      </w:r>
      <w:r w:rsidR="003F4E27">
        <w:rPr>
          <w:rFonts w:eastAsia="Times New Roman" w:cs="Tahoma"/>
          <w:color w:val="000000"/>
          <w:lang w:eastAsia="en-GB"/>
        </w:rPr>
        <w:t xml:space="preserve"> but then </w:t>
      </w:r>
      <w:r w:rsidR="00C94088">
        <w:rPr>
          <w:rFonts w:eastAsia="Times New Roman" w:cs="Tahoma"/>
          <w:color w:val="000000"/>
          <w:lang w:eastAsia="en-GB"/>
        </w:rPr>
        <w:t xml:space="preserve">starts to </w:t>
      </w:r>
      <w:r w:rsidR="003F4E27">
        <w:rPr>
          <w:rFonts w:eastAsia="Times New Roman" w:cs="Tahoma"/>
          <w:color w:val="000000"/>
          <w:lang w:eastAsia="en-GB"/>
        </w:rPr>
        <w:t>widen</w:t>
      </w:r>
      <w:r w:rsidR="00C94088">
        <w:rPr>
          <w:rFonts w:eastAsia="Times New Roman" w:cs="Tahoma"/>
          <w:color w:val="000000"/>
          <w:lang w:eastAsia="en-GB"/>
        </w:rPr>
        <w:t xml:space="preserve"> in Grade D and is wider still at </w:t>
      </w:r>
      <w:r w:rsidR="003F4E27">
        <w:rPr>
          <w:rFonts w:eastAsia="Times New Roman" w:cs="Tahoma"/>
          <w:color w:val="000000"/>
          <w:lang w:eastAsia="en-GB"/>
        </w:rPr>
        <w:t xml:space="preserve">Grade C. </w:t>
      </w:r>
      <w:r w:rsidR="00C94088">
        <w:rPr>
          <w:rFonts w:eastAsia="Times New Roman" w:cs="Tahoma"/>
          <w:color w:val="000000"/>
          <w:lang w:eastAsia="en-GB"/>
        </w:rPr>
        <w:t xml:space="preserve"> While there is similar numbers of male and female professors at Grade E, there are many fewer female </w:t>
      </w:r>
      <w:r w:rsidR="00F75C19">
        <w:rPr>
          <w:rFonts w:eastAsia="Times New Roman" w:cs="Tahoma"/>
          <w:color w:val="000000"/>
          <w:lang w:eastAsia="en-GB"/>
        </w:rPr>
        <w:t xml:space="preserve">than male </w:t>
      </w:r>
      <w:r w:rsidR="00C94088">
        <w:rPr>
          <w:rFonts w:eastAsia="Times New Roman" w:cs="Tahoma"/>
          <w:color w:val="000000"/>
          <w:lang w:eastAsia="en-GB"/>
        </w:rPr>
        <w:t xml:space="preserve">professors at Grades D and C. And those </w:t>
      </w:r>
      <w:r w:rsidR="00F75C19">
        <w:rPr>
          <w:rFonts w:eastAsia="Times New Roman" w:cs="Tahoma"/>
          <w:color w:val="000000"/>
          <w:lang w:eastAsia="en-GB"/>
        </w:rPr>
        <w:t xml:space="preserve">women </w:t>
      </w:r>
      <w:r w:rsidR="00C94088">
        <w:rPr>
          <w:rFonts w:eastAsia="Times New Roman" w:cs="Tahoma"/>
          <w:color w:val="000000"/>
          <w:lang w:eastAsia="en-GB"/>
        </w:rPr>
        <w:t xml:space="preserve">who are zoned at that grade are lower paid on average than men in the same salary zone. </w:t>
      </w:r>
    </w:p>
    <w:p w:rsidR="00B254A7" w:rsidRPr="00B254A7" w:rsidRDefault="00C94088" w:rsidP="00371EFA">
      <w:pPr>
        <w:spacing w:after="120"/>
        <w:jc w:val="both"/>
        <w:rPr>
          <w:rFonts w:eastAsia="Times New Roman" w:cs="Tahoma"/>
          <w:color w:val="000000"/>
          <w:lang w:eastAsia="en-GB"/>
        </w:rPr>
      </w:pPr>
      <w:r>
        <w:rPr>
          <w:rFonts w:eastAsia="Times New Roman" w:cs="Tahoma"/>
          <w:color w:val="000000"/>
          <w:lang w:eastAsia="en-GB"/>
        </w:rPr>
        <w:t>Table 3</w:t>
      </w:r>
      <w:r w:rsidR="00B254A7" w:rsidRPr="00B254A7">
        <w:rPr>
          <w:rFonts w:eastAsia="Times New Roman" w:cs="Tahoma"/>
          <w:color w:val="000000"/>
          <w:lang w:eastAsia="en-GB"/>
        </w:rPr>
        <w:t xml:space="preserve">.7 shows that in May 2014 </w:t>
      </w:r>
      <w:r w:rsidR="00835AF9">
        <w:rPr>
          <w:rFonts w:eastAsia="Times New Roman" w:cs="Tahoma"/>
          <w:color w:val="000000"/>
          <w:lang w:eastAsia="en-GB"/>
        </w:rPr>
        <w:t xml:space="preserve">a 0.36 per cent </w:t>
      </w:r>
      <w:r w:rsidR="00B254A7" w:rsidRPr="00B254A7">
        <w:rPr>
          <w:rFonts w:eastAsia="Times New Roman" w:cs="Tahoma"/>
          <w:color w:val="000000"/>
          <w:lang w:eastAsia="en-GB"/>
        </w:rPr>
        <w:t>pay gap in favour of White professors when comp</w:t>
      </w:r>
      <w:r w:rsidR="005B4E56">
        <w:rPr>
          <w:rFonts w:eastAsia="Times New Roman" w:cs="Tahoma"/>
          <w:color w:val="000000"/>
          <w:lang w:eastAsia="en-GB"/>
        </w:rPr>
        <w:t>ared to BME professors</w:t>
      </w:r>
      <w:r w:rsidR="005977D1">
        <w:rPr>
          <w:rFonts w:eastAsia="Times New Roman" w:cs="Tahoma"/>
          <w:color w:val="000000"/>
          <w:lang w:eastAsia="en-GB"/>
        </w:rPr>
        <w:t>.</w:t>
      </w:r>
      <w:r w:rsidR="00B254A7" w:rsidRPr="00B254A7">
        <w:rPr>
          <w:rFonts w:eastAsia="Times New Roman" w:cs="Tahoma"/>
          <w:color w:val="000000"/>
          <w:lang w:eastAsia="en-GB"/>
        </w:rPr>
        <w:t xml:space="preserve"> </w:t>
      </w:r>
      <w:r w:rsidR="0083630F">
        <w:rPr>
          <w:rFonts w:eastAsia="Times New Roman" w:cs="Tahoma"/>
          <w:color w:val="000000"/>
          <w:lang w:eastAsia="en-GB"/>
        </w:rPr>
        <w:t xml:space="preserve">This is </w:t>
      </w:r>
      <w:r w:rsidR="0083630F" w:rsidRPr="00B254A7">
        <w:rPr>
          <w:rFonts w:eastAsia="Times New Roman" w:cs="Tahoma"/>
          <w:color w:val="000000"/>
          <w:lang w:eastAsia="en-GB"/>
        </w:rPr>
        <w:t xml:space="preserve">narrower than </w:t>
      </w:r>
      <w:r w:rsidR="0083630F">
        <w:rPr>
          <w:rFonts w:eastAsia="Times New Roman" w:cs="Tahoma"/>
          <w:color w:val="000000"/>
          <w:lang w:eastAsia="en-GB"/>
        </w:rPr>
        <w:t xml:space="preserve">at University level </w:t>
      </w:r>
      <w:r w:rsidR="0083630F" w:rsidRPr="00B254A7">
        <w:rPr>
          <w:rFonts w:eastAsia="Times New Roman" w:cs="Tahoma"/>
          <w:color w:val="000000"/>
          <w:lang w:eastAsia="en-GB"/>
        </w:rPr>
        <w:t>in 2012.</w:t>
      </w:r>
      <w:r w:rsidR="0083630F">
        <w:rPr>
          <w:rFonts w:eastAsia="Times New Roman" w:cs="Tahoma"/>
          <w:color w:val="000000"/>
          <w:lang w:eastAsia="en-GB"/>
        </w:rPr>
        <w:t xml:space="preserve"> </w:t>
      </w:r>
      <w:r w:rsidR="00835AF9">
        <w:rPr>
          <w:rFonts w:eastAsia="Times New Roman" w:cs="Tahoma"/>
          <w:color w:val="000000"/>
          <w:lang w:eastAsia="en-GB"/>
        </w:rPr>
        <w:t xml:space="preserve">Not only is the BME:White pay gap narrower than the gender pay gap, unlike the gender pay gap is </w:t>
      </w:r>
      <w:r>
        <w:rPr>
          <w:rFonts w:eastAsia="Times New Roman" w:cs="Tahoma"/>
          <w:color w:val="000000"/>
          <w:lang w:eastAsia="en-GB"/>
        </w:rPr>
        <w:t xml:space="preserve">shows no clear pattern of widening at the high paid professorial zones. </w:t>
      </w:r>
    </w:p>
    <w:p w:rsidR="00351EAB" w:rsidRPr="00351EAB" w:rsidRDefault="00351EAB" w:rsidP="00371EFA">
      <w:pPr>
        <w:spacing w:after="120"/>
        <w:rPr>
          <w:rFonts w:ascii="Calibri" w:eastAsia="Calibri" w:hAnsi="Calibri" w:cs="Times New Roman"/>
          <w:b/>
        </w:rPr>
      </w:pPr>
    </w:p>
    <w:p w:rsidR="00351EAB" w:rsidRDefault="00351EAB" w:rsidP="00351EAB">
      <w:pPr>
        <w:rPr>
          <w:rFonts w:ascii="Calibri" w:eastAsia="Calibri" w:hAnsi="Calibri" w:cs="Times New Roman"/>
          <w:b/>
        </w:rPr>
      </w:pPr>
      <w:r w:rsidRPr="00351EAB">
        <w:rPr>
          <w:rFonts w:ascii="Calibri" w:eastAsia="Calibri" w:hAnsi="Calibri" w:cs="Times New Roman"/>
          <w:b/>
        </w:rPr>
        <w:t xml:space="preserve">Table </w:t>
      </w:r>
      <w:r w:rsidR="00FC4BEA">
        <w:rPr>
          <w:rFonts w:ascii="Calibri" w:eastAsia="Calibri" w:hAnsi="Calibri" w:cs="Times New Roman"/>
          <w:b/>
        </w:rPr>
        <w:t>3</w:t>
      </w:r>
      <w:r w:rsidR="00402899">
        <w:rPr>
          <w:rFonts w:ascii="Calibri" w:eastAsia="Calibri" w:hAnsi="Calibri" w:cs="Times New Roman"/>
          <w:b/>
        </w:rPr>
        <w:t>.</w:t>
      </w:r>
      <w:r w:rsidR="00E1301A">
        <w:rPr>
          <w:rFonts w:ascii="Calibri" w:eastAsia="Calibri" w:hAnsi="Calibri" w:cs="Times New Roman"/>
          <w:b/>
        </w:rPr>
        <w:t>6</w:t>
      </w:r>
      <w:r w:rsidRPr="00351EAB">
        <w:rPr>
          <w:rFonts w:ascii="Calibri" w:eastAsia="Calibri" w:hAnsi="Calibri" w:cs="Times New Roman"/>
          <w:b/>
        </w:rPr>
        <w:t xml:space="preserve">: Average Annual </w:t>
      </w:r>
      <w:r w:rsidR="000751CC">
        <w:rPr>
          <w:rFonts w:ascii="Calibri" w:eastAsia="Calibri" w:hAnsi="Calibri" w:cs="Times New Roman"/>
          <w:b/>
        </w:rPr>
        <w:t xml:space="preserve">Professorial </w:t>
      </w:r>
      <w:r w:rsidRPr="00351EAB">
        <w:rPr>
          <w:rFonts w:ascii="Calibri" w:eastAsia="Calibri" w:hAnsi="Calibri" w:cs="Times New Roman"/>
          <w:b/>
        </w:rPr>
        <w:t xml:space="preserve">FTE Salary </w:t>
      </w:r>
      <w:r w:rsidR="005977D1">
        <w:rPr>
          <w:rFonts w:ascii="Calibri" w:eastAsia="Calibri" w:hAnsi="Calibri" w:cs="Times New Roman"/>
          <w:b/>
        </w:rPr>
        <w:t xml:space="preserve">in Humanities </w:t>
      </w:r>
      <w:r w:rsidRPr="00351EAB">
        <w:rPr>
          <w:rFonts w:ascii="Calibri" w:eastAsia="Calibri" w:hAnsi="Calibri" w:cs="Times New Roman"/>
          <w:b/>
        </w:rPr>
        <w:t>by Zones C to E and Gender</w:t>
      </w:r>
      <w:r w:rsidR="000751CC">
        <w:rPr>
          <w:rFonts w:ascii="Calibri" w:eastAsia="Calibri" w:hAnsi="Calibri" w:cs="Times New Roman"/>
          <w:b/>
        </w:rPr>
        <w:t xml:space="preserve">, </w:t>
      </w:r>
      <w:r w:rsidRPr="00351EAB">
        <w:rPr>
          <w:rFonts w:ascii="Calibri" w:eastAsia="Calibri" w:hAnsi="Calibri" w:cs="Times New Roman"/>
          <w:b/>
        </w:rPr>
        <w:t>1 May</w:t>
      </w:r>
      <w:r w:rsidR="000751CC">
        <w:rPr>
          <w:rFonts w:ascii="Calibri" w:eastAsia="Calibri" w:hAnsi="Calibri" w:cs="Times New Roman"/>
          <w:b/>
        </w:rPr>
        <w:t xml:space="preserve"> 1</w:t>
      </w:r>
      <w:r w:rsidR="000751CC" w:rsidRPr="000751CC">
        <w:rPr>
          <w:rFonts w:ascii="Calibri" w:eastAsia="Calibri" w:hAnsi="Calibri" w:cs="Times New Roman"/>
          <w:b/>
          <w:vertAlign w:val="superscript"/>
        </w:rPr>
        <w:t>st</w:t>
      </w:r>
      <w:r w:rsidR="000751CC">
        <w:rPr>
          <w:rFonts w:ascii="Calibri" w:eastAsia="Calibri" w:hAnsi="Calibri" w:cs="Times New Roman"/>
          <w:b/>
        </w:rPr>
        <w:t xml:space="preserve"> </w:t>
      </w:r>
      <w:r w:rsidRPr="00351EAB">
        <w:rPr>
          <w:rFonts w:ascii="Calibri" w:eastAsia="Calibri" w:hAnsi="Calibri" w:cs="Times New Roman"/>
          <w:b/>
        </w:rPr>
        <w:t>2014 (including pay gap information)</w:t>
      </w:r>
    </w:p>
    <w:tbl>
      <w:tblPr>
        <w:tblStyle w:val="TableGrid"/>
        <w:tblW w:w="0" w:type="auto"/>
        <w:tblLook w:val="04A0" w:firstRow="1" w:lastRow="0" w:firstColumn="1" w:lastColumn="0" w:noHBand="0" w:noVBand="1"/>
      </w:tblPr>
      <w:tblGrid>
        <w:gridCol w:w="1219"/>
        <w:gridCol w:w="732"/>
        <w:gridCol w:w="992"/>
        <w:gridCol w:w="851"/>
        <w:gridCol w:w="992"/>
        <w:gridCol w:w="992"/>
        <w:gridCol w:w="1418"/>
        <w:gridCol w:w="1417"/>
      </w:tblGrid>
      <w:tr w:rsidR="000751CC" w:rsidTr="000751CC">
        <w:tc>
          <w:tcPr>
            <w:tcW w:w="1219" w:type="dxa"/>
          </w:tcPr>
          <w:p w:rsidR="000751CC" w:rsidRDefault="000751CC" w:rsidP="00351EAB">
            <w:pPr>
              <w:rPr>
                <w:rFonts w:ascii="Calibri" w:eastAsia="Calibri" w:hAnsi="Calibri"/>
                <w:b/>
              </w:rPr>
            </w:pPr>
            <w:r>
              <w:rPr>
                <w:rFonts w:ascii="Calibri" w:eastAsia="Calibri" w:hAnsi="Calibri"/>
                <w:b/>
              </w:rPr>
              <w:t>Zone/Grade</w:t>
            </w:r>
          </w:p>
        </w:tc>
        <w:tc>
          <w:tcPr>
            <w:tcW w:w="2575" w:type="dxa"/>
            <w:gridSpan w:val="3"/>
          </w:tcPr>
          <w:p w:rsidR="000751CC" w:rsidRDefault="000751CC" w:rsidP="00E87F48">
            <w:pPr>
              <w:jc w:val="center"/>
              <w:rPr>
                <w:rFonts w:ascii="Calibri" w:eastAsia="Calibri" w:hAnsi="Calibri"/>
                <w:b/>
              </w:rPr>
            </w:pPr>
            <w:r>
              <w:rPr>
                <w:rFonts w:ascii="Calibri" w:eastAsia="Calibri" w:hAnsi="Calibri"/>
                <w:b/>
              </w:rPr>
              <w:t>Number of Professors</w:t>
            </w:r>
          </w:p>
        </w:tc>
        <w:tc>
          <w:tcPr>
            <w:tcW w:w="3402" w:type="dxa"/>
            <w:gridSpan w:val="3"/>
          </w:tcPr>
          <w:p w:rsidR="000751CC" w:rsidRDefault="000751CC" w:rsidP="00E87F48">
            <w:pPr>
              <w:jc w:val="center"/>
              <w:rPr>
                <w:rFonts w:ascii="Calibri" w:eastAsia="Calibri" w:hAnsi="Calibri"/>
                <w:b/>
              </w:rPr>
            </w:pPr>
            <w:r>
              <w:rPr>
                <w:rFonts w:ascii="Calibri" w:eastAsia="Calibri" w:hAnsi="Calibri"/>
                <w:b/>
              </w:rPr>
              <w:t>Annual salary average</w:t>
            </w:r>
          </w:p>
        </w:tc>
        <w:tc>
          <w:tcPr>
            <w:tcW w:w="1417" w:type="dxa"/>
            <w:vMerge w:val="restart"/>
          </w:tcPr>
          <w:p w:rsidR="000751CC" w:rsidRDefault="000751CC" w:rsidP="000751CC">
            <w:pPr>
              <w:jc w:val="center"/>
              <w:rPr>
                <w:rFonts w:ascii="Calibri" w:eastAsia="Calibri" w:hAnsi="Calibri"/>
                <w:b/>
              </w:rPr>
            </w:pPr>
            <w:r>
              <w:rPr>
                <w:rFonts w:ascii="Calibri" w:eastAsia="Calibri" w:hAnsi="Calibri"/>
                <w:b/>
              </w:rPr>
              <w:t>Female: Male</w:t>
            </w:r>
          </w:p>
          <w:p w:rsidR="000751CC" w:rsidRDefault="000751CC" w:rsidP="000751CC">
            <w:pPr>
              <w:jc w:val="center"/>
              <w:rPr>
                <w:rFonts w:ascii="Calibri" w:eastAsia="Calibri" w:hAnsi="Calibri"/>
                <w:b/>
              </w:rPr>
            </w:pPr>
            <w:r>
              <w:rPr>
                <w:rFonts w:ascii="Calibri" w:eastAsia="Calibri" w:hAnsi="Calibri"/>
                <w:b/>
              </w:rPr>
              <w:t>Pay Gap</w:t>
            </w:r>
          </w:p>
        </w:tc>
      </w:tr>
      <w:tr w:rsidR="000751CC" w:rsidTr="000751CC">
        <w:tc>
          <w:tcPr>
            <w:tcW w:w="1219" w:type="dxa"/>
          </w:tcPr>
          <w:p w:rsidR="000751CC" w:rsidRDefault="000751CC" w:rsidP="00351EAB">
            <w:pPr>
              <w:rPr>
                <w:rFonts w:ascii="Calibri" w:eastAsia="Calibri" w:hAnsi="Calibri"/>
                <w:b/>
              </w:rPr>
            </w:pPr>
          </w:p>
        </w:tc>
        <w:tc>
          <w:tcPr>
            <w:tcW w:w="732" w:type="dxa"/>
          </w:tcPr>
          <w:p w:rsidR="000751CC" w:rsidRDefault="000751CC" w:rsidP="00351EAB">
            <w:pPr>
              <w:rPr>
                <w:rFonts w:ascii="Calibri" w:eastAsia="Calibri" w:hAnsi="Calibri"/>
                <w:b/>
              </w:rPr>
            </w:pPr>
            <w:r>
              <w:rPr>
                <w:rFonts w:ascii="Calibri" w:eastAsia="Calibri" w:hAnsi="Calibri"/>
                <w:b/>
              </w:rPr>
              <w:t>Men</w:t>
            </w:r>
          </w:p>
        </w:tc>
        <w:tc>
          <w:tcPr>
            <w:tcW w:w="992" w:type="dxa"/>
          </w:tcPr>
          <w:p w:rsidR="000751CC" w:rsidRDefault="000751CC" w:rsidP="00E87F48">
            <w:pPr>
              <w:rPr>
                <w:rFonts w:ascii="Calibri" w:eastAsia="Calibri" w:hAnsi="Calibri"/>
                <w:b/>
              </w:rPr>
            </w:pPr>
            <w:r>
              <w:rPr>
                <w:rFonts w:ascii="Calibri" w:eastAsia="Calibri" w:hAnsi="Calibri"/>
                <w:b/>
              </w:rPr>
              <w:t xml:space="preserve">Women </w:t>
            </w:r>
          </w:p>
        </w:tc>
        <w:tc>
          <w:tcPr>
            <w:tcW w:w="851" w:type="dxa"/>
          </w:tcPr>
          <w:p w:rsidR="000751CC" w:rsidRDefault="000751CC" w:rsidP="00351EAB">
            <w:pPr>
              <w:rPr>
                <w:rFonts w:ascii="Calibri" w:eastAsia="Calibri" w:hAnsi="Calibri"/>
                <w:b/>
              </w:rPr>
            </w:pPr>
            <w:r>
              <w:rPr>
                <w:rFonts w:ascii="Calibri" w:eastAsia="Calibri" w:hAnsi="Calibri"/>
                <w:b/>
              </w:rPr>
              <w:t>Total</w:t>
            </w:r>
          </w:p>
        </w:tc>
        <w:tc>
          <w:tcPr>
            <w:tcW w:w="992" w:type="dxa"/>
          </w:tcPr>
          <w:p w:rsidR="000751CC" w:rsidRDefault="000751CC" w:rsidP="00E87F48">
            <w:pPr>
              <w:rPr>
                <w:rFonts w:ascii="Calibri" w:eastAsia="Calibri" w:hAnsi="Calibri"/>
                <w:b/>
              </w:rPr>
            </w:pPr>
            <w:r>
              <w:rPr>
                <w:rFonts w:ascii="Calibri" w:eastAsia="Calibri" w:hAnsi="Calibri"/>
                <w:b/>
              </w:rPr>
              <w:t>Women</w:t>
            </w:r>
          </w:p>
        </w:tc>
        <w:tc>
          <w:tcPr>
            <w:tcW w:w="992" w:type="dxa"/>
          </w:tcPr>
          <w:p w:rsidR="000751CC" w:rsidRDefault="000751CC" w:rsidP="00351EAB">
            <w:pPr>
              <w:rPr>
                <w:rFonts w:ascii="Calibri" w:eastAsia="Calibri" w:hAnsi="Calibri"/>
                <w:b/>
              </w:rPr>
            </w:pPr>
            <w:r>
              <w:rPr>
                <w:rFonts w:ascii="Calibri" w:eastAsia="Calibri" w:hAnsi="Calibri"/>
                <w:b/>
              </w:rPr>
              <w:t>Men</w:t>
            </w:r>
          </w:p>
        </w:tc>
        <w:tc>
          <w:tcPr>
            <w:tcW w:w="1418" w:type="dxa"/>
          </w:tcPr>
          <w:p w:rsidR="000751CC" w:rsidRDefault="000751CC" w:rsidP="00351EAB">
            <w:pPr>
              <w:rPr>
                <w:rFonts w:ascii="Calibri" w:eastAsia="Calibri" w:hAnsi="Calibri"/>
                <w:b/>
              </w:rPr>
            </w:pPr>
            <w:r>
              <w:rPr>
                <w:rFonts w:ascii="Calibri" w:eastAsia="Calibri" w:hAnsi="Calibri"/>
                <w:b/>
              </w:rPr>
              <w:t>Total</w:t>
            </w:r>
          </w:p>
        </w:tc>
        <w:tc>
          <w:tcPr>
            <w:tcW w:w="1417" w:type="dxa"/>
            <w:vMerge/>
          </w:tcPr>
          <w:p w:rsidR="000751CC" w:rsidRDefault="000751CC" w:rsidP="00351EAB">
            <w:pPr>
              <w:rPr>
                <w:rFonts w:ascii="Calibri" w:eastAsia="Calibri" w:hAnsi="Calibri"/>
                <w:b/>
              </w:rPr>
            </w:pPr>
          </w:p>
        </w:tc>
      </w:tr>
      <w:tr w:rsidR="00E87F48" w:rsidTr="000751CC">
        <w:tc>
          <w:tcPr>
            <w:tcW w:w="1219" w:type="dxa"/>
          </w:tcPr>
          <w:p w:rsidR="00E87F48" w:rsidRDefault="00E87F48" w:rsidP="00351EAB">
            <w:pPr>
              <w:rPr>
                <w:rFonts w:ascii="Calibri" w:eastAsia="Calibri" w:hAnsi="Calibri"/>
                <w:b/>
              </w:rPr>
            </w:pPr>
            <w:r>
              <w:rPr>
                <w:rFonts w:ascii="Calibri" w:eastAsia="Calibri" w:hAnsi="Calibri"/>
                <w:b/>
              </w:rPr>
              <w:t>Grade 9C</w:t>
            </w:r>
          </w:p>
        </w:tc>
        <w:tc>
          <w:tcPr>
            <w:tcW w:w="732" w:type="dxa"/>
          </w:tcPr>
          <w:p w:rsidR="00E87F48" w:rsidRPr="000751CC" w:rsidRDefault="000751CC" w:rsidP="00351EAB">
            <w:pPr>
              <w:rPr>
                <w:rFonts w:ascii="Calibri" w:eastAsia="Calibri" w:hAnsi="Calibri"/>
              </w:rPr>
            </w:pPr>
            <w:r>
              <w:rPr>
                <w:rFonts w:ascii="Calibri" w:eastAsia="Calibri" w:hAnsi="Calibri"/>
              </w:rPr>
              <w:t>51</w:t>
            </w:r>
          </w:p>
        </w:tc>
        <w:tc>
          <w:tcPr>
            <w:tcW w:w="992" w:type="dxa"/>
          </w:tcPr>
          <w:p w:rsidR="00E87F48" w:rsidRPr="000751CC" w:rsidRDefault="000751CC" w:rsidP="00351EAB">
            <w:pPr>
              <w:rPr>
                <w:rFonts w:ascii="Calibri" w:eastAsia="Calibri" w:hAnsi="Calibri"/>
              </w:rPr>
            </w:pPr>
            <w:r w:rsidRPr="000751CC">
              <w:rPr>
                <w:rFonts w:ascii="Calibri" w:eastAsia="Calibri" w:hAnsi="Calibri"/>
              </w:rPr>
              <w:t>11</w:t>
            </w:r>
          </w:p>
        </w:tc>
        <w:tc>
          <w:tcPr>
            <w:tcW w:w="851" w:type="dxa"/>
          </w:tcPr>
          <w:p w:rsidR="00E87F48" w:rsidRPr="000751CC" w:rsidRDefault="00E87F48" w:rsidP="00351EAB">
            <w:pPr>
              <w:rPr>
                <w:rFonts w:ascii="Calibri" w:eastAsia="Calibri" w:hAnsi="Calibri"/>
              </w:rPr>
            </w:pPr>
            <w:r w:rsidRPr="000751CC">
              <w:rPr>
                <w:rFonts w:ascii="Calibri" w:eastAsia="Calibri" w:hAnsi="Calibri"/>
              </w:rPr>
              <w:t>62</w:t>
            </w:r>
          </w:p>
        </w:tc>
        <w:tc>
          <w:tcPr>
            <w:tcW w:w="992" w:type="dxa"/>
          </w:tcPr>
          <w:p w:rsidR="00E87F48" w:rsidRPr="000751CC" w:rsidRDefault="00E87F48" w:rsidP="00B03C23">
            <w:pPr>
              <w:rPr>
                <w:rFonts w:ascii="Calibri" w:eastAsia="Calibri" w:hAnsi="Calibri"/>
              </w:rPr>
            </w:pPr>
            <w:r w:rsidRPr="000751CC">
              <w:rPr>
                <w:rFonts w:ascii="Calibri" w:eastAsia="Calibri" w:hAnsi="Calibri"/>
              </w:rPr>
              <w:t>£91,313</w:t>
            </w:r>
          </w:p>
        </w:tc>
        <w:tc>
          <w:tcPr>
            <w:tcW w:w="992" w:type="dxa"/>
          </w:tcPr>
          <w:p w:rsidR="00E87F48" w:rsidRPr="000751CC" w:rsidRDefault="000751CC" w:rsidP="00351EAB">
            <w:pPr>
              <w:rPr>
                <w:rFonts w:ascii="Calibri" w:eastAsia="Calibri" w:hAnsi="Calibri"/>
              </w:rPr>
            </w:pPr>
            <w:r>
              <w:rPr>
                <w:rFonts w:ascii="Calibri" w:eastAsia="Calibri" w:hAnsi="Calibri"/>
              </w:rPr>
              <w:t>£95,777</w:t>
            </w:r>
          </w:p>
        </w:tc>
        <w:tc>
          <w:tcPr>
            <w:tcW w:w="1418" w:type="dxa"/>
          </w:tcPr>
          <w:p w:rsidR="00E87F48" w:rsidRPr="000751CC" w:rsidRDefault="000751CC" w:rsidP="00351EAB">
            <w:pPr>
              <w:rPr>
                <w:rFonts w:ascii="Calibri" w:eastAsia="Calibri" w:hAnsi="Calibri"/>
              </w:rPr>
            </w:pPr>
            <w:r w:rsidRPr="000751CC">
              <w:rPr>
                <w:rFonts w:ascii="Calibri" w:eastAsia="Calibri" w:hAnsi="Calibri"/>
              </w:rPr>
              <w:t>£94,985</w:t>
            </w:r>
          </w:p>
        </w:tc>
        <w:tc>
          <w:tcPr>
            <w:tcW w:w="1417" w:type="dxa"/>
          </w:tcPr>
          <w:p w:rsidR="00E87F48" w:rsidRPr="000751CC" w:rsidRDefault="000751CC" w:rsidP="000751CC">
            <w:pPr>
              <w:jc w:val="center"/>
              <w:rPr>
                <w:rFonts w:ascii="Calibri" w:eastAsia="Calibri" w:hAnsi="Calibri"/>
              </w:rPr>
            </w:pPr>
            <w:r>
              <w:rPr>
                <w:rFonts w:ascii="Calibri" w:eastAsia="Calibri" w:hAnsi="Calibri"/>
              </w:rPr>
              <w:t>-4.66%</w:t>
            </w:r>
          </w:p>
        </w:tc>
      </w:tr>
      <w:tr w:rsidR="00E87F48" w:rsidTr="000751CC">
        <w:tc>
          <w:tcPr>
            <w:tcW w:w="1219" w:type="dxa"/>
          </w:tcPr>
          <w:p w:rsidR="00E87F48" w:rsidRDefault="00E87F48" w:rsidP="00351EAB">
            <w:pPr>
              <w:rPr>
                <w:rFonts w:ascii="Calibri" w:eastAsia="Calibri" w:hAnsi="Calibri"/>
                <w:b/>
              </w:rPr>
            </w:pPr>
            <w:r>
              <w:rPr>
                <w:rFonts w:ascii="Calibri" w:eastAsia="Calibri" w:hAnsi="Calibri"/>
                <w:b/>
              </w:rPr>
              <w:t>Grade 9D</w:t>
            </w:r>
          </w:p>
        </w:tc>
        <w:tc>
          <w:tcPr>
            <w:tcW w:w="732" w:type="dxa"/>
          </w:tcPr>
          <w:p w:rsidR="00E87F48" w:rsidRPr="000751CC" w:rsidRDefault="000751CC" w:rsidP="00351EAB">
            <w:pPr>
              <w:rPr>
                <w:rFonts w:ascii="Calibri" w:eastAsia="Calibri" w:hAnsi="Calibri"/>
              </w:rPr>
            </w:pPr>
            <w:r>
              <w:rPr>
                <w:rFonts w:ascii="Calibri" w:eastAsia="Calibri" w:hAnsi="Calibri"/>
              </w:rPr>
              <w:t>112</w:t>
            </w:r>
          </w:p>
        </w:tc>
        <w:tc>
          <w:tcPr>
            <w:tcW w:w="992" w:type="dxa"/>
          </w:tcPr>
          <w:p w:rsidR="00E87F48" w:rsidRPr="000751CC" w:rsidRDefault="000751CC" w:rsidP="00351EAB">
            <w:pPr>
              <w:rPr>
                <w:rFonts w:ascii="Calibri" w:eastAsia="Calibri" w:hAnsi="Calibri"/>
              </w:rPr>
            </w:pPr>
            <w:r w:rsidRPr="000751CC">
              <w:rPr>
                <w:rFonts w:ascii="Calibri" w:eastAsia="Calibri" w:hAnsi="Calibri"/>
              </w:rPr>
              <w:t>41</w:t>
            </w:r>
          </w:p>
        </w:tc>
        <w:tc>
          <w:tcPr>
            <w:tcW w:w="851" w:type="dxa"/>
          </w:tcPr>
          <w:p w:rsidR="00E87F48" w:rsidRPr="000751CC" w:rsidRDefault="00E87F48" w:rsidP="00351EAB">
            <w:pPr>
              <w:rPr>
                <w:rFonts w:ascii="Calibri" w:eastAsia="Calibri" w:hAnsi="Calibri"/>
              </w:rPr>
            </w:pPr>
            <w:r w:rsidRPr="000751CC">
              <w:rPr>
                <w:rFonts w:ascii="Calibri" w:eastAsia="Calibri" w:hAnsi="Calibri"/>
              </w:rPr>
              <w:t>153</w:t>
            </w:r>
          </w:p>
        </w:tc>
        <w:tc>
          <w:tcPr>
            <w:tcW w:w="992" w:type="dxa"/>
          </w:tcPr>
          <w:p w:rsidR="00E87F48" w:rsidRPr="000751CC" w:rsidRDefault="00E87F48" w:rsidP="00B03C23">
            <w:pPr>
              <w:rPr>
                <w:rFonts w:ascii="Calibri" w:eastAsia="Calibri" w:hAnsi="Calibri"/>
              </w:rPr>
            </w:pPr>
            <w:r w:rsidRPr="000751CC">
              <w:rPr>
                <w:rFonts w:ascii="Calibri" w:eastAsia="Calibri" w:hAnsi="Calibri"/>
              </w:rPr>
              <w:t>£73,284</w:t>
            </w:r>
          </w:p>
        </w:tc>
        <w:tc>
          <w:tcPr>
            <w:tcW w:w="992" w:type="dxa"/>
          </w:tcPr>
          <w:p w:rsidR="00E87F48" w:rsidRPr="000751CC" w:rsidRDefault="000751CC" w:rsidP="00351EAB">
            <w:pPr>
              <w:rPr>
                <w:rFonts w:ascii="Calibri" w:eastAsia="Calibri" w:hAnsi="Calibri"/>
              </w:rPr>
            </w:pPr>
            <w:r>
              <w:rPr>
                <w:rFonts w:ascii="Calibri" w:eastAsia="Calibri" w:hAnsi="Calibri"/>
              </w:rPr>
              <w:t>£74,475</w:t>
            </w:r>
          </w:p>
        </w:tc>
        <w:tc>
          <w:tcPr>
            <w:tcW w:w="1418" w:type="dxa"/>
          </w:tcPr>
          <w:p w:rsidR="00E87F48" w:rsidRPr="000751CC" w:rsidRDefault="000751CC" w:rsidP="00351EAB">
            <w:pPr>
              <w:rPr>
                <w:rFonts w:ascii="Calibri" w:eastAsia="Calibri" w:hAnsi="Calibri"/>
              </w:rPr>
            </w:pPr>
            <w:r w:rsidRPr="000751CC">
              <w:rPr>
                <w:rFonts w:ascii="Calibri" w:eastAsia="Calibri" w:hAnsi="Calibri"/>
              </w:rPr>
              <w:t>£74,156</w:t>
            </w:r>
          </w:p>
        </w:tc>
        <w:tc>
          <w:tcPr>
            <w:tcW w:w="1417" w:type="dxa"/>
          </w:tcPr>
          <w:p w:rsidR="00E87F48" w:rsidRPr="000751CC" w:rsidRDefault="000751CC" w:rsidP="000751CC">
            <w:pPr>
              <w:jc w:val="center"/>
              <w:rPr>
                <w:rFonts w:ascii="Calibri" w:eastAsia="Calibri" w:hAnsi="Calibri"/>
              </w:rPr>
            </w:pPr>
            <w:r>
              <w:rPr>
                <w:rFonts w:ascii="Calibri" w:eastAsia="Calibri" w:hAnsi="Calibri"/>
              </w:rPr>
              <w:t>-1.6%</w:t>
            </w:r>
          </w:p>
        </w:tc>
      </w:tr>
      <w:tr w:rsidR="00E87F48" w:rsidTr="000751CC">
        <w:tc>
          <w:tcPr>
            <w:tcW w:w="1219" w:type="dxa"/>
          </w:tcPr>
          <w:p w:rsidR="00E87F48" w:rsidRDefault="00E87F48" w:rsidP="00351EAB">
            <w:pPr>
              <w:rPr>
                <w:rFonts w:ascii="Calibri" w:eastAsia="Calibri" w:hAnsi="Calibri"/>
                <w:b/>
              </w:rPr>
            </w:pPr>
            <w:r>
              <w:rPr>
                <w:rFonts w:ascii="Calibri" w:eastAsia="Calibri" w:hAnsi="Calibri"/>
                <w:b/>
              </w:rPr>
              <w:t>Grade 9E</w:t>
            </w:r>
          </w:p>
        </w:tc>
        <w:tc>
          <w:tcPr>
            <w:tcW w:w="732" w:type="dxa"/>
          </w:tcPr>
          <w:p w:rsidR="00E87F48" w:rsidRPr="000751CC" w:rsidRDefault="000751CC" w:rsidP="00351EAB">
            <w:pPr>
              <w:rPr>
                <w:rFonts w:ascii="Calibri" w:eastAsia="Calibri" w:hAnsi="Calibri"/>
              </w:rPr>
            </w:pPr>
            <w:r>
              <w:rPr>
                <w:rFonts w:ascii="Calibri" w:eastAsia="Calibri" w:hAnsi="Calibri"/>
              </w:rPr>
              <w:t>33</w:t>
            </w:r>
          </w:p>
        </w:tc>
        <w:tc>
          <w:tcPr>
            <w:tcW w:w="992" w:type="dxa"/>
          </w:tcPr>
          <w:p w:rsidR="00E87F48" w:rsidRPr="000751CC" w:rsidRDefault="000751CC" w:rsidP="00351EAB">
            <w:pPr>
              <w:rPr>
                <w:rFonts w:ascii="Calibri" w:eastAsia="Calibri" w:hAnsi="Calibri"/>
              </w:rPr>
            </w:pPr>
            <w:r w:rsidRPr="000751CC">
              <w:rPr>
                <w:rFonts w:ascii="Calibri" w:eastAsia="Calibri" w:hAnsi="Calibri"/>
              </w:rPr>
              <w:t>29</w:t>
            </w:r>
          </w:p>
        </w:tc>
        <w:tc>
          <w:tcPr>
            <w:tcW w:w="851" w:type="dxa"/>
          </w:tcPr>
          <w:p w:rsidR="00E87F48" w:rsidRPr="000751CC" w:rsidRDefault="00E87F48" w:rsidP="00351EAB">
            <w:pPr>
              <w:rPr>
                <w:rFonts w:ascii="Calibri" w:eastAsia="Calibri" w:hAnsi="Calibri"/>
              </w:rPr>
            </w:pPr>
            <w:r w:rsidRPr="000751CC">
              <w:rPr>
                <w:rFonts w:ascii="Calibri" w:eastAsia="Calibri" w:hAnsi="Calibri"/>
              </w:rPr>
              <w:t>62</w:t>
            </w:r>
          </w:p>
        </w:tc>
        <w:tc>
          <w:tcPr>
            <w:tcW w:w="992" w:type="dxa"/>
          </w:tcPr>
          <w:p w:rsidR="00E87F48" w:rsidRPr="000751CC" w:rsidRDefault="00E87F48" w:rsidP="00B03C23">
            <w:pPr>
              <w:rPr>
                <w:rFonts w:ascii="Calibri" w:eastAsia="Calibri" w:hAnsi="Calibri"/>
              </w:rPr>
            </w:pPr>
            <w:r w:rsidRPr="000751CC">
              <w:rPr>
                <w:rFonts w:ascii="Calibri" w:eastAsia="Calibri" w:hAnsi="Calibri"/>
              </w:rPr>
              <w:t>£63,864</w:t>
            </w:r>
          </w:p>
        </w:tc>
        <w:tc>
          <w:tcPr>
            <w:tcW w:w="992" w:type="dxa"/>
          </w:tcPr>
          <w:p w:rsidR="00E87F48" w:rsidRPr="000751CC" w:rsidRDefault="000751CC" w:rsidP="00351EAB">
            <w:pPr>
              <w:rPr>
                <w:rFonts w:ascii="Calibri" w:eastAsia="Calibri" w:hAnsi="Calibri"/>
              </w:rPr>
            </w:pPr>
            <w:r>
              <w:rPr>
                <w:rFonts w:ascii="Calibri" w:eastAsia="Calibri" w:hAnsi="Calibri"/>
              </w:rPr>
              <w:t>£64,255</w:t>
            </w:r>
          </w:p>
        </w:tc>
        <w:tc>
          <w:tcPr>
            <w:tcW w:w="1418" w:type="dxa"/>
          </w:tcPr>
          <w:p w:rsidR="00E87F48" w:rsidRPr="000751CC" w:rsidRDefault="000751CC" w:rsidP="00351EAB">
            <w:pPr>
              <w:rPr>
                <w:rFonts w:ascii="Calibri" w:eastAsia="Calibri" w:hAnsi="Calibri"/>
              </w:rPr>
            </w:pPr>
            <w:r w:rsidRPr="000751CC">
              <w:rPr>
                <w:rFonts w:ascii="Calibri" w:eastAsia="Calibri" w:hAnsi="Calibri"/>
              </w:rPr>
              <w:t>£64,072</w:t>
            </w:r>
          </w:p>
        </w:tc>
        <w:tc>
          <w:tcPr>
            <w:tcW w:w="1417" w:type="dxa"/>
          </w:tcPr>
          <w:p w:rsidR="00E87F48" w:rsidRPr="000751CC" w:rsidRDefault="000751CC" w:rsidP="000751CC">
            <w:pPr>
              <w:jc w:val="center"/>
              <w:rPr>
                <w:rFonts w:ascii="Calibri" w:eastAsia="Calibri" w:hAnsi="Calibri"/>
              </w:rPr>
            </w:pPr>
            <w:r>
              <w:rPr>
                <w:rFonts w:ascii="Calibri" w:eastAsia="Calibri" w:hAnsi="Calibri"/>
              </w:rPr>
              <w:t>-0.61%</w:t>
            </w:r>
          </w:p>
        </w:tc>
      </w:tr>
      <w:tr w:rsidR="00E87F48" w:rsidTr="000751CC">
        <w:tc>
          <w:tcPr>
            <w:tcW w:w="1219" w:type="dxa"/>
          </w:tcPr>
          <w:p w:rsidR="00E87F48" w:rsidRDefault="00E87F48" w:rsidP="00351EAB">
            <w:pPr>
              <w:rPr>
                <w:rFonts w:ascii="Calibri" w:eastAsia="Calibri" w:hAnsi="Calibri"/>
                <w:b/>
              </w:rPr>
            </w:pPr>
            <w:r>
              <w:rPr>
                <w:rFonts w:ascii="Calibri" w:eastAsia="Calibri" w:hAnsi="Calibri"/>
                <w:b/>
              </w:rPr>
              <w:t>Total</w:t>
            </w:r>
          </w:p>
        </w:tc>
        <w:tc>
          <w:tcPr>
            <w:tcW w:w="732" w:type="dxa"/>
          </w:tcPr>
          <w:p w:rsidR="00E87F48" w:rsidRPr="000751CC" w:rsidRDefault="000751CC" w:rsidP="00351EAB">
            <w:pPr>
              <w:rPr>
                <w:rFonts w:ascii="Calibri" w:eastAsia="Calibri" w:hAnsi="Calibri"/>
              </w:rPr>
            </w:pPr>
            <w:r>
              <w:rPr>
                <w:rFonts w:ascii="Calibri" w:eastAsia="Calibri" w:hAnsi="Calibri"/>
              </w:rPr>
              <w:t>196</w:t>
            </w:r>
          </w:p>
        </w:tc>
        <w:tc>
          <w:tcPr>
            <w:tcW w:w="992" w:type="dxa"/>
          </w:tcPr>
          <w:p w:rsidR="00E87F48" w:rsidRPr="000751CC" w:rsidRDefault="000751CC" w:rsidP="00351EAB">
            <w:pPr>
              <w:rPr>
                <w:rFonts w:ascii="Calibri" w:eastAsia="Calibri" w:hAnsi="Calibri"/>
              </w:rPr>
            </w:pPr>
            <w:r w:rsidRPr="000751CC">
              <w:rPr>
                <w:rFonts w:ascii="Calibri" w:eastAsia="Calibri" w:hAnsi="Calibri"/>
              </w:rPr>
              <w:t>81</w:t>
            </w:r>
          </w:p>
        </w:tc>
        <w:tc>
          <w:tcPr>
            <w:tcW w:w="851" w:type="dxa"/>
          </w:tcPr>
          <w:p w:rsidR="00E87F48" w:rsidRPr="000751CC" w:rsidRDefault="00E87F48" w:rsidP="00351EAB">
            <w:pPr>
              <w:rPr>
                <w:rFonts w:ascii="Calibri" w:eastAsia="Calibri" w:hAnsi="Calibri"/>
              </w:rPr>
            </w:pPr>
            <w:r w:rsidRPr="000751CC">
              <w:rPr>
                <w:rFonts w:ascii="Calibri" w:eastAsia="Calibri" w:hAnsi="Calibri"/>
              </w:rPr>
              <w:t>277</w:t>
            </w:r>
          </w:p>
        </w:tc>
        <w:tc>
          <w:tcPr>
            <w:tcW w:w="992" w:type="dxa"/>
          </w:tcPr>
          <w:p w:rsidR="00E87F48" w:rsidRPr="000751CC" w:rsidRDefault="00E87F48" w:rsidP="00B03C23">
            <w:pPr>
              <w:rPr>
                <w:rFonts w:ascii="Calibri" w:eastAsia="Calibri" w:hAnsi="Calibri"/>
              </w:rPr>
            </w:pPr>
            <w:r w:rsidRPr="000751CC">
              <w:rPr>
                <w:rFonts w:ascii="Calibri" w:eastAsia="Calibri" w:hAnsi="Calibri"/>
              </w:rPr>
              <w:t>£72,359</w:t>
            </w:r>
          </w:p>
        </w:tc>
        <w:tc>
          <w:tcPr>
            <w:tcW w:w="992" w:type="dxa"/>
          </w:tcPr>
          <w:p w:rsidR="00E87F48" w:rsidRPr="000751CC" w:rsidRDefault="000751CC" w:rsidP="00351EAB">
            <w:pPr>
              <w:rPr>
                <w:rFonts w:ascii="Calibri" w:eastAsia="Calibri" w:hAnsi="Calibri"/>
              </w:rPr>
            </w:pPr>
            <w:r>
              <w:rPr>
                <w:rFonts w:ascii="Calibri" w:eastAsia="Calibri" w:hAnsi="Calibri"/>
              </w:rPr>
              <w:t>£76,651</w:t>
            </w:r>
          </w:p>
        </w:tc>
        <w:tc>
          <w:tcPr>
            <w:tcW w:w="1418" w:type="dxa"/>
          </w:tcPr>
          <w:p w:rsidR="00E87F48" w:rsidRPr="000751CC" w:rsidRDefault="000751CC" w:rsidP="00351EAB">
            <w:pPr>
              <w:rPr>
                <w:rFonts w:ascii="Calibri" w:eastAsia="Calibri" w:hAnsi="Calibri"/>
              </w:rPr>
            </w:pPr>
            <w:r w:rsidRPr="000751CC">
              <w:rPr>
                <w:rFonts w:ascii="Calibri" w:eastAsia="Calibri" w:hAnsi="Calibri"/>
              </w:rPr>
              <w:t>£76,561</w:t>
            </w:r>
          </w:p>
        </w:tc>
        <w:tc>
          <w:tcPr>
            <w:tcW w:w="1417" w:type="dxa"/>
          </w:tcPr>
          <w:p w:rsidR="00E87F48" w:rsidRPr="000751CC" w:rsidRDefault="000751CC" w:rsidP="000751CC">
            <w:pPr>
              <w:jc w:val="center"/>
              <w:rPr>
                <w:rFonts w:ascii="Calibri" w:eastAsia="Calibri" w:hAnsi="Calibri"/>
              </w:rPr>
            </w:pPr>
            <w:r>
              <w:rPr>
                <w:rFonts w:ascii="Calibri" w:eastAsia="Calibri" w:hAnsi="Calibri"/>
              </w:rPr>
              <w:t>-5.6%</w:t>
            </w:r>
          </w:p>
        </w:tc>
      </w:tr>
    </w:tbl>
    <w:p w:rsidR="00E87F48" w:rsidRPr="00351EAB" w:rsidRDefault="00E87F48" w:rsidP="00351EAB">
      <w:pPr>
        <w:rPr>
          <w:rFonts w:ascii="Calibri" w:eastAsia="Calibri" w:hAnsi="Calibri" w:cs="Times New Roman"/>
          <w:b/>
        </w:rPr>
      </w:pPr>
    </w:p>
    <w:p w:rsidR="00351EAB" w:rsidRDefault="00351EAB" w:rsidP="00351EAB">
      <w:pPr>
        <w:rPr>
          <w:rFonts w:ascii="Calibri" w:eastAsia="Calibri" w:hAnsi="Calibri" w:cs="Times New Roman"/>
          <w:b/>
          <w:bCs/>
        </w:rPr>
      </w:pPr>
      <w:r w:rsidRPr="00351EAB">
        <w:rPr>
          <w:rFonts w:ascii="Calibri" w:eastAsia="Calibri" w:hAnsi="Calibri" w:cs="Times New Roman"/>
          <w:b/>
          <w:bCs/>
        </w:rPr>
        <w:t xml:space="preserve">Table </w:t>
      </w:r>
      <w:r w:rsidR="00FC4BEA">
        <w:rPr>
          <w:rFonts w:ascii="Calibri" w:eastAsia="Calibri" w:hAnsi="Calibri" w:cs="Times New Roman"/>
          <w:b/>
          <w:bCs/>
        </w:rPr>
        <w:t>3</w:t>
      </w:r>
      <w:r w:rsidR="00402899">
        <w:rPr>
          <w:rFonts w:ascii="Calibri" w:eastAsia="Calibri" w:hAnsi="Calibri" w:cs="Times New Roman"/>
          <w:b/>
          <w:bCs/>
        </w:rPr>
        <w:t>.</w:t>
      </w:r>
      <w:r w:rsidR="00B27B49">
        <w:rPr>
          <w:rFonts w:ascii="Calibri" w:eastAsia="Calibri" w:hAnsi="Calibri" w:cs="Times New Roman"/>
          <w:b/>
          <w:bCs/>
        </w:rPr>
        <w:t>7</w:t>
      </w:r>
      <w:r w:rsidRPr="00351EAB">
        <w:rPr>
          <w:rFonts w:ascii="Calibri" w:eastAsia="Calibri" w:hAnsi="Calibri" w:cs="Times New Roman"/>
          <w:b/>
          <w:bCs/>
        </w:rPr>
        <w:t xml:space="preserve">: Average Annual </w:t>
      </w:r>
      <w:r w:rsidR="000751CC">
        <w:rPr>
          <w:rFonts w:ascii="Calibri" w:eastAsia="Calibri" w:hAnsi="Calibri" w:cs="Times New Roman"/>
          <w:b/>
          <w:bCs/>
        </w:rPr>
        <w:t xml:space="preserve">Professorial </w:t>
      </w:r>
      <w:r w:rsidRPr="00351EAB">
        <w:rPr>
          <w:rFonts w:ascii="Calibri" w:eastAsia="Calibri" w:hAnsi="Calibri" w:cs="Times New Roman"/>
          <w:b/>
          <w:bCs/>
        </w:rPr>
        <w:t xml:space="preserve">FTE Salary </w:t>
      </w:r>
      <w:r w:rsidR="005977D1">
        <w:rPr>
          <w:rFonts w:ascii="Calibri" w:eastAsia="Calibri" w:hAnsi="Calibri" w:cs="Times New Roman"/>
          <w:b/>
          <w:bCs/>
        </w:rPr>
        <w:t xml:space="preserve">in Humanities </w:t>
      </w:r>
      <w:r w:rsidRPr="00351EAB">
        <w:rPr>
          <w:rFonts w:ascii="Calibri" w:eastAsia="Calibri" w:hAnsi="Calibri" w:cs="Times New Roman"/>
          <w:b/>
          <w:bCs/>
        </w:rPr>
        <w:t>by Zones C to E and Ethnicity</w:t>
      </w:r>
      <w:r w:rsidR="000751CC">
        <w:rPr>
          <w:rFonts w:ascii="Calibri" w:eastAsia="Calibri" w:hAnsi="Calibri" w:cs="Times New Roman"/>
          <w:b/>
          <w:bCs/>
        </w:rPr>
        <w:t>, May 1</w:t>
      </w:r>
      <w:r w:rsidR="000751CC" w:rsidRPr="000751CC">
        <w:rPr>
          <w:rFonts w:ascii="Calibri" w:eastAsia="Calibri" w:hAnsi="Calibri" w:cs="Times New Roman"/>
          <w:b/>
          <w:bCs/>
          <w:vertAlign w:val="superscript"/>
        </w:rPr>
        <w:t>st</w:t>
      </w:r>
      <w:r w:rsidR="000751CC">
        <w:rPr>
          <w:rFonts w:ascii="Calibri" w:eastAsia="Calibri" w:hAnsi="Calibri" w:cs="Times New Roman"/>
          <w:b/>
          <w:bCs/>
        </w:rPr>
        <w:t xml:space="preserve"> 2014</w:t>
      </w:r>
      <w:r w:rsidRPr="00351EAB">
        <w:rPr>
          <w:rFonts w:ascii="Calibri" w:eastAsia="Calibri" w:hAnsi="Calibri" w:cs="Times New Roman"/>
          <w:b/>
          <w:bCs/>
        </w:rPr>
        <w:t xml:space="preserve"> (including pay gap Information)</w:t>
      </w:r>
    </w:p>
    <w:tbl>
      <w:tblPr>
        <w:tblStyle w:val="TableGrid"/>
        <w:tblW w:w="0" w:type="auto"/>
        <w:tblLook w:val="04A0" w:firstRow="1" w:lastRow="0" w:firstColumn="1" w:lastColumn="0" w:noHBand="0" w:noVBand="1"/>
      </w:tblPr>
      <w:tblGrid>
        <w:gridCol w:w="1219"/>
        <w:gridCol w:w="732"/>
        <w:gridCol w:w="992"/>
        <w:gridCol w:w="851"/>
        <w:gridCol w:w="992"/>
        <w:gridCol w:w="992"/>
        <w:gridCol w:w="1418"/>
        <w:gridCol w:w="1417"/>
      </w:tblGrid>
      <w:tr w:rsidR="000751CC" w:rsidTr="00B03C23">
        <w:tc>
          <w:tcPr>
            <w:tcW w:w="1219" w:type="dxa"/>
          </w:tcPr>
          <w:p w:rsidR="000751CC" w:rsidRDefault="000751CC" w:rsidP="00B03C23">
            <w:pPr>
              <w:rPr>
                <w:rFonts w:ascii="Calibri" w:eastAsia="Calibri" w:hAnsi="Calibri"/>
                <w:b/>
              </w:rPr>
            </w:pPr>
            <w:r>
              <w:rPr>
                <w:rFonts w:ascii="Calibri" w:eastAsia="Calibri" w:hAnsi="Calibri"/>
                <w:b/>
              </w:rPr>
              <w:t>Zone/Grade</w:t>
            </w:r>
          </w:p>
        </w:tc>
        <w:tc>
          <w:tcPr>
            <w:tcW w:w="2575" w:type="dxa"/>
            <w:gridSpan w:val="3"/>
          </w:tcPr>
          <w:p w:rsidR="000751CC" w:rsidRDefault="000751CC" w:rsidP="00B03C23">
            <w:pPr>
              <w:jc w:val="center"/>
              <w:rPr>
                <w:rFonts w:ascii="Calibri" w:eastAsia="Calibri" w:hAnsi="Calibri"/>
                <w:b/>
              </w:rPr>
            </w:pPr>
            <w:r>
              <w:rPr>
                <w:rFonts w:ascii="Calibri" w:eastAsia="Calibri" w:hAnsi="Calibri"/>
                <w:b/>
              </w:rPr>
              <w:t>Number of Professors</w:t>
            </w:r>
          </w:p>
        </w:tc>
        <w:tc>
          <w:tcPr>
            <w:tcW w:w="3402" w:type="dxa"/>
            <w:gridSpan w:val="3"/>
          </w:tcPr>
          <w:p w:rsidR="000751CC" w:rsidRDefault="000751CC" w:rsidP="00B03C23">
            <w:pPr>
              <w:jc w:val="center"/>
              <w:rPr>
                <w:rFonts w:ascii="Calibri" w:eastAsia="Calibri" w:hAnsi="Calibri"/>
                <w:b/>
              </w:rPr>
            </w:pPr>
            <w:r>
              <w:rPr>
                <w:rFonts w:ascii="Calibri" w:eastAsia="Calibri" w:hAnsi="Calibri"/>
                <w:b/>
              </w:rPr>
              <w:t>Annual salary average</w:t>
            </w:r>
          </w:p>
        </w:tc>
        <w:tc>
          <w:tcPr>
            <w:tcW w:w="1417" w:type="dxa"/>
            <w:vMerge w:val="restart"/>
          </w:tcPr>
          <w:p w:rsidR="000751CC" w:rsidRDefault="000751CC" w:rsidP="00B03C23">
            <w:pPr>
              <w:jc w:val="center"/>
              <w:rPr>
                <w:rFonts w:ascii="Calibri" w:eastAsia="Calibri" w:hAnsi="Calibri"/>
                <w:b/>
              </w:rPr>
            </w:pPr>
            <w:r>
              <w:rPr>
                <w:rFonts w:ascii="Calibri" w:eastAsia="Calibri" w:hAnsi="Calibri"/>
                <w:b/>
              </w:rPr>
              <w:t>BME: White</w:t>
            </w:r>
          </w:p>
          <w:p w:rsidR="000751CC" w:rsidRDefault="000751CC" w:rsidP="00B03C23">
            <w:pPr>
              <w:jc w:val="center"/>
              <w:rPr>
                <w:rFonts w:ascii="Calibri" w:eastAsia="Calibri" w:hAnsi="Calibri"/>
                <w:b/>
              </w:rPr>
            </w:pPr>
            <w:r>
              <w:rPr>
                <w:rFonts w:ascii="Calibri" w:eastAsia="Calibri" w:hAnsi="Calibri"/>
                <w:b/>
              </w:rPr>
              <w:t>Pay Gap</w:t>
            </w:r>
          </w:p>
        </w:tc>
      </w:tr>
      <w:tr w:rsidR="000751CC" w:rsidTr="00B03C23">
        <w:tc>
          <w:tcPr>
            <w:tcW w:w="1219" w:type="dxa"/>
          </w:tcPr>
          <w:p w:rsidR="000751CC" w:rsidRDefault="000751CC" w:rsidP="00B03C23">
            <w:pPr>
              <w:rPr>
                <w:rFonts w:ascii="Calibri" w:eastAsia="Calibri" w:hAnsi="Calibri"/>
                <w:b/>
              </w:rPr>
            </w:pPr>
          </w:p>
        </w:tc>
        <w:tc>
          <w:tcPr>
            <w:tcW w:w="732" w:type="dxa"/>
          </w:tcPr>
          <w:p w:rsidR="000751CC" w:rsidRDefault="000751CC" w:rsidP="000751CC">
            <w:pPr>
              <w:rPr>
                <w:rFonts w:ascii="Calibri" w:eastAsia="Calibri" w:hAnsi="Calibri"/>
                <w:b/>
              </w:rPr>
            </w:pPr>
            <w:r>
              <w:rPr>
                <w:rFonts w:ascii="Calibri" w:eastAsia="Calibri" w:hAnsi="Calibri"/>
                <w:b/>
              </w:rPr>
              <w:t>BME</w:t>
            </w:r>
          </w:p>
        </w:tc>
        <w:tc>
          <w:tcPr>
            <w:tcW w:w="992" w:type="dxa"/>
          </w:tcPr>
          <w:p w:rsidR="000751CC" w:rsidRDefault="000751CC" w:rsidP="000751CC">
            <w:pPr>
              <w:rPr>
                <w:rFonts w:ascii="Calibri" w:eastAsia="Calibri" w:hAnsi="Calibri"/>
                <w:b/>
              </w:rPr>
            </w:pPr>
            <w:r>
              <w:rPr>
                <w:rFonts w:ascii="Calibri" w:eastAsia="Calibri" w:hAnsi="Calibri"/>
                <w:b/>
              </w:rPr>
              <w:t xml:space="preserve">White </w:t>
            </w:r>
          </w:p>
        </w:tc>
        <w:tc>
          <w:tcPr>
            <w:tcW w:w="851" w:type="dxa"/>
          </w:tcPr>
          <w:p w:rsidR="000751CC" w:rsidRDefault="000751CC" w:rsidP="00B03C23">
            <w:pPr>
              <w:rPr>
                <w:rFonts w:ascii="Calibri" w:eastAsia="Calibri" w:hAnsi="Calibri"/>
                <w:b/>
              </w:rPr>
            </w:pPr>
            <w:r>
              <w:rPr>
                <w:rFonts w:ascii="Calibri" w:eastAsia="Calibri" w:hAnsi="Calibri"/>
                <w:b/>
              </w:rPr>
              <w:t>Total</w:t>
            </w:r>
          </w:p>
        </w:tc>
        <w:tc>
          <w:tcPr>
            <w:tcW w:w="992" w:type="dxa"/>
          </w:tcPr>
          <w:p w:rsidR="000751CC" w:rsidRDefault="000751CC" w:rsidP="000751CC">
            <w:pPr>
              <w:rPr>
                <w:rFonts w:ascii="Calibri" w:eastAsia="Calibri" w:hAnsi="Calibri"/>
                <w:b/>
              </w:rPr>
            </w:pPr>
            <w:r>
              <w:rPr>
                <w:rFonts w:ascii="Calibri" w:eastAsia="Calibri" w:hAnsi="Calibri"/>
                <w:b/>
              </w:rPr>
              <w:t>BME</w:t>
            </w:r>
          </w:p>
        </w:tc>
        <w:tc>
          <w:tcPr>
            <w:tcW w:w="992" w:type="dxa"/>
          </w:tcPr>
          <w:p w:rsidR="000751CC" w:rsidRDefault="000751CC" w:rsidP="000751CC">
            <w:pPr>
              <w:rPr>
                <w:rFonts w:ascii="Calibri" w:eastAsia="Calibri" w:hAnsi="Calibri"/>
                <w:b/>
              </w:rPr>
            </w:pPr>
            <w:r>
              <w:rPr>
                <w:rFonts w:ascii="Calibri" w:eastAsia="Calibri" w:hAnsi="Calibri"/>
                <w:b/>
              </w:rPr>
              <w:t>White</w:t>
            </w:r>
          </w:p>
        </w:tc>
        <w:tc>
          <w:tcPr>
            <w:tcW w:w="1418" w:type="dxa"/>
          </w:tcPr>
          <w:p w:rsidR="000751CC" w:rsidRDefault="000751CC" w:rsidP="00B03C23">
            <w:pPr>
              <w:rPr>
                <w:rFonts w:ascii="Calibri" w:eastAsia="Calibri" w:hAnsi="Calibri"/>
                <w:b/>
              </w:rPr>
            </w:pPr>
            <w:r>
              <w:rPr>
                <w:rFonts w:ascii="Calibri" w:eastAsia="Calibri" w:hAnsi="Calibri"/>
                <w:b/>
              </w:rPr>
              <w:t>Total</w:t>
            </w:r>
          </w:p>
        </w:tc>
        <w:tc>
          <w:tcPr>
            <w:tcW w:w="1417" w:type="dxa"/>
            <w:vMerge/>
          </w:tcPr>
          <w:p w:rsidR="000751CC" w:rsidRDefault="000751CC" w:rsidP="00B03C23">
            <w:pPr>
              <w:rPr>
                <w:rFonts w:ascii="Calibri" w:eastAsia="Calibri" w:hAnsi="Calibri"/>
                <w:b/>
              </w:rPr>
            </w:pPr>
          </w:p>
        </w:tc>
      </w:tr>
      <w:tr w:rsidR="000751CC" w:rsidTr="00B03C23">
        <w:tc>
          <w:tcPr>
            <w:tcW w:w="1219" w:type="dxa"/>
          </w:tcPr>
          <w:p w:rsidR="000751CC" w:rsidRDefault="000751CC" w:rsidP="00B03C23">
            <w:pPr>
              <w:rPr>
                <w:rFonts w:ascii="Calibri" w:eastAsia="Calibri" w:hAnsi="Calibri"/>
                <w:b/>
              </w:rPr>
            </w:pPr>
            <w:r>
              <w:rPr>
                <w:rFonts w:ascii="Calibri" w:eastAsia="Calibri" w:hAnsi="Calibri"/>
                <w:b/>
              </w:rPr>
              <w:t>Grade 9C</w:t>
            </w:r>
          </w:p>
        </w:tc>
        <w:tc>
          <w:tcPr>
            <w:tcW w:w="732" w:type="dxa"/>
          </w:tcPr>
          <w:p w:rsidR="000751CC" w:rsidRPr="000751CC" w:rsidRDefault="000751CC" w:rsidP="00B03C23">
            <w:pPr>
              <w:rPr>
                <w:rFonts w:ascii="Calibri" w:eastAsia="Calibri" w:hAnsi="Calibri"/>
              </w:rPr>
            </w:pPr>
            <w:r>
              <w:rPr>
                <w:rFonts w:ascii="Calibri" w:eastAsia="Calibri" w:hAnsi="Calibri"/>
              </w:rPr>
              <w:t>6</w:t>
            </w:r>
          </w:p>
        </w:tc>
        <w:tc>
          <w:tcPr>
            <w:tcW w:w="992" w:type="dxa"/>
          </w:tcPr>
          <w:p w:rsidR="000751CC" w:rsidRPr="000751CC" w:rsidRDefault="000751CC" w:rsidP="00B03C23">
            <w:pPr>
              <w:rPr>
                <w:rFonts w:ascii="Calibri" w:eastAsia="Calibri" w:hAnsi="Calibri"/>
              </w:rPr>
            </w:pPr>
            <w:r>
              <w:rPr>
                <w:rFonts w:ascii="Calibri" w:eastAsia="Calibri" w:hAnsi="Calibri"/>
              </w:rPr>
              <w:t>56</w:t>
            </w:r>
          </w:p>
        </w:tc>
        <w:tc>
          <w:tcPr>
            <w:tcW w:w="851" w:type="dxa"/>
          </w:tcPr>
          <w:p w:rsidR="000751CC" w:rsidRPr="000751CC" w:rsidRDefault="000751CC" w:rsidP="00B03C23">
            <w:pPr>
              <w:rPr>
                <w:rFonts w:ascii="Calibri" w:eastAsia="Calibri" w:hAnsi="Calibri"/>
              </w:rPr>
            </w:pPr>
            <w:r w:rsidRPr="000751CC">
              <w:rPr>
                <w:rFonts w:ascii="Calibri" w:eastAsia="Calibri" w:hAnsi="Calibri"/>
              </w:rPr>
              <w:t>62</w:t>
            </w:r>
          </w:p>
        </w:tc>
        <w:tc>
          <w:tcPr>
            <w:tcW w:w="992" w:type="dxa"/>
          </w:tcPr>
          <w:p w:rsidR="000751CC" w:rsidRPr="000751CC" w:rsidRDefault="00DF5F30" w:rsidP="00B03C23">
            <w:pPr>
              <w:rPr>
                <w:rFonts w:ascii="Calibri" w:eastAsia="Calibri" w:hAnsi="Calibri"/>
              </w:rPr>
            </w:pPr>
            <w:r>
              <w:rPr>
                <w:rFonts w:ascii="Calibri" w:eastAsia="Calibri" w:hAnsi="Calibri"/>
              </w:rPr>
              <w:t>£96,652</w:t>
            </w:r>
          </w:p>
        </w:tc>
        <w:tc>
          <w:tcPr>
            <w:tcW w:w="992" w:type="dxa"/>
          </w:tcPr>
          <w:p w:rsidR="000751CC" w:rsidRPr="000751CC" w:rsidRDefault="00DF5F30" w:rsidP="00B03C23">
            <w:pPr>
              <w:rPr>
                <w:rFonts w:ascii="Calibri" w:eastAsia="Calibri" w:hAnsi="Calibri"/>
              </w:rPr>
            </w:pPr>
            <w:r>
              <w:rPr>
                <w:rFonts w:ascii="Calibri" w:eastAsia="Calibri" w:hAnsi="Calibri"/>
              </w:rPr>
              <w:t>£94,806</w:t>
            </w:r>
          </w:p>
        </w:tc>
        <w:tc>
          <w:tcPr>
            <w:tcW w:w="1418" w:type="dxa"/>
          </w:tcPr>
          <w:p w:rsidR="000751CC" w:rsidRPr="000751CC" w:rsidRDefault="000751CC" w:rsidP="00B03C23">
            <w:pPr>
              <w:rPr>
                <w:rFonts w:ascii="Calibri" w:eastAsia="Calibri" w:hAnsi="Calibri"/>
              </w:rPr>
            </w:pPr>
            <w:r w:rsidRPr="000751CC">
              <w:rPr>
                <w:rFonts w:ascii="Calibri" w:eastAsia="Calibri" w:hAnsi="Calibri"/>
              </w:rPr>
              <w:t>£94,985</w:t>
            </w:r>
          </w:p>
        </w:tc>
        <w:tc>
          <w:tcPr>
            <w:tcW w:w="1417" w:type="dxa"/>
          </w:tcPr>
          <w:p w:rsidR="000751CC" w:rsidRPr="000751CC" w:rsidRDefault="00DF5F30" w:rsidP="00B03C23">
            <w:pPr>
              <w:jc w:val="center"/>
              <w:rPr>
                <w:rFonts w:ascii="Calibri" w:eastAsia="Calibri" w:hAnsi="Calibri"/>
              </w:rPr>
            </w:pPr>
            <w:r>
              <w:rPr>
                <w:rFonts w:ascii="Calibri" w:eastAsia="Calibri" w:hAnsi="Calibri"/>
              </w:rPr>
              <w:t>1.95%</w:t>
            </w:r>
          </w:p>
        </w:tc>
      </w:tr>
      <w:tr w:rsidR="000751CC" w:rsidTr="00B03C23">
        <w:tc>
          <w:tcPr>
            <w:tcW w:w="1219" w:type="dxa"/>
          </w:tcPr>
          <w:p w:rsidR="000751CC" w:rsidRDefault="000751CC" w:rsidP="00B03C23">
            <w:pPr>
              <w:rPr>
                <w:rFonts w:ascii="Calibri" w:eastAsia="Calibri" w:hAnsi="Calibri"/>
                <w:b/>
              </w:rPr>
            </w:pPr>
            <w:r>
              <w:rPr>
                <w:rFonts w:ascii="Calibri" w:eastAsia="Calibri" w:hAnsi="Calibri"/>
                <w:b/>
              </w:rPr>
              <w:t>Grade 9D</w:t>
            </w:r>
          </w:p>
        </w:tc>
        <w:tc>
          <w:tcPr>
            <w:tcW w:w="732" w:type="dxa"/>
          </w:tcPr>
          <w:p w:rsidR="000751CC" w:rsidRPr="000751CC" w:rsidRDefault="000751CC" w:rsidP="00B03C23">
            <w:pPr>
              <w:rPr>
                <w:rFonts w:ascii="Calibri" w:eastAsia="Calibri" w:hAnsi="Calibri"/>
              </w:rPr>
            </w:pPr>
            <w:r>
              <w:rPr>
                <w:rFonts w:ascii="Calibri" w:eastAsia="Calibri" w:hAnsi="Calibri"/>
              </w:rPr>
              <w:t>15</w:t>
            </w:r>
          </w:p>
        </w:tc>
        <w:tc>
          <w:tcPr>
            <w:tcW w:w="992" w:type="dxa"/>
          </w:tcPr>
          <w:p w:rsidR="000751CC" w:rsidRPr="000751CC" w:rsidRDefault="000751CC" w:rsidP="00B03C23">
            <w:pPr>
              <w:rPr>
                <w:rFonts w:ascii="Calibri" w:eastAsia="Calibri" w:hAnsi="Calibri"/>
              </w:rPr>
            </w:pPr>
            <w:r>
              <w:rPr>
                <w:rFonts w:ascii="Calibri" w:eastAsia="Calibri" w:hAnsi="Calibri"/>
              </w:rPr>
              <w:t>138</w:t>
            </w:r>
          </w:p>
        </w:tc>
        <w:tc>
          <w:tcPr>
            <w:tcW w:w="851" w:type="dxa"/>
          </w:tcPr>
          <w:p w:rsidR="000751CC" w:rsidRPr="000751CC" w:rsidRDefault="000751CC" w:rsidP="00B03C23">
            <w:pPr>
              <w:rPr>
                <w:rFonts w:ascii="Calibri" w:eastAsia="Calibri" w:hAnsi="Calibri"/>
              </w:rPr>
            </w:pPr>
            <w:r w:rsidRPr="000751CC">
              <w:rPr>
                <w:rFonts w:ascii="Calibri" w:eastAsia="Calibri" w:hAnsi="Calibri"/>
              </w:rPr>
              <w:t>153</w:t>
            </w:r>
          </w:p>
        </w:tc>
        <w:tc>
          <w:tcPr>
            <w:tcW w:w="992" w:type="dxa"/>
          </w:tcPr>
          <w:p w:rsidR="000751CC" w:rsidRPr="000751CC" w:rsidRDefault="00DF5F30" w:rsidP="00B03C23">
            <w:pPr>
              <w:rPr>
                <w:rFonts w:ascii="Calibri" w:eastAsia="Calibri" w:hAnsi="Calibri"/>
              </w:rPr>
            </w:pPr>
            <w:r>
              <w:rPr>
                <w:rFonts w:ascii="Calibri" w:eastAsia="Calibri" w:hAnsi="Calibri"/>
              </w:rPr>
              <w:t>£73,839</w:t>
            </w:r>
          </w:p>
        </w:tc>
        <w:tc>
          <w:tcPr>
            <w:tcW w:w="992" w:type="dxa"/>
          </w:tcPr>
          <w:p w:rsidR="000751CC" w:rsidRPr="000751CC" w:rsidRDefault="00DF5F30" w:rsidP="00B03C23">
            <w:pPr>
              <w:rPr>
                <w:rFonts w:ascii="Calibri" w:eastAsia="Calibri" w:hAnsi="Calibri"/>
              </w:rPr>
            </w:pPr>
            <w:r>
              <w:rPr>
                <w:rFonts w:ascii="Calibri" w:eastAsia="Calibri" w:hAnsi="Calibri"/>
              </w:rPr>
              <w:t>£74,190</w:t>
            </w:r>
          </w:p>
        </w:tc>
        <w:tc>
          <w:tcPr>
            <w:tcW w:w="1418" w:type="dxa"/>
          </w:tcPr>
          <w:p w:rsidR="000751CC" w:rsidRPr="000751CC" w:rsidRDefault="000751CC" w:rsidP="00B03C23">
            <w:pPr>
              <w:rPr>
                <w:rFonts w:ascii="Calibri" w:eastAsia="Calibri" w:hAnsi="Calibri"/>
              </w:rPr>
            </w:pPr>
            <w:r w:rsidRPr="000751CC">
              <w:rPr>
                <w:rFonts w:ascii="Calibri" w:eastAsia="Calibri" w:hAnsi="Calibri"/>
              </w:rPr>
              <w:t>£74,156</w:t>
            </w:r>
          </w:p>
        </w:tc>
        <w:tc>
          <w:tcPr>
            <w:tcW w:w="1417" w:type="dxa"/>
          </w:tcPr>
          <w:p w:rsidR="000751CC" w:rsidRPr="000751CC" w:rsidRDefault="00DF5F30" w:rsidP="00B03C23">
            <w:pPr>
              <w:jc w:val="center"/>
              <w:rPr>
                <w:rFonts w:ascii="Calibri" w:eastAsia="Calibri" w:hAnsi="Calibri"/>
              </w:rPr>
            </w:pPr>
            <w:r>
              <w:rPr>
                <w:rFonts w:ascii="Calibri" w:eastAsia="Calibri" w:hAnsi="Calibri"/>
              </w:rPr>
              <w:t>-0.48%</w:t>
            </w:r>
          </w:p>
        </w:tc>
      </w:tr>
      <w:tr w:rsidR="000751CC" w:rsidTr="00B03C23">
        <w:tc>
          <w:tcPr>
            <w:tcW w:w="1219" w:type="dxa"/>
          </w:tcPr>
          <w:p w:rsidR="000751CC" w:rsidRDefault="000751CC" w:rsidP="00B03C23">
            <w:pPr>
              <w:rPr>
                <w:rFonts w:ascii="Calibri" w:eastAsia="Calibri" w:hAnsi="Calibri"/>
                <w:b/>
              </w:rPr>
            </w:pPr>
            <w:r>
              <w:rPr>
                <w:rFonts w:ascii="Calibri" w:eastAsia="Calibri" w:hAnsi="Calibri"/>
                <w:b/>
              </w:rPr>
              <w:t>Grade 9E</w:t>
            </w:r>
          </w:p>
        </w:tc>
        <w:tc>
          <w:tcPr>
            <w:tcW w:w="732" w:type="dxa"/>
          </w:tcPr>
          <w:p w:rsidR="000751CC" w:rsidRPr="000751CC" w:rsidRDefault="000751CC" w:rsidP="00B03C23">
            <w:pPr>
              <w:rPr>
                <w:rFonts w:ascii="Calibri" w:eastAsia="Calibri" w:hAnsi="Calibri"/>
              </w:rPr>
            </w:pPr>
            <w:r>
              <w:rPr>
                <w:rFonts w:ascii="Calibri" w:eastAsia="Calibri" w:hAnsi="Calibri"/>
              </w:rPr>
              <w:t>5</w:t>
            </w:r>
          </w:p>
        </w:tc>
        <w:tc>
          <w:tcPr>
            <w:tcW w:w="992" w:type="dxa"/>
          </w:tcPr>
          <w:p w:rsidR="000751CC" w:rsidRPr="000751CC" w:rsidRDefault="000751CC" w:rsidP="00B03C23">
            <w:pPr>
              <w:rPr>
                <w:rFonts w:ascii="Calibri" w:eastAsia="Calibri" w:hAnsi="Calibri"/>
              </w:rPr>
            </w:pPr>
            <w:r>
              <w:rPr>
                <w:rFonts w:ascii="Calibri" w:eastAsia="Calibri" w:hAnsi="Calibri"/>
              </w:rPr>
              <w:t>56</w:t>
            </w:r>
          </w:p>
        </w:tc>
        <w:tc>
          <w:tcPr>
            <w:tcW w:w="851" w:type="dxa"/>
          </w:tcPr>
          <w:p w:rsidR="000751CC" w:rsidRPr="000751CC" w:rsidRDefault="000751CC" w:rsidP="00B03C23">
            <w:pPr>
              <w:rPr>
                <w:rFonts w:ascii="Calibri" w:eastAsia="Calibri" w:hAnsi="Calibri"/>
              </w:rPr>
            </w:pPr>
            <w:r w:rsidRPr="000751CC">
              <w:rPr>
                <w:rFonts w:ascii="Calibri" w:eastAsia="Calibri" w:hAnsi="Calibri"/>
              </w:rPr>
              <w:t>62</w:t>
            </w:r>
          </w:p>
        </w:tc>
        <w:tc>
          <w:tcPr>
            <w:tcW w:w="992" w:type="dxa"/>
          </w:tcPr>
          <w:p w:rsidR="000751CC" w:rsidRPr="000751CC" w:rsidRDefault="00DF5F30" w:rsidP="00B03C23">
            <w:pPr>
              <w:rPr>
                <w:rFonts w:ascii="Calibri" w:eastAsia="Calibri" w:hAnsi="Calibri"/>
              </w:rPr>
            </w:pPr>
            <w:r>
              <w:rPr>
                <w:rFonts w:ascii="Calibri" w:eastAsia="Calibri" w:hAnsi="Calibri"/>
              </w:rPr>
              <w:t>£66,322</w:t>
            </w:r>
          </w:p>
        </w:tc>
        <w:tc>
          <w:tcPr>
            <w:tcW w:w="992" w:type="dxa"/>
          </w:tcPr>
          <w:p w:rsidR="000751CC" w:rsidRPr="000751CC" w:rsidRDefault="00DF5F30" w:rsidP="00B03C23">
            <w:pPr>
              <w:rPr>
                <w:rFonts w:ascii="Calibri" w:eastAsia="Calibri" w:hAnsi="Calibri"/>
              </w:rPr>
            </w:pPr>
            <w:r>
              <w:rPr>
                <w:rFonts w:ascii="Calibri" w:eastAsia="Calibri" w:hAnsi="Calibri"/>
              </w:rPr>
              <w:t>£63,959</w:t>
            </w:r>
          </w:p>
        </w:tc>
        <w:tc>
          <w:tcPr>
            <w:tcW w:w="1418" w:type="dxa"/>
          </w:tcPr>
          <w:p w:rsidR="000751CC" w:rsidRPr="000751CC" w:rsidRDefault="000751CC" w:rsidP="00B03C23">
            <w:pPr>
              <w:rPr>
                <w:rFonts w:ascii="Calibri" w:eastAsia="Calibri" w:hAnsi="Calibri"/>
              </w:rPr>
            </w:pPr>
            <w:r w:rsidRPr="000751CC">
              <w:rPr>
                <w:rFonts w:ascii="Calibri" w:eastAsia="Calibri" w:hAnsi="Calibri"/>
              </w:rPr>
              <w:t>£64,072</w:t>
            </w:r>
          </w:p>
        </w:tc>
        <w:tc>
          <w:tcPr>
            <w:tcW w:w="1417" w:type="dxa"/>
          </w:tcPr>
          <w:p w:rsidR="000751CC" w:rsidRPr="000751CC" w:rsidRDefault="00DF5F30" w:rsidP="00B03C23">
            <w:pPr>
              <w:jc w:val="center"/>
              <w:rPr>
                <w:rFonts w:ascii="Calibri" w:eastAsia="Calibri" w:hAnsi="Calibri"/>
              </w:rPr>
            </w:pPr>
            <w:r>
              <w:rPr>
                <w:rFonts w:ascii="Calibri" w:eastAsia="Calibri" w:hAnsi="Calibri"/>
              </w:rPr>
              <w:t>2.13%</w:t>
            </w:r>
          </w:p>
        </w:tc>
      </w:tr>
      <w:tr w:rsidR="000751CC" w:rsidTr="00B03C23">
        <w:tc>
          <w:tcPr>
            <w:tcW w:w="1219" w:type="dxa"/>
          </w:tcPr>
          <w:p w:rsidR="000751CC" w:rsidRDefault="000751CC" w:rsidP="00B03C23">
            <w:pPr>
              <w:rPr>
                <w:rFonts w:ascii="Calibri" w:eastAsia="Calibri" w:hAnsi="Calibri"/>
                <w:b/>
              </w:rPr>
            </w:pPr>
            <w:r>
              <w:rPr>
                <w:rFonts w:ascii="Calibri" w:eastAsia="Calibri" w:hAnsi="Calibri"/>
                <w:b/>
              </w:rPr>
              <w:t>Total</w:t>
            </w:r>
          </w:p>
        </w:tc>
        <w:tc>
          <w:tcPr>
            <w:tcW w:w="732" w:type="dxa"/>
          </w:tcPr>
          <w:p w:rsidR="000751CC" w:rsidRPr="000751CC" w:rsidRDefault="000751CC" w:rsidP="00B03C23">
            <w:pPr>
              <w:rPr>
                <w:rFonts w:ascii="Calibri" w:eastAsia="Calibri" w:hAnsi="Calibri"/>
              </w:rPr>
            </w:pPr>
            <w:r>
              <w:rPr>
                <w:rFonts w:ascii="Calibri" w:eastAsia="Calibri" w:hAnsi="Calibri"/>
              </w:rPr>
              <w:t>26</w:t>
            </w:r>
          </w:p>
        </w:tc>
        <w:tc>
          <w:tcPr>
            <w:tcW w:w="992" w:type="dxa"/>
          </w:tcPr>
          <w:p w:rsidR="000751CC" w:rsidRPr="000751CC" w:rsidRDefault="000751CC" w:rsidP="00B03C23">
            <w:pPr>
              <w:rPr>
                <w:rFonts w:ascii="Calibri" w:eastAsia="Calibri" w:hAnsi="Calibri"/>
              </w:rPr>
            </w:pPr>
            <w:r>
              <w:rPr>
                <w:rFonts w:ascii="Calibri" w:eastAsia="Calibri" w:hAnsi="Calibri"/>
              </w:rPr>
              <w:t>250</w:t>
            </w:r>
          </w:p>
        </w:tc>
        <w:tc>
          <w:tcPr>
            <w:tcW w:w="851" w:type="dxa"/>
          </w:tcPr>
          <w:p w:rsidR="000751CC" w:rsidRPr="000751CC" w:rsidRDefault="000751CC" w:rsidP="00B03C23">
            <w:pPr>
              <w:rPr>
                <w:rFonts w:ascii="Calibri" w:eastAsia="Calibri" w:hAnsi="Calibri"/>
              </w:rPr>
            </w:pPr>
            <w:r w:rsidRPr="000751CC">
              <w:rPr>
                <w:rFonts w:ascii="Calibri" w:eastAsia="Calibri" w:hAnsi="Calibri"/>
              </w:rPr>
              <w:t>277</w:t>
            </w:r>
          </w:p>
        </w:tc>
        <w:tc>
          <w:tcPr>
            <w:tcW w:w="992" w:type="dxa"/>
          </w:tcPr>
          <w:p w:rsidR="000751CC" w:rsidRPr="000751CC" w:rsidRDefault="00DF5F30" w:rsidP="00B03C23">
            <w:pPr>
              <w:rPr>
                <w:rFonts w:ascii="Calibri" w:eastAsia="Calibri" w:hAnsi="Calibri"/>
              </w:rPr>
            </w:pPr>
            <w:r>
              <w:rPr>
                <w:rFonts w:ascii="Calibri" w:eastAsia="Calibri" w:hAnsi="Calibri"/>
              </w:rPr>
              <w:t>£77,465</w:t>
            </w:r>
          </w:p>
        </w:tc>
        <w:tc>
          <w:tcPr>
            <w:tcW w:w="992" w:type="dxa"/>
          </w:tcPr>
          <w:p w:rsidR="000751CC" w:rsidRPr="000751CC" w:rsidRDefault="00DF5F30" w:rsidP="00B03C23">
            <w:pPr>
              <w:rPr>
                <w:rFonts w:ascii="Calibri" w:eastAsia="Calibri" w:hAnsi="Calibri"/>
              </w:rPr>
            </w:pPr>
            <w:r>
              <w:rPr>
                <w:rFonts w:ascii="Calibri" w:eastAsia="Calibri" w:hAnsi="Calibri"/>
              </w:rPr>
              <w:t>£77,743</w:t>
            </w:r>
          </w:p>
        </w:tc>
        <w:tc>
          <w:tcPr>
            <w:tcW w:w="1418" w:type="dxa"/>
          </w:tcPr>
          <w:p w:rsidR="000751CC" w:rsidRPr="000751CC" w:rsidRDefault="000751CC" w:rsidP="00B03C23">
            <w:pPr>
              <w:rPr>
                <w:rFonts w:ascii="Calibri" w:eastAsia="Calibri" w:hAnsi="Calibri"/>
              </w:rPr>
            </w:pPr>
            <w:r w:rsidRPr="000751CC">
              <w:rPr>
                <w:rFonts w:ascii="Calibri" w:eastAsia="Calibri" w:hAnsi="Calibri"/>
              </w:rPr>
              <w:t>£76,561</w:t>
            </w:r>
          </w:p>
        </w:tc>
        <w:tc>
          <w:tcPr>
            <w:tcW w:w="1417" w:type="dxa"/>
          </w:tcPr>
          <w:p w:rsidR="000751CC" w:rsidRPr="000751CC" w:rsidRDefault="00DF5F30" w:rsidP="00B03C23">
            <w:pPr>
              <w:jc w:val="center"/>
              <w:rPr>
                <w:rFonts w:ascii="Calibri" w:eastAsia="Calibri" w:hAnsi="Calibri"/>
              </w:rPr>
            </w:pPr>
            <w:r>
              <w:rPr>
                <w:rFonts w:ascii="Calibri" w:eastAsia="Calibri" w:hAnsi="Calibri"/>
              </w:rPr>
              <w:t>-0.36%</w:t>
            </w:r>
          </w:p>
        </w:tc>
      </w:tr>
    </w:tbl>
    <w:p w:rsidR="00351EAB" w:rsidRPr="00DF5F30" w:rsidRDefault="00351EAB" w:rsidP="00DF5F30">
      <w:pPr>
        <w:spacing w:before="120"/>
        <w:rPr>
          <w:sz w:val="20"/>
          <w:szCs w:val="20"/>
        </w:rPr>
      </w:pPr>
      <w:r w:rsidRPr="00DF5F30">
        <w:rPr>
          <w:sz w:val="20"/>
          <w:szCs w:val="20"/>
        </w:rPr>
        <w:t>N</w:t>
      </w:r>
      <w:r w:rsidR="00DF5F30" w:rsidRPr="00DF5F30">
        <w:rPr>
          <w:sz w:val="20"/>
          <w:szCs w:val="20"/>
        </w:rPr>
        <w:t>ote:</w:t>
      </w:r>
      <w:r w:rsidRPr="00DF5F30">
        <w:rPr>
          <w:sz w:val="20"/>
          <w:szCs w:val="20"/>
        </w:rPr>
        <w:t xml:space="preserve"> Data for 8 staff paid in zones A and B is not included</w:t>
      </w:r>
      <w:r w:rsidR="00B27B49" w:rsidRPr="00DF5F30">
        <w:rPr>
          <w:sz w:val="20"/>
          <w:szCs w:val="20"/>
        </w:rPr>
        <w:t>.</w:t>
      </w:r>
      <w:r w:rsidRPr="00DF5F30">
        <w:rPr>
          <w:sz w:val="20"/>
          <w:szCs w:val="20"/>
        </w:rPr>
        <w:t xml:space="preserve">  </w:t>
      </w:r>
    </w:p>
    <w:p w:rsidR="004A71A0" w:rsidRDefault="004A71A0" w:rsidP="00091365">
      <w:pPr>
        <w:spacing w:after="120"/>
        <w:jc w:val="both"/>
        <w:rPr>
          <w:rFonts w:eastAsia="Times New Roman" w:cs="Tahoma"/>
          <w:color w:val="000000"/>
          <w:lang w:eastAsia="en-GB"/>
        </w:rPr>
      </w:pPr>
    </w:p>
    <w:p w:rsidR="00091365" w:rsidRDefault="00091365" w:rsidP="00091365">
      <w:pPr>
        <w:spacing w:after="120"/>
        <w:jc w:val="both"/>
        <w:rPr>
          <w:rFonts w:eastAsia="Times New Roman" w:cs="Tahoma"/>
          <w:color w:val="000000"/>
          <w:lang w:eastAsia="en-GB"/>
        </w:rPr>
      </w:pPr>
      <w:r>
        <w:rPr>
          <w:rFonts w:eastAsia="Times New Roman" w:cs="Tahoma"/>
          <w:color w:val="000000"/>
          <w:lang w:eastAsia="en-GB"/>
        </w:rPr>
        <w:t>The potential points of unequal treatment in the professorial payment system are:</w:t>
      </w:r>
    </w:p>
    <w:p w:rsidR="006B7A3D" w:rsidRDefault="00C718D5" w:rsidP="006601FD">
      <w:pPr>
        <w:pStyle w:val="ListParagraph"/>
        <w:numPr>
          <w:ilvl w:val="0"/>
          <w:numId w:val="44"/>
        </w:numPr>
        <w:spacing w:after="120"/>
        <w:jc w:val="both"/>
        <w:rPr>
          <w:rFonts w:eastAsia="Times New Roman" w:cs="Tahoma"/>
          <w:color w:val="000000"/>
          <w:lang w:eastAsia="en-GB"/>
        </w:rPr>
      </w:pPr>
      <w:r>
        <w:rPr>
          <w:rFonts w:eastAsia="Times New Roman" w:cs="Tahoma"/>
          <w:color w:val="000000"/>
          <w:u w:val="single"/>
          <w:lang w:eastAsia="en-GB"/>
        </w:rPr>
        <w:t xml:space="preserve">Internal and External </w:t>
      </w:r>
      <w:r w:rsidR="00091365" w:rsidRPr="00091365">
        <w:rPr>
          <w:rFonts w:eastAsia="Times New Roman" w:cs="Tahoma"/>
          <w:color w:val="000000"/>
          <w:u w:val="single"/>
          <w:lang w:eastAsia="en-GB"/>
        </w:rPr>
        <w:t>Entry points</w:t>
      </w:r>
      <w:r w:rsidR="00091365" w:rsidRPr="00091365">
        <w:rPr>
          <w:rFonts w:eastAsia="Times New Roman" w:cs="Tahoma"/>
          <w:color w:val="000000"/>
          <w:lang w:eastAsia="en-GB"/>
        </w:rPr>
        <w:t>: Internal promotions are usually to zone ‘E’. There is more discretion in the starting salaries for external appointments</w:t>
      </w:r>
      <w:r w:rsidR="00091365">
        <w:rPr>
          <w:rFonts w:eastAsia="Times New Roman" w:cs="Tahoma"/>
          <w:color w:val="000000"/>
          <w:lang w:eastAsia="en-GB"/>
        </w:rPr>
        <w:t>, and bargaining will be influenced by the current salary position of the person being recruited</w:t>
      </w:r>
      <w:r w:rsidR="00091365" w:rsidRPr="00091365">
        <w:rPr>
          <w:rFonts w:eastAsia="Times New Roman" w:cs="Tahoma"/>
          <w:color w:val="000000"/>
          <w:lang w:eastAsia="en-GB"/>
        </w:rPr>
        <w:t>.</w:t>
      </w:r>
      <w:r w:rsidR="006B7A3D">
        <w:rPr>
          <w:rFonts w:eastAsia="Times New Roman" w:cs="Tahoma"/>
          <w:color w:val="000000"/>
          <w:lang w:eastAsia="en-GB"/>
        </w:rPr>
        <w:t xml:space="preserve"> Entry points for external appointments might cleave according to whether the recruit is joining from a Russell Group or other research-intensive University where salaries are generally higher than elsewhere in the sector in the UK; and negotiating positions will also be affected if the recruit is joining from a higher-paying system outside the UK, for example North America.</w:t>
      </w:r>
    </w:p>
    <w:p w:rsidR="00C718D5" w:rsidRDefault="006B7A3D" w:rsidP="006601FD">
      <w:pPr>
        <w:pStyle w:val="ListParagraph"/>
        <w:numPr>
          <w:ilvl w:val="0"/>
          <w:numId w:val="44"/>
        </w:numPr>
        <w:spacing w:after="120"/>
        <w:jc w:val="both"/>
        <w:rPr>
          <w:rFonts w:eastAsia="Times New Roman" w:cs="Tahoma"/>
          <w:color w:val="000000"/>
          <w:lang w:eastAsia="en-GB"/>
        </w:rPr>
      </w:pPr>
      <w:r>
        <w:rPr>
          <w:rFonts w:eastAsia="Times New Roman" w:cs="Tahoma"/>
          <w:color w:val="000000"/>
          <w:u w:val="single"/>
          <w:lang w:eastAsia="en-GB"/>
        </w:rPr>
        <w:t>Progression</w:t>
      </w:r>
      <w:r w:rsidRPr="006B7A3D">
        <w:rPr>
          <w:rFonts w:eastAsia="Times New Roman" w:cs="Tahoma"/>
          <w:color w:val="000000"/>
          <w:lang w:eastAsia="en-GB"/>
        </w:rPr>
        <w:t>:</w:t>
      </w:r>
      <w:r>
        <w:rPr>
          <w:rFonts w:eastAsia="Times New Roman" w:cs="Tahoma"/>
          <w:color w:val="000000"/>
          <w:lang w:eastAsia="en-GB"/>
        </w:rPr>
        <w:t xml:space="preserve"> Decisions about incremental progression or rezoning zones D-A rest on a performance case being submitted and assessed against criteria and with some managerial </w:t>
      </w:r>
      <w:r>
        <w:rPr>
          <w:rFonts w:eastAsia="Times New Roman" w:cs="Tahoma"/>
          <w:color w:val="000000"/>
          <w:lang w:eastAsia="en-GB"/>
        </w:rPr>
        <w:lastRenderedPageBreak/>
        <w:t>discretion.</w:t>
      </w:r>
      <w:r w:rsidR="00F75C19">
        <w:rPr>
          <w:rFonts w:eastAsia="Times New Roman" w:cs="Tahoma"/>
          <w:color w:val="000000"/>
          <w:lang w:eastAsia="en-GB"/>
        </w:rPr>
        <w:t xml:space="preserve"> </w:t>
      </w:r>
      <w:r w:rsidR="00C718D5">
        <w:rPr>
          <w:rFonts w:eastAsia="Times New Roman" w:cs="Tahoma"/>
          <w:color w:val="000000"/>
          <w:lang w:eastAsia="en-GB"/>
        </w:rPr>
        <w:t>The lower representation of female professors at these higher pay zones may be for three reasons.</w:t>
      </w:r>
    </w:p>
    <w:p w:rsidR="00C718D5" w:rsidRDefault="00C718D5" w:rsidP="006601FD">
      <w:pPr>
        <w:pStyle w:val="ListParagraph"/>
        <w:numPr>
          <w:ilvl w:val="1"/>
          <w:numId w:val="44"/>
        </w:numPr>
        <w:spacing w:after="120"/>
        <w:jc w:val="both"/>
        <w:rPr>
          <w:rFonts w:eastAsia="Times New Roman" w:cs="Tahoma"/>
          <w:color w:val="000000"/>
          <w:lang w:eastAsia="en-GB"/>
        </w:rPr>
      </w:pPr>
      <w:r>
        <w:rPr>
          <w:rFonts w:eastAsia="Times New Roman" w:cs="Tahoma"/>
          <w:color w:val="000000"/>
          <w:lang w:eastAsia="en-GB"/>
        </w:rPr>
        <w:t>Women have joined the professorial ranks more recently on average, and so the lower salary reflects a more junior career stage.</w:t>
      </w:r>
      <w:r w:rsidRPr="00C718D5">
        <w:rPr>
          <w:rFonts w:eastAsia="Times New Roman" w:cs="Tahoma"/>
          <w:color w:val="000000"/>
          <w:lang w:eastAsia="en-GB"/>
        </w:rPr>
        <w:t xml:space="preserve"> </w:t>
      </w:r>
    </w:p>
    <w:p w:rsidR="00C718D5" w:rsidRDefault="00C718D5" w:rsidP="006601FD">
      <w:pPr>
        <w:pStyle w:val="ListParagraph"/>
        <w:numPr>
          <w:ilvl w:val="1"/>
          <w:numId w:val="44"/>
        </w:numPr>
        <w:spacing w:after="120"/>
        <w:jc w:val="both"/>
        <w:rPr>
          <w:rFonts w:eastAsia="Times New Roman" w:cs="Tahoma"/>
          <w:color w:val="000000"/>
          <w:lang w:eastAsia="en-GB"/>
        </w:rPr>
      </w:pPr>
      <w:r>
        <w:rPr>
          <w:rFonts w:eastAsia="Times New Roman" w:cs="Tahoma"/>
          <w:color w:val="000000"/>
          <w:lang w:eastAsia="en-GB"/>
        </w:rPr>
        <w:t>W</w:t>
      </w:r>
      <w:r w:rsidRPr="00F75C19">
        <w:rPr>
          <w:rFonts w:eastAsia="Times New Roman" w:cs="Tahoma"/>
          <w:color w:val="000000"/>
          <w:lang w:eastAsia="en-GB"/>
        </w:rPr>
        <w:t>omen and men join the professorial ranks on different starting salaries</w:t>
      </w:r>
      <w:r>
        <w:rPr>
          <w:rFonts w:eastAsia="Times New Roman" w:cs="Tahoma"/>
          <w:color w:val="000000"/>
          <w:lang w:eastAsia="en-GB"/>
        </w:rPr>
        <w:t xml:space="preserve"> which do not necessarily reflect differences in career stage or the strength of their c.v. (see entry points above)</w:t>
      </w:r>
      <w:r w:rsidRPr="00F75C19">
        <w:rPr>
          <w:rFonts w:eastAsia="Times New Roman" w:cs="Tahoma"/>
          <w:color w:val="000000"/>
          <w:lang w:eastAsia="en-GB"/>
        </w:rPr>
        <w:t xml:space="preserve"> </w:t>
      </w:r>
    </w:p>
    <w:p w:rsidR="006B7A3D" w:rsidRPr="00C718D5" w:rsidRDefault="00F75C19" w:rsidP="006601FD">
      <w:pPr>
        <w:pStyle w:val="ListParagraph"/>
        <w:numPr>
          <w:ilvl w:val="1"/>
          <w:numId w:val="44"/>
        </w:numPr>
        <w:spacing w:after="120"/>
        <w:jc w:val="both"/>
        <w:rPr>
          <w:rFonts w:eastAsia="Times New Roman" w:cs="Tahoma"/>
          <w:color w:val="000000"/>
          <w:lang w:eastAsia="en-GB"/>
        </w:rPr>
      </w:pPr>
      <w:r w:rsidRPr="00C718D5">
        <w:rPr>
          <w:rFonts w:eastAsia="Times New Roman" w:cs="Tahoma"/>
          <w:color w:val="000000"/>
          <w:lang w:eastAsia="en-GB"/>
        </w:rPr>
        <w:t>Women may progress more slowly if they make fewer or more modest applications, of if their applications are less successful.</w:t>
      </w:r>
    </w:p>
    <w:p w:rsidR="006B7A3D" w:rsidRDefault="006B7A3D" w:rsidP="006601FD">
      <w:pPr>
        <w:pStyle w:val="ListParagraph"/>
        <w:numPr>
          <w:ilvl w:val="0"/>
          <w:numId w:val="44"/>
        </w:numPr>
        <w:spacing w:after="120"/>
        <w:jc w:val="both"/>
        <w:rPr>
          <w:rFonts w:eastAsia="Times New Roman" w:cs="Tahoma"/>
          <w:color w:val="000000"/>
          <w:lang w:eastAsia="en-GB"/>
        </w:rPr>
      </w:pPr>
      <w:r>
        <w:rPr>
          <w:rFonts w:eastAsia="Times New Roman" w:cs="Tahoma"/>
          <w:color w:val="000000"/>
          <w:u w:val="single"/>
          <w:lang w:eastAsia="en-GB"/>
        </w:rPr>
        <w:t xml:space="preserve">Segregation: </w:t>
      </w:r>
      <w:r w:rsidRPr="006B7A3D">
        <w:rPr>
          <w:rFonts w:eastAsia="Times New Roman" w:cs="Tahoma"/>
          <w:color w:val="000000"/>
          <w:lang w:eastAsia="en-GB"/>
        </w:rPr>
        <w:t>Pay norms may vary across Faculties</w:t>
      </w:r>
      <w:r>
        <w:rPr>
          <w:rFonts w:eastAsia="Times New Roman" w:cs="Tahoma"/>
          <w:color w:val="000000"/>
          <w:lang w:eastAsia="en-GB"/>
        </w:rPr>
        <w:t xml:space="preserve"> (which may or may not be attributed to actual market conditions</w:t>
      </w:r>
      <w:r w:rsidR="00F75C19">
        <w:rPr>
          <w:rFonts w:eastAsia="Times New Roman" w:cs="Tahoma"/>
          <w:color w:val="000000"/>
          <w:lang w:eastAsia="en-GB"/>
        </w:rPr>
        <w:t xml:space="preserve"> or reflected formally in market supplements</w:t>
      </w:r>
      <w:r>
        <w:rPr>
          <w:rFonts w:eastAsia="Times New Roman" w:cs="Tahoma"/>
          <w:color w:val="000000"/>
          <w:lang w:eastAsia="en-GB"/>
        </w:rPr>
        <w:t>). If women or BME professors are concentrated in the lower paid disciplines/Schools then this will contribute to a pay gap across the overall professoriate</w:t>
      </w:r>
      <w:r w:rsidR="00F75C19">
        <w:rPr>
          <w:rFonts w:eastAsia="Times New Roman" w:cs="Tahoma"/>
          <w:color w:val="000000"/>
          <w:lang w:eastAsia="en-GB"/>
        </w:rPr>
        <w:t>.</w:t>
      </w:r>
    </w:p>
    <w:p w:rsidR="00F75C19" w:rsidRPr="006B7A3D" w:rsidRDefault="00F75C19" w:rsidP="006601FD">
      <w:pPr>
        <w:pStyle w:val="ListParagraph"/>
        <w:numPr>
          <w:ilvl w:val="0"/>
          <w:numId w:val="44"/>
        </w:numPr>
        <w:spacing w:after="120"/>
        <w:jc w:val="both"/>
        <w:rPr>
          <w:rFonts w:eastAsia="Times New Roman" w:cs="Tahoma"/>
          <w:color w:val="000000"/>
          <w:lang w:eastAsia="en-GB"/>
        </w:rPr>
      </w:pPr>
      <w:r>
        <w:rPr>
          <w:rFonts w:eastAsia="Times New Roman" w:cs="Tahoma"/>
          <w:color w:val="000000"/>
          <w:u w:val="single"/>
          <w:lang w:eastAsia="en-GB"/>
        </w:rPr>
        <w:t xml:space="preserve">Market supplements: </w:t>
      </w:r>
      <w:r w:rsidRPr="00F75C19">
        <w:rPr>
          <w:rFonts w:eastAsia="Times New Roman" w:cs="Tahoma"/>
          <w:color w:val="000000"/>
          <w:lang w:eastAsia="en-GB"/>
        </w:rPr>
        <w:t xml:space="preserve">Market supplements are paid in some discipline areas where external market conditions make it difficult to recruit. This occurs </w:t>
      </w:r>
      <w:r>
        <w:rPr>
          <w:rFonts w:eastAsia="Times New Roman" w:cs="Tahoma"/>
          <w:color w:val="000000"/>
          <w:lang w:eastAsia="en-GB"/>
        </w:rPr>
        <w:t xml:space="preserve">for some appointments </w:t>
      </w:r>
      <w:r w:rsidRPr="00F75C19">
        <w:rPr>
          <w:rFonts w:eastAsia="Times New Roman" w:cs="Tahoma"/>
          <w:color w:val="000000"/>
          <w:lang w:eastAsia="en-GB"/>
        </w:rPr>
        <w:t>in some business, law and economics specialisms</w:t>
      </w:r>
      <w:r>
        <w:rPr>
          <w:rFonts w:eastAsia="Times New Roman" w:cs="Tahoma"/>
          <w:color w:val="000000"/>
          <w:lang w:eastAsia="en-GB"/>
        </w:rPr>
        <w:t>; it is less common in other disciplines. Beyond the Faculty the clinical and non-clinical distinctions is particularly salient.</w:t>
      </w:r>
    </w:p>
    <w:p w:rsidR="000726D6" w:rsidRDefault="000726D6" w:rsidP="000726D6">
      <w:pPr>
        <w:spacing w:after="0"/>
        <w:rPr>
          <w:rFonts w:eastAsia="Times New Roman" w:cs="Tahoma"/>
          <w:b/>
          <w:color w:val="000000"/>
          <w:sz w:val="24"/>
          <w:szCs w:val="24"/>
          <w:lang w:eastAsia="en-GB"/>
        </w:rPr>
      </w:pPr>
    </w:p>
    <w:p w:rsidR="000726D6" w:rsidRPr="002B0182" w:rsidRDefault="000726D6" w:rsidP="00252D3E">
      <w:pPr>
        <w:spacing w:after="120"/>
        <w:rPr>
          <w:rFonts w:eastAsia="Times New Roman" w:cs="Tahoma"/>
          <w:b/>
          <w:color w:val="000000"/>
          <w:sz w:val="24"/>
          <w:szCs w:val="24"/>
          <w:lang w:eastAsia="en-GB"/>
        </w:rPr>
      </w:pPr>
      <w:r>
        <w:rPr>
          <w:rFonts w:eastAsia="Times New Roman" w:cs="Tahoma"/>
          <w:b/>
          <w:color w:val="000000"/>
          <w:sz w:val="24"/>
          <w:szCs w:val="24"/>
          <w:lang w:eastAsia="en-GB"/>
        </w:rPr>
        <w:t>3.</w:t>
      </w:r>
      <w:r w:rsidR="00EB6826">
        <w:rPr>
          <w:rFonts w:eastAsia="Times New Roman" w:cs="Tahoma"/>
          <w:b/>
          <w:color w:val="000000"/>
          <w:sz w:val="24"/>
          <w:szCs w:val="24"/>
          <w:lang w:eastAsia="en-GB"/>
        </w:rPr>
        <w:t>5</w:t>
      </w:r>
      <w:r>
        <w:rPr>
          <w:rFonts w:eastAsia="Times New Roman" w:cs="Tahoma"/>
          <w:b/>
          <w:color w:val="000000"/>
          <w:sz w:val="24"/>
          <w:szCs w:val="24"/>
          <w:lang w:eastAsia="en-GB"/>
        </w:rPr>
        <w:t xml:space="preserve"> R</w:t>
      </w:r>
      <w:r w:rsidRPr="002B0182">
        <w:rPr>
          <w:rFonts w:eastAsia="Times New Roman" w:cs="Tahoma"/>
          <w:b/>
          <w:color w:val="000000"/>
          <w:sz w:val="24"/>
          <w:szCs w:val="24"/>
          <w:lang w:eastAsia="en-GB"/>
        </w:rPr>
        <w:t>ecruitment and promotion data</w:t>
      </w:r>
    </w:p>
    <w:p w:rsidR="00980C91" w:rsidRPr="00351EAB" w:rsidRDefault="00980C91" w:rsidP="00980C91">
      <w:pPr>
        <w:spacing w:after="120"/>
        <w:jc w:val="both"/>
        <w:rPr>
          <w:rFonts w:eastAsia="Times New Roman" w:cs="Tahoma"/>
          <w:color w:val="000000"/>
          <w:lang w:eastAsia="en-GB"/>
        </w:rPr>
      </w:pPr>
      <w:r w:rsidRPr="00351EAB">
        <w:rPr>
          <w:rFonts w:eastAsia="Times New Roman" w:cs="Tahoma"/>
          <w:color w:val="000000"/>
          <w:lang w:eastAsia="en-GB"/>
        </w:rPr>
        <w:t>Fine grained recruitment data is needed to understand where and how underrepresented groups are failing in the process (i.e. are they attracted to apply, do they fail to get shortlisted or do they fail once interviewed?).</w:t>
      </w:r>
    </w:p>
    <w:p w:rsidR="00252D3E" w:rsidRPr="00252D3E" w:rsidRDefault="00252D3E" w:rsidP="00980C91">
      <w:pPr>
        <w:spacing w:after="0"/>
        <w:jc w:val="both"/>
        <w:rPr>
          <w:rFonts w:eastAsia="Times New Roman" w:cs="Tahoma"/>
          <w:color w:val="000000"/>
          <w:lang w:eastAsia="en-GB"/>
        </w:rPr>
      </w:pPr>
      <w:r w:rsidRPr="00252D3E">
        <w:rPr>
          <w:rFonts w:eastAsia="Times New Roman" w:cs="Tahoma"/>
          <w:color w:val="000000"/>
          <w:lang w:eastAsia="en-GB"/>
        </w:rPr>
        <w:t>The academic staff recruitment data for the Faculty for the period January 1 to December 31 2013 are presented in appendix 3.</w:t>
      </w:r>
      <w:r>
        <w:rPr>
          <w:rFonts w:eastAsia="Times New Roman" w:cs="Tahoma"/>
          <w:color w:val="000000"/>
          <w:lang w:eastAsia="en-GB"/>
        </w:rPr>
        <w:t xml:space="preserve"> This new analysis reveals important insights about progression from application to appointment, summarised below.</w:t>
      </w:r>
    </w:p>
    <w:p w:rsidR="000726D6" w:rsidRPr="00252D3E" w:rsidRDefault="000726D6" w:rsidP="000726D6">
      <w:pPr>
        <w:spacing w:after="0"/>
        <w:rPr>
          <w:rFonts w:eastAsia="Times New Roman" w:cs="Tahoma"/>
          <w:color w:val="000000"/>
          <w:lang w:eastAsia="en-GB"/>
        </w:rPr>
      </w:pPr>
    </w:p>
    <w:p w:rsidR="000726D6" w:rsidRPr="00252D3E" w:rsidRDefault="00F84414" w:rsidP="000726D6">
      <w:pPr>
        <w:ind w:left="33"/>
        <w:contextualSpacing/>
        <w:rPr>
          <w:b/>
          <w:i/>
        </w:rPr>
      </w:pPr>
      <w:r>
        <w:rPr>
          <w:b/>
          <w:i/>
        </w:rPr>
        <w:t>Recruitment to a</w:t>
      </w:r>
      <w:r w:rsidR="00DB2ED5">
        <w:rPr>
          <w:b/>
          <w:i/>
        </w:rPr>
        <w:t>cademic positions</w:t>
      </w:r>
    </w:p>
    <w:p w:rsidR="000726D6" w:rsidRPr="00B93FDA" w:rsidRDefault="000726D6" w:rsidP="006601FD">
      <w:pPr>
        <w:numPr>
          <w:ilvl w:val="0"/>
          <w:numId w:val="23"/>
        </w:numPr>
        <w:tabs>
          <w:tab w:val="left" w:pos="426"/>
        </w:tabs>
        <w:contextualSpacing/>
      </w:pPr>
      <w:r w:rsidRPr="00B93FDA">
        <w:t xml:space="preserve">Women </w:t>
      </w:r>
      <w:r>
        <w:t xml:space="preserve">are still less likely to apply for academic positions: they </w:t>
      </w:r>
      <w:r w:rsidRPr="00B93FDA">
        <w:t>formed 41 per cent of applicants at Lecturer level</w:t>
      </w:r>
      <w:r w:rsidR="00DB2ED5">
        <w:t xml:space="preserve"> and </w:t>
      </w:r>
      <w:r w:rsidRPr="00B93FDA">
        <w:t>34 per cent at SL level</w:t>
      </w:r>
      <w:r w:rsidR="006E2934">
        <w:t>.</w:t>
      </w:r>
    </w:p>
    <w:p w:rsidR="000726D6" w:rsidRPr="00B93FDA" w:rsidRDefault="000726D6" w:rsidP="006601FD">
      <w:pPr>
        <w:numPr>
          <w:ilvl w:val="0"/>
          <w:numId w:val="23"/>
        </w:numPr>
        <w:tabs>
          <w:tab w:val="left" w:pos="426"/>
        </w:tabs>
        <w:contextualSpacing/>
        <w:jc w:val="both"/>
      </w:pPr>
      <w:r w:rsidRPr="00B27B49">
        <w:t xml:space="preserve">However, of those who do apply a </w:t>
      </w:r>
      <w:r w:rsidRPr="00B93FDA">
        <w:t xml:space="preserve">similar percentage of men and women were shortlisted </w:t>
      </w:r>
      <w:r>
        <w:t xml:space="preserve">for interview </w:t>
      </w:r>
      <w:r w:rsidR="006E2934">
        <w:t>at Lecturer and SL level.</w:t>
      </w:r>
    </w:p>
    <w:p w:rsidR="000726D6" w:rsidRDefault="000726D6" w:rsidP="006601FD">
      <w:pPr>
        <w:numPr>
          <w:ilvl w:val="0"/>
          <w:numId w:val="23"/>
        </w:numPr>
        <w:tabs>
          <w:tab w:val="left" w:pos="426"/>
        </w:tabs>
        <w:contextualSpacing/>
        <w:jc w:val="both"/>
      </w:pPr>
      <w:r>
        <w:t>Furthermore, a</w:t>
      </w:r>
      <w:r w:rsidRPr="00B93FDA">
        <w:t xml:space="preserve"> </w:t>
      </w:r>
      <w:r w:rsidR="006E2934">
        <w:t xml:space="preserve">broadly </w:t>
      </w:r>
      <w:r w:rsidRPr="00B93FDA">
        <w:t>similar proportion of men and women were successful at the interview stage for Lecturers</w:t>
      </w:r>
      <w:r w:rsidR="006E2934">
        <w:t xml:space="preserve"> (22% of women and 29% of men)</w:t>
      </w:r>
      <w:r>
        <w:t>.</w:t>
      </w:r>
      <w:r w:rsidRPr="00B93FDA">
        <w:t xml:space="preserve"> </w:t>
      </w:r>
      <w:r>
        <w:t xml:space="preserve">Of those interviewed for an SL appointment the success rate </w:t>
      </w:r>
      <w:r w:rsidRPr="00B93FDA">
        <w:t>was twice as high</w:t>
      </w:r>
      <w:r>
        <w:t xml:space="preserve"> for women as for men</w:t>
      </w:r>
      <w:r w:rsidR="00E3644F">
        <w:t>.</w:t>
      </w:r>
    </w:p>
    <w:p w:rsidR="000726D6" w:rsidRPr="00B93FDA" w:rsidRDefault="000726D6" w:rsidP="006601FD">
      <w:pPr>
        <w:numPr>
          <w:ilvl w:val="0"/>
          <w:numId w:val="23"/>
        </w:numPr>
        <w:tabs>
          <w:tab w:val="left" w:pos="426"/>
        </w:tabs>
        <w:contextualSpacing/>
        <w:jc w:val="both"/>
      </w:pPr>
      <w:r w:rsidRPr="00B93FDA">
        <w:t>There is no problem attracting BME candidates to apply for academic posts at any level with the figure representing 31 per cent of the total;</w:t>
      </w:r>
    </w:p>
    <w:p w:rsidR="000726D6" w:rsidRPr="00B93FDA" w:rsidRDefault="000726D6" w:rsidP="006601FD">
      <w:pPr>
        <w:numPr>
          <w:ilvl w:val="0"/>
          <w:numId w:val="23"/>
        </w:numPr>
        <w:tabs>
          <w:tab w:val="left" w:pos="426"/>
        </w:tabs>
        <w:contextualSpacing/>
        <w:jc w:val="both"/>
      </w:pPr>
      <w:r>
        <w:t xml:space="preserve">However, while </w:t>
      </w:r>
      <w:r w:rsidRPr="00B93FDA">
        <w:t xml:space="preserve">14 per cent of white candidates </w:t>
      </w:r>
      <w:r>
        <w:t xml:space="preserve">were </w:t>
      </w:r>
      <w:r w:rsidRPr="00B93FDA">
        <w:t>shortlisted</w:t>
      </w:r>
      <w:r>
        <w:t xml:space="preserve"> the rate was lower for </w:t>
      </w:r>
      <w:r w:rsidRPr="00B93FDA">
        <w:t>BME candidates</w:t>
      </w:r>
      <w:r>
        <w:t xml:space="preserve"> at 10 per cent</w:t>
      </w:r>
      <w:r w:rsidRPr="00B93FDA">
        <w:t>;</w:t>
      </w:r>
    </w:p>
    <w:p w:rsidR="000726D6" w:rsidRPr="00B27B49" w:rsidRDefault="000726D6" w:rsidP="006601FD">
      <w:pPr>
        <w:numPr>
          <w:ilvl w:val="0"/>
          <w:numId w:val="23"/>
        </w:numPr>
        <w:tabs>
          <w:tab w:val="left" w:pos="426"/>
        </w:tabs>
        <w:contextualSpacing/>
        <w:jc w:val="both"/>
      </w:pPr>
      <w:r>
        <w:t>Of those called for interview, s</w:t>
      </w:r>
      <w:r w:rsidRPr="00B93FDA">
        <w:t xml:space="preserve">uccess rates at interview for White and BME </w:t>
      </w:r>
      <w:r>
        <w:t xml:space="preserve">candidates </w:t>
      </w:r>
      <w:r w:rsidRPr="00B93FDA">
        <w:t>are 24 and 22 per cent respectively;</w:t>
      </w:r>
      <w:r w:rsidRPr="00B27B49">
        <w:t xml:space="preserve"> a slightly smaller difference than in the probability of being shortlisted</w:t>
      </w:r>
      <w:r w:rsidR="006E2934">
        <w:t>.</w:t>
      </w:r>
    </w:p>
    <w:p w:rsidR="000726D6" w:rsidRPr="00B93FDA" w:rsidRDefault="000726D6" w:rsidP="006601FD">
      <w:pPr>
        <w:numPr>
          <w:ilvl w:val="0"/>
          <w:numId w:val="23"/>
        </w:numPr>
        <w:tabs>
          <w:tab w:val="left" w:pos="426"/>
        </w:tabs>
        <w:contextualSpacing/>
      </w:pPr>
      <w:r w:rsidRPr="00B93FDA">
        <w:t>Overall</w:t>
      </w:r>
      <w:r>
        <w:t>,</w:t>
      </w:r>
      <w:r w:rsidRPr="00B93FDA">
        <w:t xml:space="preserve"> 22 per cent of appointments were BME</w:t>
      </w:r>
      <w:r w:rsidR="006E2934">
        <w:t>.</w:t>
      </w:r>
    </w:p>
    <w:p w:rsidR="000726D6" w:rsidRPr="00B93FDA" w:rsidRDefault="000726D6" w:rsidP="006601FD">
      <w:pPr>
        <w:numPr>
          <w:ilvl w:val="0"/>
          <w:numId w:val="23"/>
        </w:numPr>
        <w:tabs>
          <w:tab w:val="left" w:pos="426"/>
        </w:tabs>
        <w:contextualSpacing/>
      </w:pPr>
      <w:r w:rsidRPr="00B93FDA">
        <w:lastRenderedPageBreak/>
        <w:t>Figures suggest that there is no problem with the BME pipeline</w:t>
      </w:r>
      <w:r w:rsidR="006E2934">
        <w:t xml:space="preserve"> in terms of volume of applicants</w:t>
      </w:r>
      <w:r w:rsidRPr="00B93FDA">
        <w:t xml:space="preserve">, </w:t>
      </w:r>
      <w:r w:rsidR="006E2934">
        <w:t xml:space="preserve">but </w:t>
      </w:r>
      <w:r w:rsidRPr="00B93FDA">
        <w:t>there is a possi</w:t>
      </w:r>
      <w:r w:rsidR="006E2934">
        <w:t>ble issue at shortlisting stage.</w:t>
      </w:r>
    </w:p>
    <w:p w:rsidR="000726D6" w:rsidRDefault="000726D6" w:rsidP="006601FD">
      <w:pPr>
        <w:numPr>
          <w:ilvl w:val="0"/>
          <w:numId w:val="23"/>
        </w:numPr>
        <w:tabs>
          <w:tab w:val="left" w:pos="426"/>
        </w:tabs>
        <w:contextualSpacing/>
        <w:jc w:val="both"/>
      </w:pPr>
      <w:r w:rsidRPr="00B93FDA">
        <w:t xml:space="preserve">The data sample is too small to come to a </w:t>
      </w:r>
      <w:r w:rsidR="00E3644F">
        <w:t xml:space="preserve">reliable </w:t>
      </w:r>
      <w:r w:rsidRPr="00B93FDA">
        <w:t xml:space="preserve">conclusion on </w:t>
      </w:r>
      <w:r w:rsidR="00E3644F">
        <w:t xml:space="preserve">shortlisting or </w:t>
      </w:r>
      <w:r>
        <w:t xml:space="preserve">success rates </w:t>
      </w:r>
      <w:r w:rsidRPr="00B93FDA">
        <w:t>at Chair level.</w:t>
      </w:r>
      <w:r w:rsidR="00E3644F">
        <w:t xml:space="preserve"> Of the 51 applications 16% came from women and 39% from BME candidates</w:t>
      </w:r>
      <w:r w:rsidR="00DB2ED5">
        <w:t xml:space="preserve">. </w:t>
      </w:r>
    </w:p>
    <w:p w:rsidR="00DB2ED5" w:rsidRPr="00B93FDA" w:rsidRDefault="00DB2ED5" w:rsidP="00DB2ED5">
      <w:pPr>
        <w:tabs>
          <w:tab w:val="left" w:pos="426"/>
        </w:tabs>
        <w:ind w:left="393"/>
        <w:contextualSpacing/>
        <w:jc w:val="both"/>
      </w:pPr>
    </w:p>
    <w:p w:rsidR="00252D3E" w:rsidRPr="00DB2ED5" w:rsidRDefault="00F84414" w:rsidP="000726D6">
      <w:pPr>
        <w:ind w:left="33"/>
        <w:contextualSpacing/>
        <w:rPr>
          <w:b/>
          <w:i/>
        </w:rPr>
      </w:pPr>
      <w:r>
        <w:rPr>
          <w:b/>
          <w:i/>
        </w:rPr>
        <w:t xml:space="preserve">Recruitment of </w:t>
      </w:r>
      <w:r w:rsidR="00252D3E" w:rsidRPr="00DB2ED5">
        <w:rPr>
          <w:b/>
          <w:i/>
        </w:rPr>
        <w:t>Language Tutors</w:t>
      </w:r>
    </w:p>
    <w:p w:rsidR="00252D3E" w:rsidRDefault="00252D3E" w:rsidP="006601FD">
      <w:pPr>
        <w:numPr>
          <w:ilvl w:val="0"/>
          <w:numId w:val="23"/>
        </w:numPr>
        <w:tabs>
          <w:tab w:val="left" w:pos="426"/>
        </w:tabs>
        <w:contextualSpacing/>
        <w:jc w:val="both"/>
      </w:pPr>
      <w:r>
        <w:t>Women accounted for 74% of language tutor applicants. Of those who applied a similar proportion of men and women were shortlisted (8-9%)</w:t>
      </w:r>
      <w:r w:rsidR="006E2934">
        <w:t xml:space="preserve"> but of the shortlisted men and women, the men more successful at securing a position (67% of the shortlisted men compared to 25% of the shortlisted women). </w:t>
      </w:r>
    </w:p>
    <w:p w:rsidR="006E2934" w:rsidRDefault="006E2934" w:rsidP="006601FD">
      <w:pPr>
        <w:numPr>
          <w:ilvl w:val="0"/>
          <w:numId w:val="23"/>
        </w:numPr>
        <w:tabs>
          <w:tab w:val="left" w:pos="426"/>
        </w:tabs>
        <w:contextualSpacing/>
        <w:jc w:val="both"/>
      </w:pPr>
      <w:r>
        <w:t>BME men and women accounted for 86% of language tutor applicants, of which 6% were shortlisted compared to 20% of White applicants. The shortlisted BME applicants were slightly less successful at securing a position (29% compared to 33% of shortlisted white applicants).</w:t>
      </w:r>
    </w:p>
    <w:p w:rsidR="00252D3E" w:rsidRDefault="00252D3E" w:rsidP="00DB2ED5">
      <w:pPr>
        <w:contextualSpacing/>
        <w:rPr>
          <w:i/>
        </w:rPr>
      </w:pPr>
    </w:p>
    <w:p w:rsidR="000726D6" w:rsidRPr="00DB2ED5" w:rsidRDefault="00F84414" w:rsidP="00DB2ED5">
      <w:pPr>
        <w:contextualSpacing/>
        <w:rPr>
          <w:b/>
          <w:i/>
        </w:rPr>
      </w:pPr>
      <w:r>
        <w:rPr>
          <w:b/>
          <w:i/>
        </w:rPr>
        <w:t xml:space="preserve">Recruitment of </w:t>
      </w:r>
      <w:r w:rsidR="000726D6" w:rsidRPr="00DB2ED5">
        <w:rPr>
          <w:b/>
          <w:i/>
        </w:rPr>
        <w:t>Research staff</w:t>
      </w:r>
    </w:p>
    <w:p w:rsidR="000726D6" w:rsidRPr="00B93FDA" w:rsidRDefault="00DB2ED5" w:rsidP="006601FD">
      <w:pPr>
        <w:numPr>
          <w:ilvl w:val="0"/>
          <w:numId w:val="24"/>
        </w:numPr>
        <w:tabs>
          <w:tab w:val="left" w:pos="426"/>
        </w:tabs>
        <w:contextualSpacing/>
      </w:pPr>
      <w:r>
        <w:t>S</w:t>
      </w:r>
      <w:r w:rsidR="000726D6">
        <w:t>imil</w:t>
      </w:r>
      <w:r>
        <w:t xml:space="preserve">ar proportions of men and women apply and </w:t>
      </w:r>
      <w:r w:rsidR="006F7668">
        <w:t>are shortlisted</w:t>
      </w:r>
      <w:r w:rsidR="000726D6">
        <w:t xml:space="preserve"> but </w:t>
      </w:r>
      <w:r w:rsidR="000726D6" w:rsidRPr="00B93FDA">
        <w:t>men are mor</w:t>
      </w:r>
      <w:r>
        <w:t>e successful at interview stage.</w:t>
      </w:r>
      <w:r w:rsidR="006F7668">
        <w:t xml:space="preserve">  Within this aggregate picture there is no gender gap in success rates at the entry grades 5 and 6.</w:t>
      </w:r>
    </w:p>
    <w:p w:rsidR="000726D6" w:rsidRDefault="000726D6" w:rsidP="006601FD">
      <w:pPr>
        <w:numPr>
          <w:ilvl w:val="0"/>
          <w:numId w:val="24"/>
        </w:numPr>
        <w:tabs>
          <w:tab w:val="left" w:pos="426"/>
        </w:tabs>
        <w:contextualSpacing/>
      </w:pPr>
      <w:r w:rsidRPr="00B93FDA">
        <w:t xml:space="preserve">The BME applicant pipeline is fine </w:t>
      </w:r>
      <w:r>
        <w:t xml:space="preserve">accounting for </w:t>
      </w:r>
      <w:r w:rsidRPr="00B93FDA">
        <w:t>27 per cent of applicants, but BME candidates are much less likely to be shortlisted and appointed at interview stage than white candidates.</w:t>
      </w:r>
    </w:p>
    <w:p w:rsidR="000726D6" w:rsidRPr="00B93FDA" w:rsidRDefault="000726D6" w:rsidP="000726D6">
      <w:pPr>
        <w:tabs>
          <w:tab w:val="left" w:pos="426"/>
        </w:tabs>
        <w:ind w:left="393"/>
        <w:contextualSpacing/>
      </w:pPr>
    </w:p>
    <w:p w:rsidR="000726D6" w:rsidRPr="006F7668" w:rsidRDefault="00F84414" w:rsidP="000726D6">
      <w:pPr>
        <w:ind w:left="33"/>
        <w:contextualSpacing/>
        <w:rPr>
          <w:b/>
          <w:i/>
        </w:rPr>
      </w:pPr>
      <w:r>
        <w:rPr>
          <w:b/>
          <w:i/>
        </w:rPr>
        <w:t xml:space="preserve">Recruitment of </w:t>
      </w:r>
      <w:r w:rsidR="000726D6" w:rsidRPr="006F7668">
        <w:rPr>
          <w:b/>
          <w:i/>
        </w:rPr>
        <w:t>PSS staff</w:t>
      </w:r>
    </w:p>
    <w:p w:rsidR="000726D6" w:rsidRPr="00BC67B8" w:rsidRDefault="000726D6" w:rsidP="006601FD">
      <w:pPr>
        <w:numPr>
          <w:ilvl w:val="0"/>
          <w:numId w:val="25"/>
        </w:numPr>
        <w:tabs>
          <w:tab w:val="left" w:pos="426"/>
        </w:tabs>
        <w:spacing w:after="0"/>
        <w:contextualSpacing/>
        <w:jc w:val="both"/>
        <w:rPr>
          <w:rFonts w:eastAsia="Times New Roman" w:cs="Tahoma"/>
          <w:b/>
          <w:i/>
          <w:color w:val="000000"/>
          <w:lang w:eastAsia="en-GB"/>
        </w:rPr>
      </w:pPr>
      <w:r w:rsidRPr="00B93FDA">
        <w:t xml:space="preserve">Men form only 32 per cent of </w:t>
      </w:r>
      <w:r w:rsidR="006F7668">
        <w:t xml:space="preserve">the </w:t>
      </w:r>
      <w:r w:rsidRPr="00B93FDA">
        <w:t>applicant pool, but perform as well as women at sh</w:t>
      </w:r>
      <w:r w:rsidR="006F7668">
        <w:t>ortlisting and interview stages overall. They are less likely to be successful at interview for grade 5 and 6 positions but have a higher success rate than women at interview stage for grade</w:t>
      </w:r>
      <w:r w:rsidR="00F84414">
        <w:t xml:space="preserve"> 7 and 8 positions.</w:t>
      </w:r>
    </w:p>
    <w:p w:rsidR="00F84414" w:rsidRPr="00B93FDA" w:rsidRDefault="00F84414" w:rsidP="006601FD">
      <w:pPr>
        <w:numPr>
          <w:ilvl w:val="0"/>
          <w:numId w:val="25"/>
        </w:numPr>
        <w:tabs>
          <w:tab w:val="left" w:pos="426"/>
        </w:tabs>
        <w:contextualSpacing/>
      </w:pPr>
      <w:r w:rsidRPr="00B93FDA">
        <w:t xml:space="preserve">17 per cent of applicants are BME, so </w:t>
      </w:r>
      <w:r>
        <w:t xml:space="preserve">there is </w:t>
      </w:r>
      <w:r w:rsidRPr="00B93FDA">
        <w:t xml:space="preserve">no problem with </w:t>
      </w:r>
      <w:r>
        <w:t>the pipeline.</w:t>
      </w:r>
    </w:p>
    <w:p w:rsidR="00F84414" w:rsidRPr="00BC67B8" w:rsidRDefault="00F84414" w:rsidP="006601FD">
      <w:pPr>
        <w:numPr>
          <w:ilvl w:val="0"/>
          <w:numId w:val="25"/>
        </w:numPr>
        <w:tabs>
          <w:tab w:val="left" w:pos="426"/>
        </w:tabs>
        <w:spacing w:after="0"/>
        <w:contextualSpacing/>
        <w:jc w:val="both"/>
        <w:rPr>
          <w:rFonts w:eastAsia="Times New Roman" w:cs="Tahoma"/>
          <w:b/>
          <w:i/>
          <w:color w:val="000000"/>
          <w:lang w:eastAsia="en-GB"/>
        </w:rPr>
      </w:pPr>
      <w:r w:rsidRPr="00B93FDA">
        <w:t>BME applicants are less likely to be shortlisted than white candidates</w:t>
      </w:r>
      <w:r>
        <w:t xml:space="preserve"> at grade 5 and above and overall are</w:t>
      </w:r>
      <w:r w:rsidRPr="00B93FDA">
        <w:t xml:space="preserve"> half as likely to be appointed at interview stage, so this needs further investigation</w:t>
      </w:r>
      <w:r>
        <w:t>.</w:t>
      </w:r>
    </w:p>
    <w:p w:rsidR="000726D6" w:rsidRDefault="000726D6" w:rsidP="000726D6">
      <w:pPr>
        <w:spacing w:after="0"/>
        <w:rPr>
          <w:rFonts w:eastAsia="Times New Roman" w:cs="Tahoma"/>
          <w:b/>
          <w:i/>
          <w:color w:val="000000"/>
          <w:lang w:eastAsia="en-GB"/>
        </w:rPr>
      </w:pPr>
    </w:p>
    <w:p w:rsidR="000726D6" w:rsidRPr="00351EAB" w:rsidRDefault="000726D6" w:rsidP="000726D6">
      <w:pPr>
        <w:spacing w:after="0"/>
        <w:rPr>
          <w:rFonts w:eastAsia="Times New Roman" w:cs="Tahoma"/>
          <w:b/>
          <w:i/>
          <w:color w:val="000000"/>
          <w:lang w:eastAsia="en-GB"/>
        </w:rPr>
      </w:pPr>
      <w:r w:rsidRPr="00351EAB">
        <w:rPr>
          <w:rFonts w:eastAsia="Times New Roman" w:cs="Tahoma"/>
          <w:b/>
          <w:i/>
          <w:color w:val="000000"/>
          <w:lang w:eastAsia="en-GB"/>
        </w:rPr>
        <w:t xml:space="preserve">Academic promotions </w:t>
      </w:r>
    </w:p>
    <w:p w:rsidR="000726D6" w:rsidRDefault="000726D6" w:rsidP="0072780E">
      <w:pPr>
        <w:spacing w:after="120"/>
        <w:rPr>
          <w:rFonts w:eastAsia="Times New Roman" w:cs="Tahoma"/>
          <w:color w:val="000000"/>
          <w:lang w:eastAsia="en-GB"/>
        </w:rPr>
      </w:pPr>
      <w:r>
        <w:rPr>
          <w:rFonts w:eastAsia="Times New Roman" w:cs="Tahoma"/>
          <w:color w:val="000000"/>
          <w:lang w:eastAsia="en-GB"/>
        </w:rPr>
        <w:t>Data for</w:t>
      </w:r>
      <w:r w:rsidR="00F84414">
        <w:rPr>
          <w:rFonts w:eastAsia="Times New Roman" w:cs="Tahoma"/>
          <w:color w:val="000000"/>
          <w:lang w:eastAsia="en-GB"/>
        </w:rPr>
        <w:t xml:space="preserve"> the</w:t>
      </w:r>
      <w:r>
        <w:rPr>
          <w:rFonts w:eastAsia="Times New Roman" w:cs="Tahoma"/>
          <w:color w:val="000000"/>
          <w:lang w:eastAsia="en-GB"/>
        </w:rPr>
        <w:t xml:space="preserve"> 2013/14 academic promotions round in the Faculty</w:t>
      </w:r>
      <w:r w:rsidR="00F84414">
        <w:rPr>
          <w:rFonts w:eastAsia="Times New Roman" w:cs="Tahoma"/>
          <w:color w:val="000000"/>
          <w:lang w:eastAsia="en-GB"/>
        </w:rPr>
        <w:t xml:space="preserve"> (appendix 4)</w:t>
      </w:r>
      <w:r>
        <w:rPr>
          <w:rFonts w:eastAsia="Times New Roman" w:cs="Tahoma"/>
          <w:color w:val="000000"/>
          <w:lang w:eastAsia="en-GB"/>
        </w:rPr>
        <w:t xml:space="preserve"> showed </w:t>
      </w:r>
      <w:r w:rsidR="00F84414">
        <w:rPr>
          <w:rFonts w:eastAsia="Times New Roman" w:cs="Tahoma"/>
          <w:color w:val="000000"/>
          <w:lang w:eastAsia="en-GB"/>
        </w:rPr>
        <w:t>the following.</w:t>
      </w:r>
    </w:p>
    <w:p w:rsidR="000726D6" w:rsidRPr="00F84414" w:rsidRDefault="00601762" w:rsidP="000726D6">
      <w:pPr>
        <w:spacing w:after="0"/>
        <w:rPr>
          <w:rFonts w:eastAsia="Times New Roman" w:cs="Tahoma"/>
          <w:b/>
          <w:i/>
          <w:color w:val="000000"/>
          <w:lang w:eastAsia="en-GB"/>
        </w:rPr>
      </w:pPr>
      <w:r>
        <w:rPr>
          <w:rFonts w:eastAsia="Times New Roman" w:cs="Tahoma"/>
          <w:b/>
          <w:i/>
          <w:color w:val="000000"/>
          <w:lang w:eastAsia="en-GB"/>
        </w:rPr>
        <w:t>Gender</w:t>
      </w:r>
    </w:p>
    <w:p w:rsidR="00FF1911" w:rsidRDefault="00FF1911" w:rsidP="006601FD">
      <w:pPr>
        <w:numPr>
          <w:ilvl w:val="0"/>
          <w:numId w:val="26"/>
        </w:numPr>
        <w:contextualSpacing/>
        <w:jc w:val="both"/>
      </w:pPr>
      <w:r>
        <w:t>Similar proportions of men and women applied for promotion overall (5%)</w:t>
      </w:r>
      <w:r w:rsidR="00D0741E">
        <w:t xml:space="preserve"> and with similar success rates for those who applied (80% for women, 78% for men).</w:t>
      </w:r>
    </w:p>
    <w:p w:rsidR="000726D6" w:rsidRDefault="000726D6" w:rsidP="006601FD">
      <w:pPr>
        <w:numPr>
          <w:ilvl w:val="0"/>
          <w:numId w:val="26"/>
        </w:numPr>
        <w:contextualSpacing/>
        <w:jc w:val="both"/>
      </w:pPr>
      <w:r>
        <w:t xml:space="preserve">The same proportion of men and women </w:t>
      </w:r>
      <w:r w:rsidR="00F84414">
        <w:t xml:space="preserve">at lecturer level </w:t>
      </w:r>
      <w:r>
        <w:t xml:space="preserve">applied for promotion to </w:t>
      </w:r>
      <w:r w:rsidR="00F84414">
        <w:t>senior lecturer</w:t>
      </w:r>
      <w:r w:rsidR="00FF1911">
        <w:t xml:space="preserve"> (6%)</w:t>
      </w:r>
      <w:r>
        <w:t>.</w:t>
      </w:r>
      <w:r w:rsidR="00FF1911">
        <w:t xml:space="preserve"> The success rate was higher for women (87%) than for men (73%).</w:t>
      </w:r>
    </w:p>
    <w:p w:rsidR="00D0741E" w:rsidRDefault="00D0741E" w:rsidP="006601FD">
      <w:pPr>
        <w:numPr>
          <w:ilvl w:val="0"/>
          <w:numId w:val="26"/>
        </w:numPr>
        <w:contextualSpacing/>
        <w:jc w:val="both"/>
      </w:pPr>
      <w:r>
        <w:t>Of those eligible to apply for a readership or professorship men were three times more likely than women to do so, and more likely to be successful.</w:t>
      </w:r>
    </w:p>
    <w:p w:rsidR="000726D6" w:rsidRDefault="000726D6" w:rsidP="006601FD">
      <w:pPr>
        <w:numPr>
          <w:ilvl w:val="0"/>
          <w:numId w:val="26"/>
        </w:numPr>
        <w:contextualSpacing/>
      </w:pPr>
      <w:r>
        <w:t>T</w:t>
      </w:r>
      <w:r w:rsidRPr="007A0F07">
        <w:t xml:space="preserve">he proportion and number of women </w:t>
      </w:r>
      <w:r w:rsidR="00601762">
        <w:t xml:space="preserve">promoted to SL was up from 2013 – the number promoted rose from 8 to 13 and proportionally </w:t>
      </w:r>
      <w:r w:rsidRPr="007A0F07">
        <w:t xml:space="preserve">from 47 per cent to 54 per cent </w:t>
      </w:r>
      <w:r w:rsidR="00601762">
        <w:t>of all promotions to senior lectureship. Eleven men were promoted to senior lecturer in 2014.</w:t>
      </w:r>
    </w:p>
    <w:p w:rsidR="0072780E" w:rsidRDefault="000726D6" w:rsidP="006601FD">
      <w:pPr>
        <w:numPr>
          <w:ilvl w:val="0"/>
          <w:numId w:val="26"/>
        </w:numPr>
        <w:contextualSpacing/>
        <w:jc w:val="both"/>
      </w:pPr>
      <w:r w:rsidRPr="00FF0029">
        <w:t xml:space="preserve">Among the pool of staff eligible to apply for a Chair the rate of application was twice as high for men </w:t>
      </w:r>
      <w:r w:rsidR="00601762">
        <w:t xml:space="preserve">(7%) </w:t>
      </w:r>
      <w:r w:rsidRPr="00FF0029">
        <w:t>compared to women</w:t>
      </w:r>
      <w:r w:rsidR="00601762">
        <w:t xml:space="preserve"> (3%).</w:t>
      </w:r>
      <w:r w:rsidR="00601762" w:rsidRPr="00601762">
        <w:t xml:space="preserve"> </w:t>
      </w:r>
    </w:p>
    <w:p w:rsidR="00601762" w:rsidRPr="00FF0029" w:rsidRDefault="00601762" w:rsidP="006601FD">
      <w:pPr>
        <w:numPr>
          <w:ilvl w:val="0"/>
          <w:numId w:val="26"/>
        </w:numPr>
        <w:contextualSpacing/>
        <w:jc w:val="both"/>
      </w:pPr>
      <w:r w:rsidRPr="00FF0029">
        <w:lastRenderedPageBreak/>
        <w:t>Of the 11 male applicants</w:t>
      </w:r>
      <w:r>
        <w:t xml:space="preserve"> to Chair</w:t>
      </w:r>
      <w:r w:rsidRPr="00FF0029">
        <w:t>, 10 were successful, a success rate of 90.9</w:t>
      </w:r>
      <w:r>
        <w:t xml:space="preserve"> per cent</w:t>
      </w:r>
      <w:r w:rsidR="00426DA1">
        <w:t xml:space="preserve">, up from the results in 2013. Two of the three women who applied were successful (67%), lower than the number and proportion in 2013 (6 of the 7 applicants were successful in 2013). </w:t>
      </w:r>
      <w:r w:rsidR="0072780E">
        <w:t>As a result 16% of the 12 chair promotions went to women.</w:t>
      </w:r>
    </w:p>
    <w:p w:rsidR="000726D6" w:rsidRPr="0072780E" w:rsidRDefault="0072780E" w:rsidP="000726D6">
      <w:pPr>
        <w:spacing w:after="0"/>
        <w:contextualSpacing/>
        <w:rPr>
          <w:rFonts w:eastAsia="Times New Roman" w:cs="Tahoma"/>
          <w:b/>
          <w:i/>
          <w:color w:val="000000"/>
          <w:lang w:eastAsia="en-GB"/>
        </w:rPr>
      </w:pPr>
      <w:r w:rsidRPr="0072780E">
        <w:rPr>
          <w:b/>
          <w:i/>
        </w:rPr>
        <w:t>BME</w:t>
      </w:r>
    </w:p>
    <w:p w:rsidR="000726D6" w:rsidRPr="004C38AB" w:rsidRDefault="000726D6" w:rsidP="006601FD">
      <w:pPr>
        <w:pStyle w:val="ListParagraph"/>
        <w:numPr>
          <w:ilvl w:val="0"/>
          <w:numId w:val="31"/>
        </w:numPr>
        <w:spacing w:after="0"/>
        <w:jc w:val="both"/>
        <w:rPr>
          <w:rFonts w:eastAsia="Times New Roman" w:cs="Tahoma"/>
          <w:color w:val="000000"/>
          <w:lang w:eastAsia="en-GB"/>
        </w:rPr>
      </w:pPr>
      <w:r w:rsidRPr="004C38AB">
        <w:rPr>
          <w:rFonts w:eastAsia="Times New Roman" w:cs="Tahoma"/>
          <w:color w:val="000000"/>
          <w:lang w:eastAsia="en-GB"/>
        </w:rPr>
        <w:t xml:space="preserve">The number of BME promotion applicants was 6 (4 to </w:t>
      </w:r>
      <w:r>
        <w:rPr>
          <w:rFonts w:eastAsia="Times New Roman" w:cs="Tahoma"/>
          <w:color w:val="000000"/>
          <w:lang w:eastAsia="en-GB"/>
        </w:rPr>
        <w:t>SL, 1 to Reader and 1 to Chair)</w:t>
      </w:r>
      <w:r w:rsidRPr="004C38AB">
        <w:rPr>
          <w:rFonts w:eastAsia="Times New Roman" w:cs="Tahoma"/>
          <w:color w:val="000000"/>
          <w:lang w:eastAsia="en-GB"/>
        </w:rPr>
        <w:t xml:space="preserve">, which </w:t>
      </w:r>
      <w:r w:rsidR="0072780E">
        <w:rPr>
          <w:rFonts w:eastAsia="Times New Roman" w:cs="Tahoma"/>
          <w:color w:val="000000"/>
          <w:lang w:eastAsia="en-GB"/>
        </w:rPr>
        <w:t>is 4% of the total eligible BME staff</w:t>
      </w:r>
      <w:r w:rsidR="00374D6E">
        <w:rPr>
          <w:rFonts w:eastAsia="Times New Roman" w:cs="Tahoma"/>
          <w:color w:val="000000"/>
          <w:lang w:eastAsia="en-GB"/>
        </w:rPr>
        <w:t>;</w:t>
      </w:r>
      <w:r w:rsidR="0072780E">
        <w:rPr>
          <w:rFonts w:eastAsia="Times New Roman" w:cs="Tahoma"/>
          <w:color w:val="000000"/>
          <w:lang w:eastAsia="en-GB"/>
        </w:rPr>
        <w:t xml:space="preserve"> slightly lower than the 5% of eligible </w:t>
      </w:r>
      <w:r w:rsidRPr="004C38AB">
        <w:rPr>
          <w:rFonts w:eastAsia="Times New Roman" w:cs="Tahoma"/>
          <w:color w:val="000000"/>
          <w:lang w:eastAsia="en-GB"/>
        </w:rPr>
        <w:t>white applicants</w:t>
      </w:r>
      <w:r w:rsidR="0072780E">
        <w:rPr>
          <w:rFonts w:eastAsia="Times New Roman" w:cs="Tahoma"/>
          <w:color w:val="000000"/>
          <w:lang w:eastAsia="en-GB"/>
        </w:rPr>
        <w:t xml:space="preserve"> who applied</w:t>
      </w:r>
      <w:r w:rsidRPr="004C38AB">
        <w:rPr>
          <w:rFonts w:eastAsia="Times New Roman" w:cs="Tahoma"/>
          <w:color w:val="000000"/>
          <w:lang w:eastAsia="en-GB"/>
        </w:rPr>
        <w:t xml:space="preserve">.  </w:t>
      </w:r>
    </w:p>
    <w:p w:rsidR="000726D6" w:rsidRPr="004C38AB" w:rsidRDefault="0072780E" w:rsidP="000E0A13">
      <w:pPr>
        <w:pStyle w:val="ListParagraph"/>
        <w:numPr>
          <w:ilvl w:val="0"/>
          <w:numId w:val="31"/>
        </w:numPr>
        <w:spacing w:after="120"/>
        <w:ind w:left="357" w:hanging="357"/>
        <w:contextualSpacing w:val="0"/>
        <w:jc w:val="both"/>
        <w:rPr>
          <w:rFonts w:eastAsia="Times New Roman" w:cs="Tahoma"/>
          <w:color w:val="000000"/>
          <w:lang w:eastAsia="en-GB"/>
        </w:rPr>
      </w:pPr>
      <w:r>
        <w:rPr>
          <w:rFonts w:eastAsia="Times New Roman" w:cs="Tahoma"/>
          <w:color w:val="000000"/>
          <w:lang w:eastAsia="en-GB"/>
        </w:rPr>
        <w:t xml:space="preserve">However, the </w:t>
      </w:r>
      <w:r w:rsidR="000726D6" w:rsidRPr="004C38AB">
        <w:rPr>
          <w:rFonts w:eastAsia="Times New Roman" w:cs="Tahoma"/>
          <w:color w:val="000000"/>
          <w:lang w:eastAsia="en-GB"/>
        </w:rPr>
        <w:t xml:space="preserve">success rates were </w:t>
      </w:r>
      <w:r>
        <w:rPr>
          <w:rFonts w:eastAsia="Times New Roman" w:cs="Tahoma"/>
          <w:color w:val="000000"/>
          <w:lang w:eastAsia="en-GB"/>
        </w:rPr>
        <w:t xml:space="preserve">much lower at </w:t>
      </w:r>
      <w:r w:rsidR="000726D6" w:rsidRPr="004C38AB">
        <w:rPr>
          <w:rFonts w:eastAsia="Times New Roman" w:cs="Tahoma"/>
          <w:color w:val="000000"/>
          <w:lang w:eastAsia="en-GB"/>
        </w:rPr>
        <w:t>33</w:t>
      </w:r>
      <w:r w:rsidR="000726D6">
        <w:rPr>
          <w:rFonts w:eastAsia="Times New Roman" w:cs="Tahoma"/>
          <w:color w:val="000000"/>
          <w:lang w:eastAsia="en-GB"/>
        </w:rPr>
        <w:t xml:space="preserve"> per cent</w:t>
      </w:r>
      <w:r w:rsidR="000726D6" w:rsidRPr="004C38AB">
        <w:rPr>
          <w:rFonts w:eastAsia="Times New Roman" w:cs="Tahoma"/>
          <w:color w:val="000000"/>
          <w:lang w:eastAsia="en-GB"/>
        </w:rPr>
        <w:t xml:space="preserve"> for BME applicants compared to 85</w:t>
      </w:r>
      <w:r w:rsidR="000726D6">
        <w:rPr>
          <w:rFonts w:eastAsia="Times New Roman" w:cs="Tahoma"/>
          <w:color w:val="000000"/>
          <w:lang w:eastAsia="en-GB"/>
        </w:rPr>
        <w:t xml:space="preserve"> per cent</w:t>
      </w:r>
      <w:r w:rsidR="000726D6" w:rsidRPr="004C38AB">
        <w:rPr>
          <w:rFonts w:eastAsia="Times New Roman" w:cs="Tahoma"/>
          <w:color w:val="000000"/>
          <w:lang w:eastAsia="en-GB"/>
        </w:rPr>
        <w:t xml:space="preserve"> for white applicants. The two successful cases were to SL.</w:t>
      </w:r>
    </w:p>
    <w:p w:rsidR="000726D6" w:rsidRDefault="000E0A13" w:rsidP="000E0A13">
      <w:pPr>
        <w:spacing w:after="120"/>
        <w:jc w:val="both"/>
        <w:rPr>
          <w:rFonts w:eastAsia="Times New Roman" w:cs="Tahoma"/>
          <w:color w:val="000000"/>
          <w:lang w:eastAsia="en-GB"/>
        </w:rPr>
      </w:pPr>
      <w:r>
        <w:rPr>
          <w:rFonts w:eastAsia="Times New Roman" w:cs="Tahoma"/>
          <w:color w:val="000000"/>
          <w:lang w:eastAsia="en-GB"/>
        </w:rPr>
        <w:t xml:space="preserve">As a result of this first stage of the analysis members of the Working Group made a number of suggestions for further analysis to be considered in Stage 2 of the work programme. These are listed in section </w:t>
      </w:r>
      <w:r w:rsidR="00C966E7">
        <w:rPr>
          <w:rFonts w:eastAsia="Times New Roman" w:cs="Tahoma"/>
          <w:color w:val="000000"/>
          <w:lang w:eastAsia="en-GB"/>
        </w:rPr>
        <w:t>6</w:t>
      </w:r>
      <w:r>
        <w:rPr>
          <w:rFonts w:eastAsia="Times New Roman" w:cs="Tahoma"/>
          <w:color w:val="000000"/>
          <w:lang w:eastAsia="en-GB"/>
        </w:rPr>
        <w:t xml:space="preserve"> below</w:t>
      </w:r>
      <w:r w:rsidR="00C966E7">
        <w:rPr>
          <w:rFonts w:eastAsia="Times New Roman" w:cs="Tahoma"/>
          <w:color w:val="000000"/>
          <w:lang w:eastAsia="en-GB"/>
        </w:rPr>
        <w:t>.</w:t>
      </w:r>
    </w:p>
    <w:p w:rsidR="000E0A13" w:rsidRDefault="000E0A13" w:rsidP="000E0A13">
      <w:pPr>
        <w:spacing w:after="120"/>
        <w:rPr>
          <w:rFonts w:eastAsia="Times New Roman" w:cs="Tahoma"/>
          <w:color w:val="000000"/>
          <w:lang w:eastAsia="en-GB"/>
        </w:rPr>
      </w:pPr>
    </w:p>
    <w:p w:rsidR="000E0A13" w:rsidRPr="003C47C7" w:rsidRDefault="000E0A13" w:rsidP="000E0A13">
      <w:pPr>
        <w:spacing w:after="120"/>
        <w:rPr>
          <w:rFonts w:eastAsia="Times New Roman" w:cs="Tahoma"/>
          <w:b/>
          <w:color w:val="000000"/>
          <w:sz w:val="28"/>
          <w:szCs w:val="28"/>
          <w:lang w:eastAsia="en-GB"/>
        </w:rPr>
      </w:pPr>
      <w:r>
        <w:rPr>
          <w:rFonts w:eastAsia="Times New Roman" w:cs="Tahoma"/>
          <w:b/>
          <w:color w:val="000000"/>
          <w:sz w:val="28"/>
          <w:szCs w:val="28"/>
          <w:lang w:eastAsia="en-GB"/>
        </w:rPr>
        <w:t xml:space="preserve">4. School and Faculty Office </w:t>
      </w:r>
      <w:r w:rsidRPr="003C47C7">
        <w:rPr>
          <w:rFonts w:eastAsia="Times New Roman" w:cs="Tahoma"/>
          <w:b/>
          <w:color w:val="000000"/>
          <w:sz w:val="28"/>
          <w:szCs w:val="28"/>
          <w:lang w:eastAsia="en-GB"/>
        </w:rPr>
        <w:t>Action plans</w:t>
      </w:r>
    </w:p>
    <w:p w:rsidR="000E0A13" w:rsidRDefault="000E0A13" w:rsidP="000E0A13">
      <w:pPr>
        <w:spacing w:after="120"/>
        <w:contextualSpacing/>
        <w:jc w:val="both"/>
        <w:rPr>
          <w:rFonts w:eastAsia="Times New Roman" w:cs="Tahoma"/>
          <w:color w:val="000000"/>
          <w:lang w:eastAsia="en-GB"/>
        </w:rPr>
      </w:pPr>
      <w:r>
        <w:rPr>
          <w:rFonts w:eastAsia="Times New Roman" w:cs="Tahoma"/>
          <w:color w:val="000000"/>
          <w:lang w:eastAsia="en-GB"/>
        </w:rPr>
        <w:t>The Working Group members have completed the preparation for the Stage 2 of the work programme.</w:t>
      </w:r>
    </w:p>
    <w:p w:rsidR="000E0A13" w:rsidRDefault="000E0A13" w:rsidP="000E0A13">
      <w:pPr>
        <w:spacing w:after="120"/>
        <w:contextualSpacing/>
        <w:jc w:val="both"/>
        <w:rPr>
          <w:rFonts w:eastAsia="Times New Roman" w:cs="Tahoma"/>
          <w:color w:val="000000"/>
          <w:lang w:eastAsia="en-GB"/>
        </w:rPr>
      </w:pPr>
    </w:p>
    <w:p w:rsidR="00351EAB" w:rsidRPr="002B0182" w:rsidRDefault="000E0A13" w:rsidP="00351EAB">
      <w:pPr>
        <w:spacing w:after="120" w:line="240" w:lineRule="auto"/>
        <w:rPr>
          <w:rFonts w:eastAsia="Times New Roman" w:cs="Tahoma"/>
          <w:b/>
          <w:color w:val="000000"/>
          <w:sz w:val="24"/>
          <w:szCs w:val="24"/>
          <w:lang w:eastAsia="en-GB"/>
        </w:rPr>
      </w:pPr>
      <w:r>
        <w:rPr>
          <w:rFonts w:eastAsia="Times New Roman" w:cs="Tahoma"/>
          <w:b/>
          <w:color w:val="000000"/>
          <w:sz w:val="24"/>
          <w:szCs w:val="24"/>
          <w:lang w:eastAsia="en-GB"/>
        </w:rPr>
        <w:t>4.1</w:t>
      </w:r>
      <w:r w:rsidR="00351EAB" w:rsidRPr="002B0182">
        <w:rPr>
          <w:rFonts w:eastAsia="Times New Roman" w:cs="Tahoma"/>
          <w:b/>
          <w:color w:val="000000"/>
          <w:sz w:val="24"/>
          <w:szCs w:val="24"/>
          <w:lang w:eastAsia="en-GB"/>
        </w:rPr>
        <w:t xml:space="preserve"> Faculty </w:t>
      </w:r>
      <w:r w:rsidR="00010A2A">
        <w:rPr>
          <w:rFonts w:eastAsia="Times New Roman" w:cs="Tahoma"/>
          <w:b/>
          <w:color w:val="000000"/>
          <w:sz w:val="24"/>
          <w:szCs w:val="24"/>
          <w:lang w:eastAsia="en-GB"/>
        </w:rPr>
        <w:t>Office and School</w:t>
      </w:r>
      <w:r w:rsidR="00351EAB" w:rsidRPr="002B0182">
        <w:rPr>
          <w:rFonts w:eastAsia="Times New Roman" w:cs="Tahoma"/>
          <w:b/>
          <w:color w:val="000000"/>
          <w:sz w:val="24"/>
          <w:szCs w:val="24"/>
          <w:lang w:eastAsia="en-GB"/>
        </w:rPr>
        <w:t xml:space="preserve"> </w:t>
      </w:r>
      <w:r>
        <w:rPr>
          <w:rFonts w:eastAsia="Times New Roman" w:cs="Tahoma"/>
          <w:b/>
          <w:color w:val="000000"/>
          <w:sz w:val="24"/>
          <w:szCs w:val="24"/>
          <w:lang w:eastAsia="en-GB"/>
        </w:rPr>
        <w:t>data analysis to inform the Action Plans</w:t>
      </w:r>
    </w:p>
    <w:p w:rsidR="00351EAB" w:rsidRPr="00351EAB" w:rsidRDefault="00010A2A" w:rsidP="00351EAB">
      <w:pPr>
        <w:spacing w:after="0"/>
        <w:rPr>
          <w:rFonts w:eastAsia="Times New Roman" w:cs="Tahoma"/>
          <w:color w:val="000000"/>
          <w:lang w:eastAsia="en-GB"/>
        </w:rPr>
      </w:pPr>
      <w:r>
        <w:rPr>
          <w:rFonts w:eastAsia="Times New Roman" w:cs="Tahoma"/>
          <w:color w:val="000000"/>
          <w:lang w:eastAsia="en-GB"/>
        </w:rPr>
        <w:t>The Working Group members undertook a</w:t>
      </w:r>
      <w:r w:rsidR="00374D6E">
        <w:rPr>
          <w:rFonts w:eastAsia="Times New Roman" w:cs="Tahoma"/>
          <w:color w:val="000000"/>
          <w:lang w:eastAsia="en-GB"/>
        </w:rPr>
        <w:t>n analysis focussed</w:t>
      </w:r>
      <w:r>
        <w:rPr>
          <w:rFonts w:eastAsia="Times New Roman" w:cs="Tahoma"/>
          <w:color w:val="000000"/>
          <w:lang w:eastAsia="en-GB"/>
        </w:rPr>
        <w:t xml:space="preserve"> on the results </w:t>
      </w:r>
      <w:r w:rsidR="005D067E">
        <w:rPr>
          <w:rFonts w:eastAsia="Times New Roman" w:cs="Tahoma"/>
          <w:color w:val="000000"/>
          <w:lang w:eastAsia="en-GB"/>
        </w:rPr>
        <w:t xml:space="preserve">presented in section 3 </w:t>
      </w:r>
      <w:r>
        <w:rPr>
          <w:rFonts w:eastAsia="Times New Roman" w:cs="Tahoma"/>
          <w:color w:val="000000"/>
          <w:lang w:eastAsia="en-GB"/>
        </w:rPr>
        <w:t xml:space="preserve">for their School, and for PSS staff in the Faculty Office. The </w:t>
      </w:r>
      <w:r w:rsidR="00351EAB" w:rsidRPr="00351EAB">
        <w:rPr>
          <w:rFonts w:eastAsia="Times New Roman" w:cs="Tahoma"/>
          <w:color w:val="000000"/>
          <w:lang w:eastAsia="en-GB"/>
        </w:rPr>
        <w:t>key points from th</w:t>
      </w:r>
      <w:r>
        <w:rPr>
          <w:rFonts w:eastAsia="Times New Roman" w:cs="Tahoma"/>
          <w:color w:val="000000"/>
          <w:lang w:eastAsia="en-GB"/>
        </w:rPr>
        <w:t xml:space="preserve">is level of analysis are summarised below. </w:t>
      </w:r>
    </w:p>
    <w:p w:rsidR="00402899" w:rsidRDefault="00402899" w:rsidP="00351EAB">
      <w:pPr>
        <w:spacing w:after="0"/>
        <w:rPr>
          <w:rFonts w:eastAsia="Times New Roman" w:cs="Tahoma"/>
          <w:b/>
          <w:i/>
          <w:color w:val="000000"/>
          <w:lang w:eastAsia="en-GB"/>
        </w:rPr>
      </w:pPr>
    </w:p>
    <w:p w:rsidR="00402899" w:rsidRPr="00DF5F30" w:rsidRDefault="00351EAB" w:rsidP="00DF5F30">
      <w:pPr>
        <w:spacing w:after="0"/>
        <w:rPr>
          <w:rFonts w:eastAsia="Times New Roman" w:cs="Tahoma"/>
          <w:b/>
          <w:i/>
          <w:color w:val="000000"/>
          <w:lang w:eastAsia="en-GB"/>
        </w:rPr>
      </w:pPr>
      <w:r w:rsidRPr="00351EAB">
        <w:rPr>
          <w:rFonts w:eastAsia="Times New Roman" w:cs="Tahoma"/>
          <w:b/>
          <w:i/>
          <w:color w:val="000000"/>
          <w:lang w:eastAsia="en-GB"/>
        </w:rPr>
        <w:t xml:space="preserve">Headline </w:t>
      </w:r>
      <w:r w:rsidR="00DF5F30">
        <w:rPr>
          <w:rFonts w:eastAsia="Times New Roman" w:cs="Tahoma"/>
          <w:b/>
          <w:i/>
          <w:color w:val="000000"/>
          <w:lang w:eastAsia="en-GB"/>
        </w:rPr>
        <w:t>data picture across the Faculty</w:t>
      </w:r>
    </w:p>
    <w:p w:rsidR="00351EAB" w:rsidRPr="00351EAB" w:rsidRDefault="00374D6E" w:rsidP="006601FD">
      <w:pPr>
        <w:numPr>
          <w:ilvl w:val="0"/>
          <w:numId w:val="8"/>
        </w:numPr>
        <w:spacing w:after="0"/>
        <w:contextualSpacing/>
        <w:rPr>
          <w:rFonts w:eastAsia="Times New Roman" w:cs="Tahoma"/>
          <w:color w:val="000000"/>
          <w:lang w:eastAsia="en-GB"/>
        </w:rPr>
      </w:pPr>
      <w:r>
        <w:rPr>
          <w:rFonts w:eastAsia="Times New Roman" w:cs="Tahoma"/>
          <w:color w:val="000000"/>
          <w:lang w:eastAsia="en-GB"/>
        </w:rPr>
        <w:t>The f</w:t>
      </w:r>
      <w:r w:rsidR="00351EAB" w:rsidRPr="00351EAB">
        <w:rPr>
          <w:rFonts w:eastAsia="Times New Roman" w:cs="Tahoma"/>
          <w:color w:val="000000"/>
          <w:lang w:eastAsia="en-GB"/>
        </w:rPr>
        <w:t xml:space="preserve">all off of women </w:t>
      </w:r>
      <w:r>
        <w:rPr>
          <w:rFonts w:eastAsia="Times New Roman" w:cs="Tahoma"/>
          <w:color w:val="000000"/>
          <w:lang w:eastAsia="en-GB"/>
        </w:rPr>
        <w:t xml:space="preserve">moving </w:t>
      </w:r>
      <w:r w:rsidR="00351EAB" w:rsidRPr="00351EAB">
        <w:rPr>
          <w:rFonts w:eastAsia="Times New Roman" w:cs="Tahoma"/>
          <w:color w:val="000000"/>
          <w:lang w:eastAsia="en-GB"/>
        </w:rPr>
        <w:t xml:space="preserve">through </w:t>
      </w:r>
      <w:r>
        <w:rPr>
          <w:rFonts w:eastAsia="Times New Roman" w:cs="Tahoma"/>
          <w:color w:val="000000"/>
          <w:lang w:eastAsia="en-GB"/>
        </w:rPr>
        <w:t xml:space="preserve">the </w:t>
      </w:r>
      <w:r w:rsidR="00351EAB" w:rsidRPr="00351EAB">
        <w:rPr>
          <w:rFonts w:eastAsia="Times New Roman" w:cs="Tahoma"/>
          <w:color w:val="000000"/>
          <w:lang w:eastAsia="en-GB"/>
        </w:rPr>
        <w:t xml:space="preserve">academic ranks is pronounced even in </w:t>
      </w:r>
      <w:r>
        <w:rPr>
          <w:rFonts w:eastAsia="Times New Roman" w:cs="Tahoma"/>
          <w:color w:val="000000"/>
          <w:lang w:eastAsia="en-GB"/>
        </w:rPr>
        <w:t xml:space="preserve">discipline </w:t>
      </w:r>
      <w:r w:rsidR="00351EAB" w:rsidRPr="00351EAB">
        <w:rPr>
          <w:rFonts w:eastAsia="Times New Roman" w:cs="Tahoma"/>
          <w:color w:val="000000"/>
          <w:lang w:eastAsia="en-GB"/>
        </w:rPr>
        <w:t>areas that do better overall</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In those parts of the Faculty where women’s representation is better in the higher academic ranks, there are still pipeline issues to address in order to sustain and improve the position.</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BME staff are generally underrepresented at all levels for both PSS and academic staff, but the problem is more pronounced at senior levels and is worse for BME women.</w:t>
      </w:r>
    </w:p>
    <w:p w:rsidR="00351EAB" w:rsidRPr="00351EAB" w:rsidRDefault="00374D6E" w:rsidP="006601FD">
      <w:pPr>
        <w:numPr>
          <w:ilvl w:val="0"/>
          <w:numId w:val="8"/>
        </w:numPr>
        <w:spacing w:after="0"/>
        <w:contextualSpacing/>
        <w:jc w:val="both"/>
        <w:rPr>
          <w:rFonts w:eastAsia="Times New Roman" w:cs="Tahoma"/>
          <w:color w:val="000000"/>
          <w:lang w:eastAsia="en-GB"/>
        </w:rPr>
      </w:pPr>
      <w:r>
        <w:rPr>
          <w:rFonts w:eastAsia="Times New Roman" w:cs="Tahoma"/>
          <w:color w:val="000000"/>
          <w:lang w:eastAsia="en-GB"/>
        </w:rPr>
        <w:t xml:space="preserve">Men are </w:t>
      </w:r>
      <w:r w:rsidR="00351EAB" w:rsidRPr="00351EAB">
        <w:rPr>
          <w:rFonts w:eastAsia="Times New Roman" w:cs="Tahoma"/>
          <w:color w:val="000000"/>
          <w:lang w:eastAsia="en-GB"/>
        </w:rPr>
        <w:t xml:space="preserve">underrepresented at most levels of PSS staff. In Schools where men are increasingly entering the lower grades (e.g. MBS), perhaps due to diminishing employment opportunities </w:t>
      </w:r>
      <w:r>
        <w:rPr>
          <w:rFonts w:eastAsia="Times New Roman" w:cs="Tahoma"/>
          <w:color w:val="000000"/>
          <w:lang w:eastAsia="en-GB"/>
        </w:rPr>
        <w:t xml:space="preserve">and </w:t>
      </w:r>
      <w:r w:rsidR="00351EAB" w:rsidRPr="00351EAB">
        <w:rPr>
          <w:rFonts w:eastAsia="Times New Roman" w:cs="Tahoma"/>
          <w:color w:val="000000"/>
          <w:lang w:eastAsia="en-GB"/>
        </w:rPr>
        <w:t>job losses elsewhere in the region (particularly in the public sector) this may squeeze the promotion opportunities for women due to the ‘glass elevator’ effect which is often observed for men in female-dominated occupations</w:t>
      </w:r>
      <w:r w:rsidR="00351EAB" w:rsidRPr="00351EAB">
        <w:rPr>
          <w:rFonts w:eastAsia="Times New Roman" w:cs="Tahoma"/>
          <w:color w:val="000000"/>
          <w:vertAlign w:val="superscript"/>
          <w:lang w:eastAsia="en-GB"/>
        </w:rPr>
        <w:footnoteReference w:id="8"/>
      </w:r>
      <w:r w:rsidR="00351EAB" w:rsidRPr="00351EAB">
        <w:rPr>
          <w:rFonts w:eastAsia="Times New Roman" w:cs="Tahoma"/>
          <w:color w:val="000000"/>
          <w:lang w:eastAsia="en-GB"/>
        </w:rPr>
        <w:t>.</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Men‘s presence among PSS staff is higher in MBS and in the Faculty office than in the rest of the Faculty.</w:t>
      </w:r>
    </w:p>
    <w:p w:rsidR="00402899" w:rsidRPr="00351EAB" w:rsidRDefault="00402899" w:rsidP="00402899">
      <w:pPr>
        <w:spacing w:after="0"/>
        <w:ind w:left="357"/>
        <w:contextualSpacing/>
        <w:jc w:val="both"/>
        <w:rPr>
          <w:rFonts w:eastAsia="Times New Roman" w:cs="Tahoma"/>
          <w:color w:val="000000"/>
          <w:lang w:eastAsia="en-GB"/>
        </w:rPr>
      </w:pPr>
    </w:p>
    <w:p w:rsidR="00351EAB" w:rsidRPr="00351EAB" w:rsidRDefault="00351EAB" w:rsidP="00351EAB">
      <w:pPr>
        <w:spacing w:after="0"/>
        <w:rPr>
          <w:rFonts w:eastAsia="Times New Roman" w:cs="Tahoma"/>
          <w:b/>
          <w:i/>
          <w:color w:val="000000"/>
          <w:lang w:eastAsia="en-GB"/>
        </w:rPr>
      </w:pPr>
      <w:r w:rsidRPr="00351EAB">
        <w:rPr>
          <w:rFonts w:eastAsia="Times New Roman" w:cs="Tahoma"/>
          <w:b/>
          <w:i/>
          <w:color w:val="000000"/>
          <w:lang w:eastAsia="en-GB"/>
        </w:rPr>
        <w:t>School specific headlines</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lastRenderedPageBreak/>
        <w:t>SOSS and SALC have made the most progress towards gender diversity in senior academic positions. In SOSS this was in part stimulated by the Gender Research Network which has led as the diversity champion in the School for nearly ten years. In SALC there is a strong culture of support via PDR and promotion processes.</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SOSS has identified sustainability concerns: for while it has a strong record of promotion of women to chair positions the internal pipeline is somewhat weak with women comprising just 35</w:t>
      </w:r>
      <w:r w:rsidR="005B4E56">
        <w:rPr>
          <w:rFonts w:eastAsia="Times New Roman" w:cs="Tahoma"/>
          <w:color w:val="000000"/>
          <w:lang w:eastAsia="en-GB"/>
        </w:rPr>
        <w:t xml:space="preserve"> per cent</w:t>
      </w:r>
      <w:r w:rsidRPr="00351EAB">
        <w:rPr>
          <w:rFonts w:eastAsia="Times New Roman" w:cs="Tahoma"/>
          <w:color w:val="000000"/>
          <w:lang w:eastAsia="en-GB"/>
        </w:rPr>
        <w:t xml:space="preserve"> of lecturers and 25</w:t>
      </w:r>
      <w:r w:rsidR="005B4E56">
        <w:rPr>
          <w:rFonts w:eastAsia="Times New Roman" w:cs="Tahoma"/>
          <w:color w:val="000000"/>
          <w:lang w:eastAsia="en-GB"/>
        </w:rPr>
        <w:t xml:space="preserve"> per cent</w:t>
      </w:r>
      <w:r w:rsidRPr="00351EAB">
        <w:rPr>
          <w:rFonts w:eastAsia="Times New Roman" w:cs="Tahoma"/>
          <w:color w:val="000000"/>
          <w:lang w:eastAsia="en-GB"/>
        </w:rPr>
        <w:t xml:space="preserve"> of senior lecturers.</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SOSS performs above the University average in terms of the BME share of senior lecturer and professorial positions but below the University average at lecturer and research positions.</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It is important to examine the gender and BME profile of senior leadership positions. For example in SALC three of the seven division heads, three of the six School functional directors and the Chair of the School Board are women.</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It seems that the decline in female representation from Senior Lecturer to Professor is more pronounced in Law and in MBS than in the other Schools (although the smaller size of Law means the percentage scores are more affected by a change in one or more members of staff).</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The BME profile in academic positions in LAW is different from the other Schools. There is a better representation at senior levels, but a particularly low representation of BME women. This merits further investigation to establish whether male colleagues are securing these senior positions through internal promotion channels or primarily through external appointments (inc</w:t>
      </w:r>
      <w:r w:rsidR="00402899">
        <w:rPr>
          <w:rFonts w:eastAsia="Times New Roman" w:cs="Tahoma"/>
          <w:color w:val="000000"/>
          <w:lang w:eastAsia="en-GB"/>
        </w:rPr>
        <w:t>l</w:t>
      </w:r>
      <w:r w:rsidRPr="00351EAB">
        <w:rPr>
          <w:rFonts w:eastAsia="Times New Roman" w:cs="Tahoma"/>
          <w:color w:val="000000"/>
          <w:lang w:eastAsia="en-GB"/>
        </w:rPr>
        <w:t>uding international recruitment). It is also likely to be shaped by the distinct career routes for lawyers, whereby the majority of graduates proceed to practice law and some may then take academic positions later in their career.</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 xml:space="preserve">Similarly, in education it is usual that PGT and PGR students are full-time professionals who resume study after a number of years of professional practice. </w:t>
      </w:r>
    </w:p>
    <w:p w:rsidR="000E0A13"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 xml:space="preserve">SEED is one example of where women predominate among teaching focussed contracts. </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SALC is undertaking further analysis of its ‘teaching only’ staff given the specific situation of language tutors in this School.</w:t>
      </w:r>
    </w:p>
    <w:p w:rsidR="00351EAB" w:rsidRPr="00351EAB" w:rsidRDefault="00351EAB" w:rsidP="006601FD">
      <w:pPr>
        <w:numPr>
          <w:ilvl w:val="0"/>
          <w:numId w:val="8"/>
        </w:numPr>
        <w:spacing w:after="0"/>
        <w:contextualSpacing/>
        <w:jc w:val="both"/>
        <w:rPr>
          <w:rFonts w:eastAsia="Times New Roman" w:cs="Tahoma"/>
          <w:color w:val="000000"/>
          <w:lang w:eastAsia="en-GB"/>
        </w:rPr>
      </w:pPr>
      <w:r w:rsidRPr="00351EAB">
        <w:rPr>
          <w:rFonts w:eastAsia="Times New Roman" w:cs="Tahoma"/>
          <w:color w:val="000000"/>
          <w:lang w:eastAsia="en-GB"/>
        </w:rPr>
        <w:t>SALC propose to run an awareness raising communication plan to explain the elements of the existing policy framework to support equality and diversity, in conjunction with ‘role model’ exemplars.</w:t>
      </w:r>
    </w:p>
    <w:p w:rsidR="007A0F07" w:rsidRDefault="007A0F07" w:rsidP="00351EAB">
      <w:pPr>
        <w:spacing w:after="0"/>
        <w:rPr>
          <w:rFonts w:eastAsia="Times New Roman" w:cs="Tahoma"/>
          <w:b/>
          <w:i/>
          <w:color w:val="000000"/>
          <w:lang w:eastAsia="en-GB"/>
        </w:rPr>
      </w:pPr>
    </w:p>
    <w:p w:rsidR="005D067E" w:rsidRPr="005D067E" w:rsidRDefault="005D067E" w:rsidP="005D067E">
      <w:pPr>
        <w:spacing w:after="120"/>
        <w:contextualSpacing/>
        <w:jc w:val="both"/>
        <w:rPr>
          <w:rFonts w:eastAsia="Times New Roman" w:cs="Tahoma"/>
          <w:b/>
          <w:color w:val="000000"/>
          <w:sz w:val="24"/>
          <w:szCs w:val="24"/>
          <w:lang w:eastAsia="en-GB"/>
        </w:rPr>
      </w:pPr>
      <w:r w:rsidRPr="005D067E">
        <w:rPr>
          <w:rFonts w:eastAsia="Times New Roman" w:cs="Tahoma"/>
          <w:b/>
          <w:color w:val="000000"/>
          <w:sz w:val="24"/>
          <w:szCs w:val="24"/>
          <w:lang w:eastAsia="en-GB"/>
        </w:rPr>
        <w:t>4.2 School Action Plans</w:t>
      </w:r>
    </w:p>
    <w:p w:rsidR="005D067E" w:rsidRDefault="005D067E" w:rsidP="005D067E">
      <w:pPr>
        <w:spacing w:after="120"/>
        <w:jc w:val="both"/>
        <w:rPr>
          <w:rFonts w:eastAsia="Times New Roman" w:cs="Tahoma"/>
          <w:color w:val="000000"/>
          <w:lang w:eastAsia="en-GB"/>
        </w:rPr>
      </w:pPr>
      <w:r w:rsidRPr="00B77F51">
        <w:rPr>
          <w:rFonts w:eastAsia="Times New Roman" w:cs="Tahoma"/>
          <w:color w:val="000000"/>
          <w:lang w:eastAsia="en-GB"/>
        </w:rPr>
        <w:t>Members of the WG are taking forward</w:t>
      </w:r>
      <w:r>
        <w:rPr>
          <w:rFonts w:eastAsia="Times New Roman" w:cs="Tahoma"/>
          <w:color w:val="000000"/>
          <w:lang w:eastAsia="en-GB"/>
        </w:rPr>
        <w:t xml:space="preserve"> the development of work within their respective areas.  In each School an action plan has been devised and a working group formed with the sponsorship of the relevant Head of School.  HR Partners have also been involved in working with their client Schools and will continue to do so as action plans are developed and implemented.</w:t>
      </w:r>
    </w:p>
    <w:p w:rsidR="005D067E" w:rsidRDefault="005D067E" w:rsidP="005D067E">
      <w:pPr>
        <w:spacing w:after="120"/>
        <w:rPr>
          <w:rFonts w:eastAsia="Times New Roman" w:cs="Tahoma"/>
          <w:b/>
          <w:color w:val="000000"/>
          <w:sz w:val="28"/>
          <w:szCs w:val="28"/>
          <w:lang w:eastAsia="en-GB"/>
        </w:rPr>
      </w:pPr>
    </w:p>
    <w:p w:rsidR="005D067E" w:rsidRPr="00010A2A" w:rsidRDefault="005D067E" w:rsidP="005D067E">
      <w:pPr>
        <w:spacing w:after="120"/>
        <w:rPr>
          <w:rFonts w:eastAsia="Times New Roman" w:cs="Tahoma"/>
          <w:b/>
          <w:color w:val="000000"/>
          <w:sz w:val="28"/>
          <w:szCs w:val="28"/>
          <w:lang w:eastAsia="en-GB"/>
        </w:rPr>
      </w:pPr>
      <w:r>
        <w:rPr>
          <w:rFonts w:eastAsia="Times New Roman" w:cs="Tahoma"/>
          <w:b/>
          <w:color w:val="000000"/>
          <w:sz w:val="28"/>
          <w:szCs w:val="28"/>
          <w:lang w:eastAsia="en-GB"/>
        </w:rPr>
        <w:t xml:space="preserve">5. </w:t>
      </w:r>
      <w:r w:rsidRPr="00010A2A">
        <w:rPr>
          <w:rFonts w:eastAsia="Times New Roman" w:cs="Tahoma"/>
          <w:b/>
          <w:color w:val="000000"/>
          <w:sz w:val="28"/>
          <w:szCs w:val="28"/>
          <w:lang w:eastAsia="en-GB"/>
        </w:rPr>
        <w:t>Policy Audit and review</w:t>
      </w:r>
    </w:p>
    <w:p w:rsidR="005D067E" w:rsidRDefault="005D067E" w:rsidP="005D067E">
      <w:pPr>
        <w:jc w:val="both"/>
        <w:rPr>
          <w:rFonts w:eastAsia="Times New Roman" w:cs="Tahoma"/>
          <w:color w:val="000000"/>
          <w:lang w:eastAsia="en-GB"/>
        </w:rPr>
      </w:pPr>
      <w:r>
        <w:rPr>
          <w:rFonts w:eastAsia="Times New Roman" w:cs="Tahoma"/>
          <w:color w:val="000000"/>
          <w:lang w:eastAsia="en-GB"/>
        </w:rPr>
        <w:t>Members of t</w:t>
      </w:r>
      <w:r w:rsidRPr="00AF71A8">
        <w:rPr>
          <w:rFonts w:eastAsia="Times New Roman" w:cs="Tahoma"/>
          <w:color w:val="000000"/>
          <w:lang w:eastAsia="en-GB"/>
        </w:rPr>
        <w:t>he WG ha</w:t>
      </w:r>
      <w:r>
        <w:rPr>
          <w:rFonts w:eastAsia="Times New Roman" w:cs="Tahoma"/>
          <w:color w:val="000000"/>
          <w:lang w:eastAsia="en-GB"/>
        </w:rPr>
        <w:t>ve</w:t>
      </w:r>
      <w:r w:rsidRPr="00AF71A8">
        <w:rPr>
          <w:rFonts w:eastAsia="Times New Roman" w:cs="Tahoma"/>
          <w:color w:val="000000"/>
          <w:lang w:eastAsia="en-GB"/>
        </w:rPr>
        <w:t xml:space="preserve"> conducted a review of key current employment policies to </w:t>
      </w:r>
      <w:r>
        <w:rPr>
          <w:rFonts w:eastAsia="Times New Roman" w:cs="Tahoma"/>
          <w:color w:val="000000"/>
          <w:lang w:eastAsia="en-GB"/>
        </w:rPr>
        <w:t xml:space="preserve">identify </w:t>
      </w:r>
      <w:r w:rsidRPr="00AF71A8">
        <w:rPr>
          <w:rFonts w:eastAsia="Times New Roman" w:cs="Tahoma"/>
          <w:color w:val="000000"/>
          <w:lang w:eastAsia="en-GB"/>
        </w:rPr>
        <w:t xml:space="preserve">gaps, </w:t>
      </w:r>
      <w:r>
        <w:rPr>
          <w:rFonts w:eastAsia="Times New Roman" w:cs="Tahoma"/>
          <w:color w:val="000000"/>
          <w:lang w:eastAsia="en-GB"/>
        </w:rPr>
        <w:t xml:space="preserve">and to consider </w:t>
      </w:r>
      <w:r w:rsidRPr="00AF71A8">
        <w:rPr>
          <w:rFonts w:eastAsia="Times New Roman" w:cs="Tahoma"/>
          <w:color w:val="000000"/>
          <w:lang w:eastAsia="en-GB"/>
        </w:rPr>
        <w:t>awareness and effectiveness.</w:t>
      </w:r>
      <w:r>
        <w:rPr>
          <w:rFonts w:eastAsia="Times New Roman" w:cs="Tahoma"/>
          <w:color w:val="000000"/>
          <w:lang w:eastAsia="en-GB"/>
        </w:rPr>
        <w:t xml:space="preserve"> Specifically, the following policies have been reviewed to date, and others are underway:</w:t>
      </w:r>
    </w:p>
    <w:p w:rsidR="005D067E" w:rsidRDefault="005D067E" w:rsidP="005D067E">
      <w:pPr>
        <w:pStyle w:val="ListParagraph"/>
        <w:numPr>
          <w:ilvl w:val="0"/>
          <w:numId w:val="27"/>
        </w:numPr>
      </w:pPr>
      <w:r w:rsidRPr="00AF71A8">
        <w:t>Promotions polices, guidelines and procedures</w:t>
      </w:r>
      <w:r>
        <w:t>;</w:t>
      </w:r>
    </w:p>
    <w:p w:rsidR="005D067E" w:rsidRDefault="005D067E" w:rsidP="005D067E">
      <w:pPr>
        <w:pStyle w:val="ListParagraph"/>
        <w:numPr>
          <w:ilvl w:val="0"/>
          <w:numId w:val="27"/>
        </w:numPr>
      </w:pPr>
      <w:r>
        <w:lastRenderedPageBreak/>
        <w:t>Rec</w:t>
      </w:r>
      <w:r w:rsidRPr="00AF71A8">
        <w:t>ruitment and appointments policy and procedures including honorary appointments and internal appointments to academic management roles</w:t>
      </w:r>
      <w:r>
        <w:t>;</w:t>
      </w:r>
    </w:p>
    <w:p w:rsidR="005D067E" w:rsidRPr="00B77F51" w:rsidRDefault="005D067E" w:rsidP="005D067E">
      <w:pPr>
        <w:pStyle w:val="ListParagraph"/>
        <w:numPr>
          <w:ilvl w:val="0"/>
          <w:numId w:val="27"/>
        </w:numPr>
        <w:spacing w:after="120"/>
        <w:rPr>
          <w:rFonts w:eastAsia="Times New Roman" w:cs="Tahoma"/>
          <w:color w:val="000000"/>
          <w:lang w:eastAsia="en-GB"/>
        </w:rPr>
      </w:pPr>
      <w:r w:rsidRPr="00AF71A8">
        <w:t>Working conditions including Dignity at work, Consensual relationships</w:t>
      </w:r>
      <w:r w:rsidR="006A4212">
        <w:t>,</w:t>
      </w:r>
      <w:r w:rsidRPr="00AF71A8">
        <w:t xml:space="preserve"> and Stress at Work</w:t>
      </w:r>
      <w:r>
        <w:t>.</w:t>
      </w:r>
    </w:p>
    <w:p w:rsidR="005D067E" w:rsidRDefault="005D067E" w:rsidP="005D067E">
      <w:pPr>
        <w:spacing w:after="120"/>
        <w:contextualSpacing/>
        <w:jc w:val="both"/>
        <w:rPr>
          <w:rFonts w:eastAsia="Times New Roman" w:cs="Tahoma"/>
          <w:color w:val="000000"/>
          <w:lang w:eastAsia="en-GB"/>
        </w:rPr>
      </w:pPr>
      <w:r>
        <w:rPr>
          <w:rFonts w:eastAsia="Times New Roman" w:cs="Tahoma"/>
          <w:color w:val="000000"/>
          <w:lang w:eastAsia="en-GB"/>
        </w:rPr>
        <w:t>This has produced helpful feedback and suggestions for changes to the content of the current policies and the means by which their provisions are communicated.  The Deputy Director of HR will take these matters forward with HR colleagues.  Where suggested changes are substantive, they will require wide consultation and, potentially, negotiation wit</w:t>
      </w:r>
      <w:r w:rsidR="00C966E7">
        <w:rPr>
          <w:rFonts w:eastAsia="Times New Roman" w:cs="Tahoma"/>
          <w:color w:val="000000"/>
          <w:lang w:eastAsia="en-GB"/>
        </w:rPr>
        <w:t xml:space="preserve">h campus trade unions.  </w:t>
      </w:r>
      <w:r>
        <w:rPr>
          <w:rFonts w:eastAsia="Times New Roman" w:cs="Tahoma"/>
          <w:color w:val="000000"/>
          <w:lang w:eastAsia="en-GB"/>
        </w:rPr>
        <w:t xml:space="preserve">Suggestions regarding presentation are more straightforward. </w:t>
      </w:r>
    </w:p>
    <w:p w:rsidR="005D067E" w:rsidRDefault="005D067E" w:rsidP="005D067E">
      <w:pPr>
        <w:spacing w:after="120"/>
        <w:contextualSpacing/>
        <w:rPr>
          <w:rFonts w:eastAsia="Times New Roman" w:cs="Tahoma"/>
          <w:color w:val="000000"/>
          <w:lang w:eastAsia="en-GB"/>
        </w:rPr>
      </w:pPr>
    </w:p>
    <w:p w:rsidR="00B77F51" w:rsidRPr="00351EAB" w:rsidRDefault="00B77F51" w:rsidP="00B77F51">
      <w:pPr>
        <w:spacing w:after="120"/>
        <w:contextualSpacing/>
        <w:rPr>
          <w:rFonts w:eastAsia="Times New Roman" w:cs="Tahoma"/>
          <w:color w:val="000000"/>
          <w:lang w:eastAsia="en-GB"/>
        </w:rPr>
      </w:pPr>
    </w:p>
    <w:p w:rsidR="00351EAB" w:rsidRPr="003C47C7" w:rsidRDefault="00C966E7" w:rsidP="00010A2A">
      <w:pPr>
        <w:spacing w:after="120" w:line="240" w:lineRule="auto"/>
        <w:rPr>
          <w:rFonts w:eastAsia="Times New Roman" w:cs="Tahoma"/>
          <w:b/>
          <w:color w:val="000000"/>
          <w:sz w:val="28"/>
          <w:szCs w:val="28"/>
          <w:lang w:eastAsia="en-GB"/>
        </w:rPr>
      </w:pPr>
      <w:r>
        <w:rPr>
          <w:rFonts w:eastAsia="Times New Roman" w:cs="Tahoma"/>
          <w:b/>
          <w:color w:val="000000"/>
          <w:sz w:val="28"/>
          <w:szCs w:val="28"/>
          <w:lang w:eastAsia="en-GB"/>
        </w:rPr>
        <w:t>6</w:t>
      </w:r>
      <w:r w:rsidR="00010A2A">
        <w:rPr>
          <w:rFonts w:eastAsia="Times New Roman" w:cs="Tahoma"/>
          <w:b/>
          <w:color w:val="000000"/>
          <w:sz w:val="28"/>
          <w:szCs w:val="28"/>
          <w:lang w:eastAsia="en-GB"/>
        </w:rPr>
        <w:t xml:space="preserve">. </w:t>
      </w:r>
      <w:r w:rsidR="00351EAB" w:rsidRPr="003C47C7">
        <w:rPr>
          <w:rFonts w:eastAsia="Times New Roman" w:cs="Tahoma"/>
          <w:b/>
          <w:color w:val="000000"/>
          <w:sz w:val="28"/>
          <w:szCs w:val="28"/>
          <w:lang w:eastAsia="en-GB"/>
        </w:rPr>
        <w:t>Next steps</w:t>
      </w:r>
      <w:r w:rsidR="00FA6B87">
        <w:rPr>
          <w:rFonts w:eastAsia="Times New Roman" w:cs="Tahoma"/>
          <w:b/>
          <w:color w:val="000000"/>
          <w:sz w:val="28"/>
          <w:szCs w:val="28"/>
          <w:lang w:eastAsia="en-GB"/>
        </w:rPr>
        <w:t>: Stage 2 of the work programme</w:t>
      </w:r>
    </w:p>
    <w:p w:rsidR="00351EAB" w:rsidRDefault="00351EAB" w:rsidP="00351EAB">
      <w:pPr>
        <w:spacing w:after="120" w:line="240" w:lineRule="auto"/>
        <w:jc w:val="both"/>
        <w:rPr>
          <w:rFonts w:eastAsia="Times New Roman" w:cs="Tahoma"/>
          <w:color w:val="000000"/>
          <w:lang w:eastAsia="en-GB"/>
        </w:rPr>
      </w:pPr>
      <w:r w:rsidRPr="00351EAB">
        <w:rPr>
          <w:rFonts w:eastAsia="Times New Roman" w:cs="Tahoma"/>
          <w:color w:val="000000"/>
          <w:lang w:eastAsia="en-GB"/>
        </w:rPr>
        <w:t>In line with the work programme previously approved by HPRC (</w:t>
      </w:r>
      <w:r w:rsidRPr="00351EAB">
        <w:rPr>
          <w:rFonts w:eastAsia="Times New Roman" w:cs="Tahoma"/>
          <w:b/>
          <w:color w:val="000000"/>
          <w:lang w:eastAsia="en-GB"/>
        </w:rPr>
        <w:t>appendix 1</w:t>
      </w:r>
      <w:r w:rsidRPr="00351EAB">
        <w:rPr>
          <w:rFonts w:eastAsia="Times New Roman" w:cs="Tahoma"/>
          <w:color w:val="000000"/>
          <w:lang w:eastAsia="en-GB"/>
        </w:rPr>
        <w:t xml:space="preserve">), the next steps for the Work Group </w:t>
      </w:r>
      <w:r w:rsidR="00A55E79">
        <w:rPr>
          <w:rFonts w:eastAsia="Times New Roman" w:cs="Tahoma"/>
          <w:color w:val="000000"/>
          <w:lang w:eastAsia="en-GB"/>
        </w:rPr>
        <w:t>are</w:t>
      </w:r>
      <w:r w:rsidRPr="00351EAB">
        <w:rPr>
          <w:rFonts w:eastAsia="Times New Roman" w:cs="Tahoma"/>
          <w:color w:val="000000"/>
          <w:lang w:eastAsia="en-GB"/>
        </w:rPr>
        <w:t>:</w:t>
      </w:r>
    </w:p>
    <w:p w:rsidR="00A55E79" w:rsidRPr="00A55E79" w:rsidRDefault="00A55E79" w:rsidP="006A4212">
      <w:pPr>
        <w:tabs>
          <w:tab w:val="left" w:pos="1530"/>
        </w:tabs>
        <w:spacing w:after="120"/>
        <w:contextualSpacing/>
        <w:jc w:val="both"/>
        <w:rPr>
          <w:rFonts w:eastAsia="Times New Roman" w:cs="Tahoma"/>
          <w:b/>
          <w:i/>
          <w:color w:val="000000"/>
          <w:sz w:val="24"/>
          <w:szCs w:val="24"/>
          <w:lang w:eastAsia="en-GB"/>
        </w:rPr>
      </w:pPr>
      <w:r w:rsidRPr="00A55E79">
        <w:rPr>
          <w:rFonts w:eastAsia="Times New Roman" w:cs="Tahoma"/>
          <w:b/>
          <w:i/>
          <w:color w:val="000000"/>
          <w:sz w:val="24"/>
          <w:szCs w:val="24"/>
          <w:lang w:eastAsia="en-GB"/>
        </w:rPr>
        <w:t>Policy audit review</w:t>
      </w:r>
    </w:p>
    <w:p w:rsidR="00351EAB" w:rsidRDefault="00B77F51" w:rsidP="00A55E79">
      <w:pPr>
        <w:numPr>
          <w:ilvl w:val="0"/>
          <w:numId w:val="3"/>
        </w:numPr>
        <w:spacing w:after="120"/>
        <w:ind w:left="357" w:hanging="357"/>
        <w:jc w:val="both"/>
        <w:rPr>
          <w:rFonts w:eastAsia="Times New Roman" w:cs="Tahoma"/>
          <w:color w:val="000000"/>
          <w:lang w:eastAsia="en-GB"/>
        </w:rPr>
      </w:pPr>
      <w:r>
        <w:rPr>
          <w:rFonts w:eastAsia="Times New Roman" w:cs="Tahoma"/>
          <w:color w:val="000000"/>
          <w:lang w:eastAsia="en-GB"/>
        </w:rPr>
        <w:t>Complete and report on the a</w:t>
      </w:r>
      <w:r w:rsidR="00351EAB" w:rsidRPr="00351EAB">
        <w:rPr>
          <w:rFonts w:eastAsia="Times New Roman" w:cs="Tahoma"/>
          <w:color w:val="000000"/>
          <w:lang w:eastAsia="en-GB"/>
        </w:rPr>
        <w:t xml:space="preserve">udit </w:t>
      </w:r>
      <w:r>
        <w:rPr>
          <w:rFonts w:eastAsia="Times New Roman" w:cs="Tahoma"/>
          <w:color w:val="000000"/>
          <w:lang w:eastAsia="en-GB"/>
        </w:rPr>
        <w:t xml:space="preserve">of </w:t>
      </w:r>
      <w:r w:rsidR="00351EAB" w:rsidRPr="00351EAB">
        <w:rPr>
          <w:rFonts w:eastAsia="Times New Roman" w:cs="Tahoma"/>
          <w:color w:val="000000"/>
          <w:lang w:eastAsia="en-GB"/>
        </w:rPr>
        <w:t>the current policy framework.</w:t>
      </w:r>
    </w:p>
    <w:p w:rsidR="00A55E79" w:rsidRPr="00A55E79" w:rsidRDefault="00A55E79" w:rsidP="00A55E79">
      <w:pPr>
        <w:spacing w:after="120"/>
        <w:contextualSpacing/>
        <w:jc w:val="both"/>
        <w:rPr>
          <w:rFonts w:eastAsia="Times New Roman" w:cs="Tahoma"/>
          <w:b/>
          <w:i/>
          <w:color w:val="000000"/>
          <w:sz w:val="24"/>
          <w:szCs w:val="24"/>
          <w:lang w:eastAsia="en-GB"/>
        </w:rPr>
      </w:pPr>
      <w:r w:rsidRPr="00A55E79">
        <w:rPr>
          <w:rFonts w:eastAsia="Times New Roman" w:cs="Tahoma"/>
          <w:b/>
          <w:i/>
          <w:color w:val="000000"/>
          <w:sz w:val="24"/>
          <w:szCs w:val="24"/>
          <w:lang w:eastAsia="en-GB"/>
        </w:rPr>
        <w:t>Communications plan</w:t>
      </w:r>
    </w:p>
    <w:p w:rsidR="00A55E79" w:rsidRDefault="00A55E79" w:rsidP="00A55E79">
      <w:pPr>
        <w:numPr>
          <w:ilvl w:val="0"/>
          <w:numId w:val="3"/>
        </w:numPr>
        <w:spacing w:after="120"/>
        <w:ind w:left="357" w:hanging="357"/>
        <w:jc w:val="both"/>
        <w:rPr>
          <w:rFonts w:eastAsia="Times New Roman" w:cs="Tahoma"/>
          <w:color w:val="000000"/>
          <w:lang w:eastAsia="en-GB"/>
        </w:rPr>
      </w:pPr>
      <w:r w:rsidRPr="00351EAB">
        <w:rPr>
          <w:rFonts w:eastAsia="Times New Roman" w:cs="Tahoma"/>
          <w:color w:val="000000"/>
          <w:lang w:eastAsia="en-GB"/>
        </w:rPr>
        <w:t>Prepare a suitable communication of the first stage results and the plans for stage 2, with advice from the Faculty Senior Management Team, including the</w:t>
      </w:r>
      <w:r>
        <w:rPr>
          <w:rFonts w:eastAsia="Times New Roman" w:cs="Tahoma"/>
          <w:color w:val="000000"/>
          <w:lang w:eastAsia="en-GB"/>
        </w:rPr>
        <w:t xml:space="preserve"> Head of Communications</w:t>
      </w:r>
      <w:r w:rsidRPr="00351EAB">
        <w:rPr>
          <w:rFonts w:eastAsia="Times New Roman" w:cs="Tahoma"/>
          <w:color w:val="000000"/>
          <w:lang w:eastAsia="en-GB"/>
        </w:rPr>
        <w:t xml:space="preserve">. </w:t>
      </w:r>
    </w:p>
    <w:p w:rsidR="00A55E79" w:rsidRPr="00A55E79" w:rsidRDefault="00A55E79" w:rsidP="006A4212">
      <w:pPr>
        <w:spacing w:after="120"/>
        <w:contextualSpacing/>
        <w:jc w:val="both"/>
        <w:rPr>
          <w:rFonts w:eastAsia="Times New Roman" w:cs="Tahoma"/>
          <w:b/>
          <w:i/>
          <w:color w:val="000000"/>
          <w:sz w:val="24"/>
          <w:szCs w:val="24"/>
          <w:lang w:eastAsia="en-GB"/>
        </w:rPr>
      </w:pPr>
      <w:r w:rsidRPr="00A55E79">
        <w:rPr>
          <w:rFonts w:eastAsia="Times New Roman" w:cs="Tahoma"/>
          <w:b/>
          <w:i/>
          <w:color w:val="000000"/>
          <w:sz w:val="24"/>
          <w:szCs w:val="24"/>
          <w:lang w:eastAsia="en-GB"/>
        </w:rPr>
        <w:t>Staff consultation and engagement, with a focus on organisational cultural barriers</w:t>
      </w:r>
    </w:p>
    <w:p w:rsidR="00A56235" w:rsidRPr="00A56235" w:rsidRDefault="00A56235" w:rsidP="00A56235">
      <w:pPr>
        <w:spacing w:after="120"/>
        <w:jc w:val="both"/>
        <w:rPr>
          <w:rFonts w:eastAsia="Times New Roman" w:cs="Tahoma"/>
          <w:color w:val="000000"/>
          <w:lang w:eastAsia="en-GB"/>
        </w:rPr>
      </w:pPr>
      <w:r w:rsidRPr="00A56235">
        <w:rPr>
          <w:rFonts w:eastAsia="Times New Roman" w:cs="Tahoma"/>
          <w:color w:val="000000"/>
          <w:lang w:eastAsia="en-GB"/>
        </w:rPr>
        <w:t xml:space="preserve">The audit of metrics and the Equality and Diversity policy framework provides part of the picture, but additional data collection will be needed to fill in the detail, including staff experiences of the organisational culture. This might be through carefully designed consultation channels or more systematically designed qualitative data collection. Both have significant resource implications that will need to be considered. </w:t>
      </w:r>
    </w:p>
    <w:p w:rsidR="00A55E79" w:rsidRDefault="00A55E79" w:rsidP="006A4212">
      <w:pPr>
        <w:pStyle w:val="ListParagraph"/>
        <w:numPr>
          <w:ilvl w:val="0"/>
          <w:numId w:val="3"/>
        </w:numPr>
        <w:tabs>
          <w:tab w:val="left" w:pos="426"/>
        </w:tabs>
        <w:spacing w:after="120"/>
        <w:ind w:left="357" w:hanging="357"/>
        <w:jc w:val="both"/>
        <w:rPr>
          <w:rFonts w:eastAsia="Times New Roman" w:cs="Tahoma"/>
          <w:color w:val="000000"/>
          <w:lang w:eastAsia="en-GB"/>
        </w:rPr>
      </w:pPr>
      <w:r>
        <w:rPr>
          <w:rFonts w:eastAsia="Times New Roman" w:cs="Tahoma"/>
          <w:color w:val="000000"/>
          <w:lang w:eastAsia="en-GB"/>
        </w:rPr>
        <w:t>We will use the results presented in</w:t>
      </w:r>
      <w:r w:rsidRPr="00BF0884">
        <w:rPr>
          <w:rFonts w:eastAsia="Times New Roman" w:cs="Tahoma"/>
          <w:color w:val="000000"/>
          <w:lang w:eastAsia="en-GB"/>
        </w:rPr>
        <w:t xml:space="preserve"> this report as a basis for staff consultation and engagement to explore perceptions and experiences of organisational cultural barriers</w:t>
      </w:r>
      <w:r w:rsidRPr="00602496">
        <w:rPr>
          <w:vertAlign w:val="superscript"/>
          <w:lang w:eastAsia="en-GB"/>
        </w:rPr>
        <w:footnoteReference w:id="9"/>
      </w:r>
      <w:r w:rsidRPr="00BF0884">
        <w:rPr>
          <w:rFonts w:eastAsia="Times New Roman" w:cs="Tahoma"/>
          <w:color w:val="000000"/>
          <w:lang w:eastAsia="en-GB"/>
        </w:rPr>
        <w:t xml:space="preserve"> which obstruct progress towards diversity and equal treatment. </w:t>
      </w:r>
    </w:p>
    <w:p w:rsidR="00A55E79" w:rsidRDefault="00A55E79" w:rsidP="00143347">
      <w:pPr>
        <w:pStyle w:val="ListParagraph"/>
        <w:numPr>
          <w:ilvl w:val="0"/>
          <w:numId w:val="3"/>
        </w:numPr>
        <w:tabs>
          <w:tab w:val="left" w:pos="426"/>
        </w:tabs>
        <w:spacing w:after="0"/>
        <w:ind w:left="357" w:hanging="357"/>
        <w:jc w:val="both"/>
        <w:rPr>
          <w:rFonts w:eastAsia="Times New Roman" w:cs="Tahoma"/>
          <w:color w:val="000000"/>
          <w:lang w:eastAsia="en-GB"/>
        </w:rPr>
      </w:pPr>
      <w:r w:rsidRPr="00BF0884">
        <w:rPr>
          <w:rFonts w:eastAsia="Times New Roman" w:cs="Tahoma"/>
          <w:color w:val="000000"/>
          <w:lang w:eastAsia="en-GB"/>
        </w:rPr>
        <w:t>This may take the form of running an anonymised survey or a series of qualitative focus group consultations.</w:t>
      </w:r>
    </w:p>
    <w:p w:rsidR="00143347" w:rsidRPr="00143347" w:rsidRDefault="00143347" w:rsidP="00143347">
      <w:pPr>
        <w:numPr>
          <w:ilvl w:val="0"/>
          <w:numId w:val="3"/>
        </w:numPr>
        <w:spacing w:after="120"/>
        <w:ind w:left="357" w:hanging="357"/>
        <w:jc w:val="both"/>
        <w:rPr>
          <w:rFonts w:eastAsia="Times New Roman" w:cs="Tahoma"/>
          <w:color w:val="000000"/>
          <w:lang w:eastAsia="en-GB"/>
        </w:rPr>
      </w:pPr>
      <w:r>
        <w:rPr>
          <w:rFonts w:eastAsia="Times New Roman" w:cs="Tahoma"/>
          <w:color w:val="000000"/>
          <w:lang w:eastAsia="en-GB"/>
        </w:rPr>
        <w:t xml:space="preserve">Consultation will include liaison with </w:t>
      </w:r>
      <w:r w:rsidRPr="00351EAB">
        <w:rPr>
          <w:rFonts w:eastAsia="Times New Roman" w:cs="Tahoma"/>
          <w:color w:val="000000"/>
          <w:lang w:eastAsia="en-GB"/>
        </w:rPr>
        <w:t>Humanities members of the University BME staff network</w:t>
      </w:r>
      <w:r>
        <w:rPr>
          <w:rFonts w:eastAsia="Times New Roman" w:cs="Tahoma"/>
          <w:color w:val="000000"/>
          <w:lang w:eastAsia="en-GB"/>
        </w:rPr>
        <w:t xml:space="preserve"> and with the University’s Race Equality Charter Working Group (Chair: James Thompson, AVP for Social Responsibility)</w:t>
      </w:r>
      <w:r w:rsidRPr="00351EAB">
        <w:rPr>
          <w:rFonts w:eastAsia="Times New Roman" w:cs="Tahoma"/>
          <w:color w:val="000000"/>
          <w:lang w:eastAsia="en-GB"/>
        </w:rPr>
        <w:t>.</w:t>
      </w:r>
    </w:p>
    <w:p w:rsidR="00A55E79" w:rsidRPr="00A55E79" w:rsidRDefault="00A55E79" w:rsidP="006A4212">
      <w:pPr>
        <w:spacing w:after="120"/>
        <w:contextualSpacing/>
        <w:jc w:val="both"/>
        <w:rPr>
          <w:rFonts w:eastAsia="Times New Roman" w:cs="Tahoma"/>
          <w:b/>
          <w:i/>
          <w:color w:val="000000"/>
          <w:sz w:val="24"/>
          <w:szCs w:val="24"/>
          <w:lang w:eastAsia="en-GB"/>
        </w:rPr>
      </w:pPr>
      <w:r w:rsidRPr="00A55E79">
        <w:rPr>
          <w:rFonts w:eastAsia="Times New Roman" w:cs="Tahoma"/>
          <w:b/>
          <w:i/>
          <w:color w:val="000000"/>
          <w:sz w:val="24"/>
          <w:szCs w:val="24"/>
          <w:lang w:eastAsia="en-GB"/>
        </w:rPr>
        <w:t>School and Faculty Office Action Plans</w:t>
      </w:r>
    </w:p>
    <w:p w:rsidR="00351EAB" w:rsidRDefault="00A35121" w:rsidP="00980C91">
      <w:pPr>
        <w:numPr>
          <w:ilvl w:val="0"/>
          <w:numId w:val="3"/>
        </w:numPr>
        <w:spacing w:after="120"/>
        <w:ind w:left="357" w:hanging="357"/>
        <w:jc w:val="both"/>
        <w:rPr>
          <w:rFonts w:eastAsia="Times New Roman" w:cs="Tahoma"/>
          <w:color w:val="000000"/>
          <w:lang w:eastAsia="en-GB"/>
        </w:rPr>
      </w:pPr>
      <w:r>
        <w:rPr>
          <w:rFonts w:eastAsia="Times New Roman" w:cs="Tahoma"/>
          <w:color w:val="000000"/>
          <w:lang w:eastAsia="en-GB"/>
        </w:rPr>
        <w:t xml:space="preserve">Support </w:t>
      </w:r>
      <w:r w:rsidR="00351EAB" w:rsidRPr="00351EAB">
        <w:rPr>
          <w:rFonts w:eastAsia="Times New Roman" w:cs="Tahoma"/>
          <w:color w:val="000000"/>
          <w:lang w:eastAsia="en-GB"/>
        </w:rPr>
        <w:t xml:space="preserve">Schools </w:t>
      </w:r>
      <w:r w:rsidR="00A55E79">
        <w:rPr>
          <w:rFonts w:eastAsia="Times New Roman" w:cs="Tahoma"/>
          <w:color w:val="000000"/>
          <w:lang w:eastAsia="en-GB"/>
        </w:rPr>
        <w:t xml:space="preserve">and the Faculty Office </w:t>
      </w:r>
      <w:r>
        <w:rPr>
          <w:rFonts w:eastAsia="Times New Roman" w:cs="Tahoma"/>
          <w:color w:val="000000"/>
          <w:lang w:eastAsia="en-GB"/>
        </w:rPr>
        <w:t xml:space="preserve">in </w:t>
      </w:r>
      <w:r w:rsidR="00A55E79">
        <w:rPr>
          <w:rFonts w:eastAsia="Times New Roman" w:cs="Tahoma"/>
          <w:color w:val="000000"/>
          <w:lang w:eastAsia="en-GB"/>
        </w:rPr>
        <w:t xml:space="preserve">the development and implementation of their </w:t>
      </w:r>
      <w:r w:rsidR="00351EAB" w:rsidRPr="00351EAB">
        <w:rPr>
          <w:rFonts w:eastAsia="Times New Roman" w:cs="Tahoma"/>
          <w:color w:val="000000"/>
          <w:lang w:eastAsia="en-GB"/>
        </w:rPr>
        <w:t>E&amp;D action plan</w:t>
      </w:r>
      <w:r w:rsidR="00A55E79">
        <w:rPr>
          <w:rFonts w:eastAsia="Times New Roman" w:cs="Tahoma"/>
          <w:color w:val="000000"/>
          <w:lang w:eastAsia="en-GB"/>
        </w:rPr>
        <w:t>; including identifying comment themes and sharing good practice</w:t>
      </w:r>
      <w:r>
        <w:rPr>
          <w:rFonts w:eastAsia="Times New Roman" w:cs="Tahoma"/>
          <w:color w:val="000000"/>
          <w:lang w:eastAsia="en-GB"/>
        </w:rPr>
        <w:t>.</w:t>
      </w:r>
    </w:p>
    <w:p w:rsidR="00A55E79" w:rsidRPr="00980C91" w:rsidRDefault="006A4212" w:rsidP="006A4212">
      <w:pPr>
        <w:spacing w:after="120"/>
        <w:contextualSpacing/>
        <w:jc w:val="both"/>
        <w:rPr>
          <w:b/>
          <w:i/>
          <w:sz w:val="24"/>
          <w:szCs w:val="24"/>
        </w:rPr>
      </w:pPr>
      <w:r>
        <w:rPr>
          <w:rFonts w:eastAsia="Times New Roman" w:cs="Tahoma"/>
          <w:b/>
          <w:i/>
          <w:color w:val="000000"/>
          <w:sz w:val="24"/>
          <w:szCs w:val="24"/>
          <w:lang w:eastAsia="en-GB"/>
        </w:rPr>
        <w:lastRenderedPageBreak/>
        <w:t xml:space="preserve">Further analysis of the recruitment and </w:t>
      </w:r>
      <w:r w:rsidR="00A55E79" w:rsidRPr="00980C91">
        <w:rPr>
          <w:rFonts w:eastAsia="Times New Roman" w:cs="Tahoma"/>
          <w:b/>
          <w:i/>
          <w:color w:val="000000"/>
          <w:sz w:val="24"/>
          <w:szCs w:val="24"/>
          <w:lang w:eastAsia="en-GB"/>
        </w:rPr>
        <w:t>promotions data</w:t>
      </w:r>
    </w:p>
    <w:p w:rsidR="00980C91" w:rsidRPr="00143347" w:rsidRDefault="00980C91" w:rsidP="00980C91">
      <w:pPr>
        <w:spacing w:after="120"/>
        <w:jc w:val="both"/>
        <w:rPr>
          <w:rFonts w:eastAsia="Times New Roman" w:cs="Tahoma"/>
          <w:color w:val="000000"/>
          <w:lang w:eastAsia="en-GB"/>
        </w:rPr>
      </w:pPr>
      <w:r w:rsidRPr="00351EAB">
        <w:rPr>
          <w:rFonts w:eastAsia="Times New Roman" w:cs="Tahoma"/>
          <w:color w:val="000000"/>
          <w:lang w:eastAsia="en-GB"/>
        </w:rPr>
        <w:t>It is important to understand entry points and progression profiles in order to identify whe</w:t>
      </w:r>
      <w:r>
        <w:rPr>
          <w:rFonts w:eastAsia="Times New Roman" w:cs="Tahoma"/>
          <w:color w:val="000000"/>
          <w:lang w:eastAsia="en-GB"/>
        </w:rPr>
        <w:t>re</w:t>
      </w:r>
      <w:r w:rsidRPr="00351EAB">
        <w:rPr>
          <w:rFonts w:eastAsia="Times New Roman" w:cs="Tahoma"/>
          <w:color w:val="000000"/>
          <w:lang w:eastAsia="en-GB"/>
        </w:rPr>
        <w:t xml:space="preserve"> the obstacles to diversity are highest for both PSS and academic staff. For example, internal promotion may be the primary pipeline for movement into the middle grades (grade 5-6 for PSS and probation/ lectureship/senior lecturer for academics), entry to senior grades is frequently a combination of internal promotion and</w:t>
      </w:r>
      <w:r w:rsidR="00143347">
        <w:rPr>
          <w:rFonts w:eastAsia="Times New Roman" w:cs="Tahoma"/>
          <w:color w:val="000000"/>
          <w:lang w:eastAsia="en-GB"/>
        </w:rPr>
        <w:t xml:space="preserve"> external recruitment channels.</w:t>
      </w:r>
    </w:p>
    <w:p w:rsidR="00DA5377" w:rsidRPr="00DA5377" w:rsidRDefault="00DA5377" w:rsidP="006601FD">
      <w:pPr>
        <w:numPr>
          <w:ilvl w:val="0"/>
          <w:numId w:val="3"/>
        </w:numPr>
        <w:spacing w:after="120"/>
        <w:contextualSpacing/>
        <w:jc w:val="both"/>
      </w:pPr>
      <w:r>
        <w:rPr>
          <w:rFonts w:eastAsia="Times New Roman" w:cs="Tahoma"/>
          <w:color w:val="000000"/>
          <w:lang w:eastAsia="en-GB"/>
        </w:rPr>
        <w:t>Explore the following issues arising from recruitment data</w:t>
      </w:r>
      <w:r w:rsidR="00A32750">
        <w:rPr>
          <w:rFonts w:eastAsia="Times New Roman" w:cs="Tahoma"/>
          <w:color w:val="000000"/>
          <w:lang w:eastAsia="en-GB"/>
        </w:rPr>
        <w:t xml:space="preserve"> and consider </w:t>
      </w:r>
      <w:r w:rsidR="00A55E79">
        <w:rPr>
          <w:rFonts w:eastAsia="Times New Roman" w:cs="Tahoma"/>
          <w:color w:val="000000"/>
          <w:lang w:eastAsia="en-GB"/>
        </w:rPr>
        <w:t xml:space="preserve">the different </w:t>
      </w:r>
      <w:r w:rsidR="00A32750">
        <w:rPr>
          <w:rFonts w:eastAsia="Times New Roman" w:cs="Tahoma"/>
          <w:color w:val="000000"/>
          <w:lang w:eastAsia="en-GB"/>
        </w:rPr>
        <w:t xml:space="preserve">positive action interventions </w:t>
      </w:r>
      <w:r w:rsidR="00A55E79">
        <w:rPr>
          <w:rFonts w:eastAsia="Times New Roman" w:cs="Tahoma"/>
          <w:color w:val="000000"/>
          <w:lang w:eastAsia="en-GB"/>
        </w:rPr>
        <w:t xml:space="preserve">that might be taken </w:t>
      </w:r>
      <w:r w:rsidR="00A32750">
        <w:rPr>
          <w:rFonts w:eastAsia="Times New Roman" w:cs="Tahoma"/>
          <w:color w:val="000000"/>
          <w:lang w:eastAsia="en-GB"/>
        </w:rPr>
        <w:t>in response</w:t>
      </w:r>
      <w:r>
        <w:rPr>
          <w:rFonts w:eastAsia="Times New Roman" w:cs="Tahoma"/>
          <w:color w:val="000000"/>
          <w:lang w:eastAsia="en-GB"/>
        </w:rPr>
        <w:t>:</w:t>
      </w:r>
    </w:p>
    <w:p w:rsidR="00DA5377" w:rsidRDefault="00DA5377" w:rsidP="006601FD">
      <w:pPr>
        <w:pStyle w:val="ListParagraph"/>
        <w:numPr>
          <w:ilvl w:val="0"/>
          <w:numId w:val="28"/>
        </w:numPr>
        <w:spacing w:after="120"/>
        <w:jc w:val="both"/>
      </w:pPr>
      <w:r>
        <w:t xml:space="preserve">Why are </w:t>
      </w:r>
      <w:r w:rsidRPr="00DA5377">
        <w:t xml:space="preserve">BME candidates </w:t>
      </w:r>
      <w:r>
        <w:t xml:space="preserve">for research staff </w:t>
      </w:r>
      <w:r w:rsidRPr="00DA5377">
        <w:t>much less likely to be shortlisted and appointed at interview stage than white candidates</w:t>
      </w:r>
      <w:r>
        <w:t>?</w:t>
      </w:r>
    </w:p>
    <w:p w:rsidR="00DA5377" w:rsidRDefault="00DA5377" w:rsidP="006601FD">
      <w:pPr>
        <w:pStyle w:val="ListParagraph"/>
        <w:numPr>
          <w:ilvl w:val="0"/>
          <w:numId w:val="28"/>
        </w:numPr>
        <w:spacing w:after="120"/>
        <w:jc w:val="both"/>
      </w:pPr>
      <w:r>
        <w:t>Why are women less successful than men at interview stage for research posts?</w:t>
      </w:r>
    </w:p>
    <w:p w:rsidR="00A32750" w:rsidRDefault="00DA5377" w:rsidP="006601FD">
      <w:pPr>
        <w:pStyle w:val="ListParagraph"/>
        <w:numPr>
          <w:ilvl w:val="0"/>
          <w:numId w:val="28"/>
        </w:numPr>
        <w:spacing w:after="120"/>
        <w:jc w:val="both"/>
      </w:pPr>
      <w:r>
        <w:t xml:space="preserve">For PSS positions, why are </w:t>
      </w:r>
      <w:r w:rsidRPr="00DA5377">
        <w:t>BME applicants less likely to be shortlisted than white candidates and half as likely to be appointed at interview stage</w:t>
      </w:r>
      <w:r>
        <w:t>?</w:t>
      </w:r>
    </w:p>
    <w:p w:rsidR="00980C91" w:rsidRDefault="00E83BF3" w:rsidP="00980C91">
      <w:pPr>
        <w:pStyle w:val="ListParagraph"/>
        <w:numPr>
          <w:ilvl w:val="0"/>
          <w:numId w:val="28"/>
        </w:numPr>
        <w:spacing w:after="120"/>
        <w:ind w:left="1077" w:hanging="357"/>
        <w:contextualSpacing w:val="0"/>
        <w:jc w:val="both"/>
      </w:pPr>
      <w:r>
        <w:t>Why are women more successful in applications for senior lectureships, but less likely to apply for promotion to Chair, and less likely to secure promotion when they do apply?</w:t>
      </w:r>
    </w:p>
    <w:p w:rsidR="00980C91" w:rsidRPr="00980C91" w:rsidRDefault="00980C91" w:rsidP="00980C91">
      <w:pPr>
        <w:pStyle w:val="ListParagraph"/>
        <w:numPr>
          <w:ilvl w:val="0"/>
          <w:numId w:val="3"/>
        </w:numPr>
        <w:spacing w:after="120"/>
        <w:jc w:val="both"/>
        <w:rPr>
          <w:rFonts w:eastAsia="Times New Roman" w:cs="Tahoma"/>
          <w:color w:val="000000"/>
          <w:lang w:eastAsia="en-GB"/>
        </w:rPr>
      </w:pPr>
      <w:r w:rsidRPr="00980C91">
        <w:rPr>
          <w:rFonts w:eastAsia="Times New Roman" w:cs="Tahoma"/>
          <w:color w:val="000000"/>
          <w:lang w:eastAsia="en-GB"/>
        </w:rPr>
        <w:t>It may be useful to supplement the data on promotion applications and outcomes with information on PDR coverage and academic (sabbatical) leave.</w:t>
      </w:r>
    </w:p>
    <w:p w:rsidR="00980C91" w:rsidRPr="00980C91" w:rsidRDefault="00980C91" w:rsidP="00980C91">
      <w:pPr>
        <w:pStyle w:val="ListParagraph"/>
        <w:numPr>
          <w:ilvl w:val="0"/>
          <w:numId w:val="3"/>
        </w:numPr>
        <w:spacing w:after="120"/>
        <w:jc w:val="both"/>
        <w:rPr>
          <w:rFonts w:eastAsia="Times New Roman" w:cs="Tahoma"/>
          <w:color w:val="000000"/>
          <w:lang w:eastAsia="en-GB"/>
        </w:rPr>
      </w:pPr>
      <w:r>
        <w:rPr>
          <w:rFonts w:eastAsia="Times New Roman" w:cs="Tahoma"/>
          <w:color w:val="000000"/>
          <w:lang w:eastAsia="en-GB"/>
        </w:rPr>
        <w:t>It may also be informative to analyse r</w:t>
      </w:r>
      <w:r w:rsidRPr="00980C91">
        <w:rPr>
          <w:rFonts w:eastAsia="Times New Roman" w:cs="Tahoma"/>
          <w:color w:val="000000"/>
          <w:lang w:eastAsia="en-GB"/>
        </w:rPr>
        <w:t xml:space="preserve">etention data and </w:t>
      </w:r>
      <w:r>
        <w:rPr>
          <w:rFonts w:eastAsia="Times New Roman" w:cs="Tahoma"/>
          <w:color w:val="000000"/>
          <w:lang w:eastAsia="en-GB"/>
        </w:rPr>
        <w:t xml:space="preserve">the </w:t>
      </w:r>
      <w:r w:rsidRPr="00980C91">
        <w:rPr>
          <w:rFonts w:eastAsia="Times New Roman" w:cs="Tahoma"/>
          <w:color w:val="000000"/>
          <w:lang w:eastAsia="en-GB"/>
        </w:rPr>
        <w:t>reasons for exit by gender and BME status.</w:t>
      </w:r>
    </w:p>
    <w:p w:rsidR="006A4212" w:rsidRPr="006A4212" w:rsidRDefault="006A4212" w:rsidP="006A4212">
      <w:pPr>
        <w:spacing w:after="120"/>
        <w:contextualSpacing/>
        <w:rPr>
          <w:rFonts w:eastAsia="Times New Roman" w:cs="Tahoma"/>
          <w:b/>
          <w:i/>
          <w:color w:val="000000"/>
          <w:sz w:val="24"/>
          <w:szCs w:val="24"/>
          <w:lang w:eastAsia="en-GB"/>
        </w:rPr>
      </w:pPr>
      <w:r w:rsidRPr="006A4212">
        <w:rPr>
          <w:rFonts w:eastAsia="Times New Roman" w:cs="Tahoma"/>
          <w:b/>
          <w:i/>
          <w:color w:val="000000"/>
          <w:sz w:val="24"/>
          <w:szCs w:val="24"/>
          <w:lang w:eastAsia="en-GB"/>
        </w:rPr>
        <w:t>Pay Gaps monitoring</w:t>
      </w:r>
    </w:p>
    <w:p w:rsidR="006A4212" w:rsidRDefault="006A4212" w:rsidP="006A4212">
      <w:pPr>
        <w:numPr>
          <w:ilvl w:val="0"/>
          <w:numId w:val="8"/>
        </w:numPr>
        <w:spacing w:after="0"/>
        <w:ind w:left="357" w:hanging="357"/>
        <w:contextualSpacing/>
        <w:jc w:val="both"/>
        <w:rPr>
          <w:rFonts w:eastAsia="Times New Roman" w:cs="Tahoma"/>
          <w:color w:val="000000"/>
          <w:lang w:eastAsia="en-GB"/>
        </w:rPr>
      </w:pPr>
      <w:r w:rsidRPr="00351EAB">
        <w:rPr>
          <w:rFonts w:eastAsia="Times New Roman" w:cs="Tahoma"/>
          <w:color w:val="000000"/>
          <w:lang w:eastAsia="en-GB"/>
        </w:rPr>
        <w:t>Although the institutional equal pay audit of all staff is not disaggregated by Faculty, its disaggregation by grade and occupational group suggests that there are no gaps at Grades 1 to 8 (i.e. below the level of professor/Grade 9) of a magnitude that demand further investigation or ac</w:t>
      </w:r>
      <w:r>
        <w:rPr>
          <w:rFonts w:eastAsia="Times New Roman" w:cs="Tahoma"/>
          <w:color w:val="000000"/>
          <w:lang w:eastAsia="en-GB"/>
        </w:rPr>
        <w:t xml:space="preserve">tion. The data should </w:t>
      </w:r>
      <w:r w:rsidRPr="00351EAB">
        <w:rPr>
          <w:rFonts w:eastAsia="Times New Roman" w:cs="Tahoma"/>
          <w:color w:val="000000"/>
          <w:lang w:eastAsia="en-GB"/>
        </w:rPr>
        <w:t>be monitored on a regular basis to ensure the situation does not deteriorate</w:t>
      </w:r>
      <w:r w:rsidR="00143347">
        <w:rPr>
          <w:rFonts w:eastAsia="Times New Roman" w:cs="Tahoma"/>
          <w:color w:val="000000"/>
          <w:lang w:eastAsia="en-GB"/>
        </w:rPr>
        <w:t xml:space="preserve"> and that gaps become narrower over time</w:t>
      </w:r>
      <w:r w:rsidRPr="00351EAB">
        <w:rPr>
          <w:rFonts w:eastAsia="Times New Roman" w:cs="Tahoma"/>
          <w:color w:val="000000"/>
          <w:lang w:eastAsia="en-GB"/>
        </w:rPr>
        <w:t>.</w:t>
      </w:r>
      <w:r>
        <w:rPr>
          <w:rFonts w:eastAsia="Times New Roman" w:cs="Tahoma"/>
          <w:color w:val="000000"/>
          <w:lang w:eastAsia="en-GB"/>
        </w:rPr>
        <w:t xml:space="preserve"> </w:t>
      </w:r>
    </w:p>
    <w:p w:rsidR="006A4212" w:rsidRDefault="006A4212" w:rsidP="006A4212">
      <w:pPr>
        <w:numPr>
          <w:ilvl w:val="0"/>
          <w:numId w:val="8"/>
        </w:numPr>
        <w:spacing w:after="0"/>
        <w:ind w:left="357" w:hanging="357"/>
        <w:contextualSpacing/>
        <w:jc w:val="both"/>
        <w:rPr>
          <w:rFonts w:eastAsia="Times New Roman" w:cs="Tahoma"/>
          <w:color w:val="000000"/>
          <w:lang w:eastAsia="en-GB"/>
        </w:rPr>
      </w:pPr>
      <w:r>
        <w:rPr>
          <w:rFonts w:eastAsia="Times New Roman" w:cs="Tahoma"/>
          <w:color w:val="000000"/>
          <w:lang w:eastAsia="en-GB"/>
        </w:rPr>
        <w:t>The overall pay gaps across all grades reflects the underrepresentation of women and BME staff at the higher grades.</w:t>
      </w:r>
    </w:p>
    <w:p w:rsidR="006A4212" w:rsidRPr="00143347" w:rsidRDefault="006A4212" w:rsidP="00143347">
      <w:pPr>
        <w:numPr>
          <w:ilvl w:val="0"/>
          <w:numId w:val="8"/>
        </w:numPr>
        <w:spacing w:after="120"/>
        <w:ind w:left="357" w:hanging="357"/>
        <w:jc w:val="both"/>
        <w:rPr>
          <w:rFonts w:eastAsia="Times New Roman" w:cs="Tahoma"/>
          <w:color w:val="000000"/>
          <w:lang w:eastAsia="en-GB"/>
        </w:rPr>
      </w:pPr>
      <w:r>
        <w:rPr>
          <w:rFonts w:eastAsia="Times New Roman" w:cs="Tahoma"/>
          <w:color w:val="000000"/>
          <w:lang w:eastAsia="en-GB"/>
        </w:rPr>
        <w:t>There are notable professorial pay gaps (in excess of 5%) by gender or ethnic status within certain professorial zones.</w:t>
      </w:r>
      <w:r w:rsidR="00143347">
        <w:rPr>
          <w:rFonts w:eastAsia="Times New Roman" w:cs="Tahoma"/>
          <w:color w:val="000000"/>
          <w:lang w:eastAsia="en-GB"/>
        </w:rPr>
        <w:t xml:space="preserve"> The gender and BME</w:t>
      </w:r>
      <w:r w:rsidRPr="00143347">
        <w:rPr>
          <w:rFonts w:eastAsia="Times New Roman" w:cs="Tahoma"/>
          <w:color w:val="000000"/>
          <w:lang w:eastAsia="en-GB"/>
        </w:rPr>
        <w:t xml:space="preserve"> outcomes in the cycle of professorial applications for increments and rezoning </w:t>
      </w:r>
      <w:r w:rsidR="00143347">
        <w:rPr>
          <w:rFonts w:eastAsia="Times New Roman" w:cs="Tahoma"/>
          <w:color w:val="000000"/>
          <w:lang w:eastAsia="en-GB"/>
        </w:rPr>
        <w:t xml:space="preserve">should be monitored and diagnosed </w:t>
      </w:r>
      <w:r w:rsidRPr="00143347">
        <w:rPr>
          <w:rFonts w:eastAsia="Times New Roman" w:cs="Tahoma"/>
          <w:color w:val="000000"/>
          <w:lang w:eastAsia="en-GB"/>
        </w:rPr>
        <w:t>as part of the annual monitoring of the outcomes from the promotions round.</w:t>
      </w:r>
    </w:p>
    <w:p w:rsidR="005D067E" w:rsidRPr="00B402FC" w:rsidRDefault="00B402FC" w:rsidP="006A4212">
      <w:pPr>
        <w:spacing w:after="120"/>
        <w:contextualSpacing/>
        <w:jc w:val="both"/>
        <w:rPr>
          <w:rFonts w:eastAsia="Times New Roman" w:cs="Tahoma"/>
          <w:b/>
          <w:i/>
          <w:color w:val="000000"/>
          <w:sz w:val="24"/>
          <w:szCs w:val="24"/>
          <w:lang w:eastAsia="en-GB"/>
        </w:rPr>
      </w:pPr>
      <w:r w:rsidRPr="00B402FC">
        <w:rPr>
          <w:rFonts w:eastAsia="Times New Roman" w:cs="Tahoma"/>
          <w:b/>
          <w:i/>
          <w:color w:val="000000"/>
          <w:sz w:val="24"/>
          <w:szCs w:val="24"/>
          <w:lang w:eastAsia="en-GB"/>
        </w:rPr>
        <w:t xml:space="preserve">Analysis of the Gender and BME profile of school </w:t>
      </w:r>
      <w:r>
        <w:rPr>
          <w:rFonts w:eastAsia="Times New Roman" w:cs="Tahoma"/>
          <w:b/>
          <w:i/>
          <w:color w:val="000000"/>
          <w:sz w:val="24"/>
          <w:szCs w:val="24"/>
          <w:lang w:eastAsia="en-GB"/>
        </w:rPr>
        <w:t xml:space="preserve">and institute </w:t>
      </w:r>
      <w:r w:rsidRPr="00B402FC">
        <w:rPr>
          <w:rFonts w:eastAsia="Times New Roman" w:cs="Tahoma"/>
          <w:b/>
          <w:i/>
          <w:color w:val="000000"/>
          <w:sz w:val="24"/>
          <w:szCs w:val="24"/>
          <w:lang w:eastAsia="en-GB"/>
        </w:rPr>
        <w:t xml:space="preserve">leadership positions </w:t>
      </w:r>
    </w:p>
    <w:p w:rsidR="00B402FC" w:rsidRDefault="00B402FC" w:rsidP="005D067E">
      <w:pPr>
        <w:numPr>
          <w:ilvl w:val="0"/>
          <w:numId w:val="8"/>
        </w:numPr>
        <w:spacing w:after="120"/>
        <w:contextualSpacing/>
        <w:jc w:val="both"/>
        <w:rPr>
          <w:rFonts w:eastAsia="Times New Roman" w:cs="Tahoma"/>
          <w:color w:val="000000"/>
          <w:lang w:eastAsia="en-GB"/>
        </w:rPr>
      </w:pPr>
      <w:r w:rsidRPr="00351EAB">
        <w:rPr>
          <w:rFonts w:eastAsia="Times New Roman" w:cs="Tahoma"/>
          <w:color w:val="000000"/>
          <w:lang w:eastAsia="en-GB"/>
        </w:rPr>
        <w:t xml:space="preserve">Further breakdown within schools for </w:t>
      </w:r>
      <w:r>
        <w:rPr>
          <w:rFonts w:eastAsia="Times New Roman" w:cs="Tahoma"/>
          <w:color w:val="000000"/>
          <w:lang w:eastAsia="en-GB"/>
        </w:rPr>
        <w:t xml:space="preserve">professorial positions </w:t>
      </w:r>
      <w:r w:rsidRPr="00351EAB">
        <w:rPr>
          <w:rFonts w:eastAsia="Times New Roman" w:cs="Tahoma"/>
          <w:color w:val="000000"/>
          <w:lang w:eastAsia="en-GB"/>
        </w:rPr>
        <w:t xml:space="preserve"> by discipline area where profiles are anticipated or known to vary (e.g. contrast gender profile of economics and sociology, similarly in SEED)</w:t>
      </w:r>
    </w:p>
    <w:p w:rsidR="005D067E" w:rsidRDefault="005D067E" w:rsidP="00143347">
      <w:pPr>
        <w:numPr>
          <w:ilvl w:val="0"/>
          <w:numId w:val="8"/>
        </w:numPr>
        <w:spacing w:after="120"/>
        <w:ind w:left="357" w:hanging="357"/>
        <w:jc w:val="both"/>
        <w:rPr>
          <w:rFonts w:eastAsia="Times New Roman" w:cs="Tahoma"/>
          <w:color w:val="000000"/>
          <w:lang w:eastAsia="en-GB"/>
        </w:rPr>
      </w:pPr>
      <w:r w:rsidRPr="00351EAB">
        <w:rPr>
          <w:rFonts w:eastAsia="Times New Roman" w:cs="Tahoma"/>
          <w:color w:val="000000"/>
          <w:lang w:eastAsia="en-GB"/>
        </w:rPr>
        <w:t>The gender and BME profiles of school leadership positions (division/discipline area heads, School functional directors</w:t>
      </w:r>
      <w:r w:rsidR="00980C91">
        <w:rPr>
          <w:rFonts w:eastAsia="Times New Roman" w:cs="Tahoma"/>
          <w:color w:val="000000"/>
          <w:lang w:eastAsia="en-GB"/>
        </w:rPr>
        <w:t xml:space="preserve">, chair of school board), </w:t>
      </w:r>
      <w:r w:rsidRPr="00351EAB">
        <w:rPr>
          <w:rFonts w:eastAsia="Times New Roman" w:cs="Tahoma"/>
          <w:color w:val="000000"/>
          <w:lang w:eastAsia="en-GB"/>
        </w:rPr>
        <w:t>research institutes</w:t>
      </w:r>
      <w:r w:rsidR="00980C91">
        <w:rPr>
          <w:rFonts w:eastAsia="Times New Roman" w:cs="Tahoma"/>
          <w:color w:val="000000"/>
          <w:lang w:eastAsia="en-GB"/>
        </w:rPr>
        <w:t>, and of major research centres and networks</w:t>
      </w:r>
      <w:r w:rsidRPr="00351EAB">
        <w:rPr>
          <w:rFonts w:eastAsia="Times New Roman" w:cs="Tahoma"/>
          <w:color w:val="000000"/>
          <w:lang w:eastAsia="en-GB"/>
        </w:rPr>
        <w:t>.</w:t>
      </w:r>
    </w:p>
    <w:p w:rsidR="006A4212" w:rsidRPr="006A4212" w:rsidRDefault="006A4212" w:rsidP="006A4212">
      <w:pPr>
        <w:spacing w:after="120"/>
        <w:contextualSpacing/>
        <w:jc w:val="both"/>
        <w:rPr>
          <w:rFonts w:eastAsia="Times New Roman" w:cs="Tahoma"/>
          <w:b/>
          <w:i/>
          <w:color w:val="000000"/>
          <w:sz w:val="24"/>
          <w:szCs w:val="24"/>
          <w:lang w:eastAsia="en-GB"/>
        </w:rPr>
      </w:pPr>
      <w:r w:rsidRPr="006A4212">
        <w:rPr>
          <w:rFonts w:eastAsia="Times New Roman" w:cs="Tahoma"/>
          <w:b/>
          <w:i/>
          <w:color w:val="000000"/>
          <w:sz w:val="24"/>
          <w:szCs w:val="24"/>
          <w:lang w:eastAsia="en-GB"/>
        </w:rPr>
        <w:t>Analysis of fixed-term and teaching focussed contracts</w:t>
      </w:r>
    </w:p>
    <w:p w:rsidR="005D067E" w:rsidRDefault="005D067E" w:rsidP="005D067E">
      <w:pPr>
        <w:numPr>
          <w:ilvl w:val="0"/>
          <w:numId w:val="8"/>
        </w:numPr>
        <w:spacing w:after="120"/>
        <w:contextualSpacing/>
        <w:jc w:val="both"/>
        <w:rPr>
          <w:rFonts w:eastAsia="Times New Roman" w:cs="Tahoma"/>
          <w:color w:val="000000"/>
          <w:lang w:eastAsia="en-GB"/>
        </w:rPr>
      </w:pPr>
      <w:r w:rsidRPr="00351EAB">
        <w:rPr>
          <w:rFonts w:eastAsia="Times New Roman" w:cs="Tahoma"/>
          <w:color w:val="000000"/>
          <w:lang w:eastAsia="en-GB"/>
        </w:rPr>
        <w:t>The gender and BME profile of academic staff on fixed-term contracts and teaching focussed contracts vis-à-vis open-ended standard (teaching and research) lectureships.</w:t>
      </w:r>
    </w:p>
    <w:p w:rsidR="006A4212" w:rsidRDefault="006A4212" w:rsidP="00A56235">
      <w:pPr>
        <w:numPr>
          <w:ilvl w:val="0"/>
          <w:numId w:val="8"/>
        </w:numPr>
        <w:spacing w:after="120"/>
        <w:ind w:left="357" w:hanging="357"/>
        <w:jc w:val="both"/>
        <w:rPr>
          <w:rFonts w:eastAsia="Times New Roman" w:cs="Tahoma"/>
          <w:color w:val="000000"/>
          <w:lang w:eastAsia="en-GB"/>
        </w:rPr>
      </w:pPr>
      <w:r w:rsidRPr="00351EAB">
        <w:rPr>
          <w:rFonts w:eastAsia="Times New Roman" w:cs="Tahoma"/>
          <w:color w:val="000000"/>
          <w:lang w:eastAsia="en-GB"/>
        </w:rPr>
        <w:lastRenderedPageBreak/>
        <w:t>Some academic staff have moved from teaching and research contracts to ‘teaching and scholarship’ (teaching focussed) contracts. The gender and BME profile of these contract transfers should be examined to inform our understanding of career progression.</w:t>
      </w:r>
    </w:p>
    <w:p w:rsidR="00143347" w:rsidRPr="00143347" w:rsidRDefault="00143347" w:rsidP="00143347">
      <w:pPr>
        <w:spacing w:after="120"/>
        <w:contextualSpacing/>
        <w:jc w:val="both"/>
        <w:rPr>
          <w:rFonts w:eastAsia="Times New Roman" w:cs="Tahoma"/>
          <w:b/>
          <w:i/>
          <w:color w:val="000000"/>
          <w:sz w:val="24"/>
          <w:szCs w:val="24"/>
          <w:lang w:eastAsia="en-GB"/>
        </w:rPr>
      </w:pPr>
      <w:r>
        <w:rPr>
          <w:rFonts w:eastAsia="Times New Roman" w:cs="Tahoma"/>
          <w:b/>
          <w:i/>
          <w:color w:val="000000"/>
          <w:sz w:val="24"/>
          <w:szCs w:val="24"/>
          <w:lang w:eastAsia="en-GB"/>
        </w:rPr>
        <w:t xml:space="preserve">Family responsibilities - analysis of the use of University policies and services </w:t>
      </w:r>
    </w:p>
    <w:p w:rsidR="00143347" w:rsidRDefault="00143347" w:rsidP="00143347">
      <w:pPr>
        <w:numPr>
          <w:ilvl w:val="0"/>
          <w:numId w:val="8"/>
        </w:numPr>
        <w:spacing w:after="120"/>
        <w:contextualSpacing/>
        <w:jc w:val="both"/>
        <w:rPr>
          <w:rFonts w:eastAsia="Times New Roman" w:cs="Tahoma"/>
          <w:color w:val="000000"/>
          <w:lang w:eastAsia="en-GB"/>
        </w:rPr>
      </w:pPr>
      <w:r w:rsidRPr="00351EAB">
        <w:rPr>
          <w:rFonts w:eastAsia="Times New Roman" w:cs="Tahoma"/>
          <w:color w:val="000000"/>
          <w:lang w:eastAsia="en-GB"/>
        </w:rPr>
        <w:t>Data on care responsibilities (children, elder care) and the use of the ‘right to request reduced/flexible hours’</w:t>
      </w:r>
      <w:r w:rsidR="00A56235">
        <w:rPr>
          <w:rFonts w:eastAsia="Times New Roman" w:cs="Tahoma"/>
          <w:color w:val="000000"/>
          <w:lang w:eastAsia="en-GB"/>
        </w:rPr>
        <w:t>, part-time contracts, periods of unpaid leave/career breaks</w:t>
      </w:r>
      <w:r w:rsidRPr="00351EAB">
        <w:rPr>
          <w:rFonts w:eastAsia="Times New Roman" w:cs="Tahoma"/>
          <w:color w:val="000000"/>
          <w:lang w:eastAsia="en-GB"/>
        </w:rPr>
        <w:t xml:space="preserve"> and of parental leave, broken down by gender (and perhaps BME status?).</w:t>
      </w:r>
    </w:p>
    <w:p w:rsidR="00A56235" w:rsidRDefault="00A56235" w:rsidP="00143347">
      <w:pPr>
        <w:numPr>
          <w:ilvl w:val="0"/>
          <w:numId w:val="8"/>
        </w:numPr>
        <w:spacing w:after="120"/>
        <w:contextualSpacing/>
        <w:jc w:val="both"/>
        <w:rPr>
          <w:rFonts w:eastAsia="Times New Roman" w:cs="Tahoma"/>
          <w:color w:val="000000"/>
          <w:lang w:eastAsia="en-GB"/>
        </w:rPr>
      </w:pPr>
      <w:r>
        <w:rPr>
          <w:rFonts w:eastAsia="Times New Roman" w:cs="Tahoma"/>
          <w:color w:val="000000"/>
          <w:lang w:eastAsia="en-GB"/>
        </w:rPr>
        <w:t>University provision for childcare, including the nursery and support with off-site costs under the government’s childcare policy</w:t>
      </w:r>
    </w:p>
    <w:p w:rsidR="00A56235" w:rsidRDefault="00A56235" w:rsidP="00143347">
      <w:pPr>
        <w:numPr>
          <w:ilvl w:val="0"/>
          <w:numId w:val="8"/>
        </w:numPr>
        <w:spacing w:after="120"/>
        <w:contextualSpacing/>
        <w:jc w:val="both"/>
        <w:rPr>
          <w:rFonts w:eastAsia="Times New Roman" w:cs="Tahoma"/>
          <w:color w:val="000000"/>
          <w:lang w:eastAsia="en-GB"/>
        </w:rPr>
      </w:pPr>
      <w:r>
        <w:rPr>
          <w:rFonts w:eastAsia="Times New Roman" w:cs="Tahoma"/>
          <w:color w:val="000000"/>
          <w:lang w:eastAsia="en-GB"/>
        </w:rPr>
        <w:t>Review the rationale for, and communication of, the University policy concerning children on campus.</w:t>
      </w:r>
    </w:p>
    <w:p w:rsidR="00143347" w:rsidRPr="00A56235" w:rsidRDefault="005D067E" w:rsidP="00A56235">
      <w:pPr>
        <w:spacing w:after="120"/>
        <w:rPr>
          <w:rFonts w:eastAsia="Times New Roman" w:cs="Tahoma"/>
          <w:b/>
          <w:i/>
          <w:color w:val="000000"/>
          <w:sz w:val="24"/>
          <w:szCs w:val="24"/>
          <w:lang w:eastAsia="en-GB"/>
        </w:rPr>
      </w:pPr>
      <w:r w:rsidRPr="00010A2A">
        <w:rPr>
          <w:rFonts w:eastAsia="Times New Roman" w:cs="Tahoma"/>
          <w:b/>
          <w:i/>
          <w:color w:val="000000"/>
          <w:sz w:val="24"/>
          <w:szCs w:val="24"/>
          <w:lang w:eastAsia="en-GB"/>
        </w:rPr>
        <w:t>Other recommendations for further consideration i</w:t>
      </w:r>
      <w:r w:rsidR="00A56235">
        <w:rPr>
          <w:rFonts w:eastAsia="Times New Roman" w:cs="Tahoma"/>
          <w:b/>
          <w:i/>
          <w:color w:val="000000"/>
          <w:sz w:val="24"/>
          <w:szCs w:val="24"/>
          <w:lang w:eastAsia="en-GB"/>
        </w:rPr>
        <w:t>n stage 2 of the work programme</w:t>
      </w:r>
    </w:p>
    <w:p w:rsidR="00143347" w:rsidRPr="00143347" w:rsidRDefault="00143347" w:rsidP="00A56235">
      <w:pPr>
        <w:numPr>
          <w:ilvl w:val="0"/>
          <w:numId w:val="8"/>
        </w:numPr>
        <w:spacing w:after="120"/>
        <w:contextualSpacing/>
        <w:jc w:val="both"/>
        <w:rPr>
          <w:rFonts w:eastAsia="Times New Roman" w:cs="Tahoma"/>
          <w:color w:val="000000"/>
          <w:lang w:eastAsia="en-GB"/>
        </w:rPr>
      </w:pPr>
      <w:r w:rsidRPr="00351EAB">
        <w:rPr>
          <w:rFonts w:eastAsia="Times New Roman" w:cs="Tahoma"/>
          <w:color w:val="000000"/>
          <w:lang w:eastAsia="en-GB"/>
        </w:rPr>
        <w:t>It would be helpful to have data showing BME status broken down by UK and non-UK nationals for academics, and for student BME data for international as well as UK students.</w:t>
      </w:r>
    </w:p>
    <w:p w:rsidR="005D067E" w:rsidRPr="00351EAB" w:rsidRDefault="005D067E" w:rsidP="005D067E">
      <w:pPr>
        <w:numPr>
          <w:ilvl w:val="0"/>
          <w:numId w:val="8"/>
        </w:numPr>
        <w:spacing w:after="120"/>
        <w:ind w:left="357" w:hanging="357"/>
        <w:contextualSpacing/>
        <w:jc w:val="both"/>
        <w:rPr>
          <w:rFonts w:eastAsia="Times New Roman" w:cs="Tahoma"/>
          <w:color w:val="000000"/>
          <w:lang w:eastAsia="en-GB"/>
        </w:rPr>
      </w:pPr>
      <w:r w:rsidRPr="00351EAB">
        <w:rPr>
          <w:rFonts w:eastAsia="Times New Roman" w:cs="Tahoma"/>
          <w:color w:val="000000"/>
          <w:lang w:eastAsia="en-GB"/>
        </w:rPr>
        <w:t>The intersectionality of inequalities has been illustrated by the analysis of the data on the situation of BME women. This needs to be take</w:t>
      </w:r>
      <w:r w:rsidR="006A4212">
        <w:rPr>
          <w:rFonts w:eastAsia="Times New Roman" w:cs="Tahoma"/>
          <w:color w:val="000000"/>
          <w:lang w:eastAsia="en-GB"/>
        </w:rPr>
        <w:t>n</w:t>
      </w:r>
      <w:r w:rsidRPr="00351EAB">
        <w:rPr>
          <w:rFonts w:eastAsia="Times New Roman" w:cs="Tahoma"/>
          <w:color w:val="000000"/>
          <w:lang w:eastAsia="en-GB"/>
        </w:rPr>
        <w:t xml:space="preserve"> into consideration, particularly when the WG progresses to consider organisational cultural barriers to diversity, for LGBT staff for example. </w:t>
      </w:r>
    </w:p>
    <w:p w:rsidR="005D067E" w:rsidRPr="00351EAB" w:rsidRDefault="005D067E" w:rsidP="005D067E">
      <w:pPr>
        <w:numPr>
          <w:ilvl w:val="0"/>
          <w:numId w:val="8"/>
        </w:numPr>
        <w:spacing w:after="120"/>
        <w:ind w:left="357" w:hanging="357"/>
        <w:contextualSpacing/>
        <w:jc w:val="both"/>
        <w:rPr>
          <w:rFonts w:eastAsia="Times New Roman" w:cs="Tahoma"/>
          <w:color w:val="000000"/>
          <w:lang w:eastAsia="en-GB"/>
        </w:rPr>
      </w:pPr>
      <w:r w:rsidRPr="00351EAB">
        <w:rPr>
          <w:rFonts w:eastAsia="Times New Roman" w:cs="Tahoma"/>
          <w:color w:val="000000"/>
          <w:lang w:eastAsia="en-GB"/>
        </w:rPr>
        <w:t xml:space="preserve">Disability is not part of the remit of this Working Group, but it is recommended that HR consider undertaking a similar audit given there are APR targets for disability as well. </w:t>
      </w:r>
    </w:p>
    <w:p w:rsidR="005D067E" w:rsidRPr="00351EAB" w:rsidRDefault="005D067E" w:rsidP="005D067E">
      <w:pPr>
        <w:numPr>
          <w:ilvl w:val="0"/>
          <w:numId w:val="8"/>
        </w:numPr>
        <w:spacing w:after="120"/>
        <w:ind w:left="357" w:hanging="357"/>
        <w:contextualSpacing/>
        <w:jc w:val="both"/>
        <w:rPr>
          <w:rFonts w:eastAsia="Times New Roman" w:cs="Tahoma"/>
          <w:color w:val="000000"/>
          <w:lang w:eastAsia="en-GB"/>
        </w:rPr>
      </w:pPr>
      <w:r w:rsidRPr="00351EAB">
        <w:rPr>
          <w:rFonts w:eastAsia="Times New Roman" w:cs="Tahoma"/>
          <w:color w:val="000000"/>
          <w:lang w:eastAsia="en-GB"/>
        </w:rPr>
        <w:t xml:space="preserve">The University can play a role in progressing Equality and Diversity in society through the way that it recruits and trains it students and supports those already in professional practice (e.g. many of our postgraduates in education, law and business). The WG should liaise with the Social Responsibility Directorate in relation to its work (i) analysing student recruitment, attrition and attainment (ii) promoting social responsibility in the curriculum in relation to Equality and Diversity issues. </w:t>
      </w:r>
    </w:p>
    <w:p w:rsidR="00A32750" w:rsidRDefault="00A32750" w:rsidP="00A56235">
      <w:pPr>
        <w:spacing w:after="120"/>
        <w:jc w:val="both"/>
      </w:pPr>
    </w:p>
    <w:p w:rsidR="00F26411" w:rsidRPr="00010A2A" w:rsidRDefault="00BF1DBD" w:rsidP="00010A2A">
      <w:pPr>
        <w:spacing w:after="120"/>
        <w:jc w:val="both"/>
        <w:rPr>
          <w:b/>
          <w:sz w:val="28"/>
          <w:szCs w:val="28"/>
        </w:rPr>
      </w:pPr>
      <w:r>
        <w:rPr>
          <w:b/>
          <w:sz w:val="28"/>
          <w:szCs w:val="28"/>
        </w:rPr>
        <w:t>7</w:t>
      </w:r>
      <w:r w:rsidR="00010A2A">
        <w:rPr>
          <w:b/>
          <w:sz w:val="28"/>
          <w:szCs w:val="28"/>
        </w:rPr>
        <w:t xml:space="preserve">. </w:t>
      </w:r>
      <w:r w:rsidR="005D067E">
        <w:rPr>
          <w:b/>
          <w:sz w:val="28"/>
          <w:szCs w:val="28"/>
        </w:rPr>
        <w:t>Recommendation for the Working Group’s on</w:t>
      </w:r>
      <w:r w:rsidR="00F26411" w:rsidRPr="00010A2A">
        <w:rPr>
          <w:b/>
          <w:sz w:val="28"/>
          <w:szCs w:val="28"/>
        </w:rPr>
        <w:t>going remit and reporting arrangements</w:t>
      </w:r>
    </w:p>
    <w:p w:rsidR="005D067E" w:rsidRDefault="009E240C" w:rsidP="006E544B">
      <w:pPr>
        <w:spacing w:after="120"/>
        <w:jc w:val="both"/>
      </w:pPr>
      <w:r>
        <w:t xml:space="preserve">It is recommended that the Working Group should </w:t>
      </w:r>
    </w:p>
    <w:p w:rsidR="005D067E" w:rsidRDefault="00A56235" w:rsidP="005D067E">
      <w:pPr>
        <w:pStyle w:val="ListParagraph"/>
        <w:numPr>
          <w:ilvl w:val="0"/>
          <w:numId w:val="29"/>
        </w:numPr>
        <w:spacing w:after="120"/>
        <w:jc w:val="both"/>
      </w:pPr>
      <w:r>
        <w:t>C</w:t>
      </w:r>
      <w:r w:rsidR="009E240C">
        <w:t>ontinue to meet three or four times a year to oversee the finalisation of action plans and to monitor their progress against actions</w:t>
      </w:r>
    </w:p>
    <w:p w:rsidR="00C228FA" w:rsidRPr="006E544B" w:rsidRDefault="00A56235" w:rsidP="005D067E">
      <w:pPr>
        <w:pStyle w:val="ListParagraph"/>
        <w:numPr>
          <w:ilvl w:val="0"/>
          <w:numId w:val="29"/>
        </w:numPr>
        <w:spacing w:after="120"/>
        <w:jc w:val="both"/>
      </w:pPr>
      <w:r>
        <w:t>S</w:t>
      </w:r>
      <w:r w:rsidR="009E240C">
        <w:t xml:space="preserve">ubmit a report to HPRC in May and November 2015 to coincide with the University HR Sub-Committee’s mid-year and end of year </w:t>
      </w:r>
      <w:r w:rsidR="009E240C" w:rsidRPr="009E240C">
        <w:t xml:space="preserve">Staff Equality and Diversity Review </w:t>
      </w:r>
      <w:r w:rsidR="009E240C">
        <w:t>as part of the APR cycle.</w:t>
      </w:r>
    </w:p>
    <w:p w:rsidR="003C47C7" w:rsidRDefault="003C47C7">
      <w:pPr>
        <w:rPr>
          <w:b/>
          <w:sz w:val="24"/>
          <w:szCs w:val="24"/>
        </w:rPr>
      </w:pPr>
      <w:r>
        <w:rPr>
          <w:b/>
          <w:sz w:val="24"/>
          <w:szCs w:val="24"/>
        </w:rPr>
        <w:br w:type="page"/>
      </w:r>
    </w:p>
    <w:p w:rsidR="00B56CA1" w:rsidRPr="00B56CA1" w:rsidRDefault="00B56CA1" w:rsidP="00B56CA1">
      <w:pPr>
        <w:spacing w:after="120" w:line="240" w:lineRule="auto"/>
        <w:ind w:left="357"/>
        <w:contextualSpacing/>
        <w:jc w:val="center"/>
        <w:rPr>
          <w:rFonts w:eastAsia="Times New Roman" w:cs="Tahoma"/>
          <w:b/>
          <w:color w:val="000000"/>
          <w:sz w:val="28"/>
          <w:szCs w:val="28"/>
          <w:lang w:eastAsia="en-GB"/>
        </w:rPr>
      </w:pPr>
      <w:r w:rsidRPr="00B56CA1">
        <w:rPr>
          <w:rFonts w:eastAsia="Times New Roman" w:cs="Tahoma"/>
          <w:b/>
          <w:color w:val="000000"/>
          <w:sz w:val="28"/>
          <w:szCs w:val="28"/>
          <w:lang w:eastAsia="en-GB"/>
        </w:rPr>
        <w:lastRenderedPageBreak/>
        <w:t>Appendices</w:t>
      </w:r>
    </w:p>
    <w:p w:rsidR="00B56CA1" w:rsidRPr="00351EAB" w:rsidRDefault="00B56CA1" w:rsidP="00B56CA1">
      <w:pPr>
        <w:spacing w:after="120" w:line="240" w:lineRule="auto"/>
        <w:ind w:left="357"/>
        <w:contextualSpacing/>
        <w:rPr>
          <w:rFonts w:eastAsia="Times New Roman" w:cs="Tahoma"/>
          <w:b/>
          <w:color w:val="000000"/>
          <w:lang w:eastAsia="en-GB"/>
        </w:rPr>
      </w:pPr>
    </w:p>
    <w:p w:rsidR="00B56CA1" w:rsidRDefault="00B56CA1" w:rsidP="00D057ED">
      <w:pPr>
        <w:rPr>
          <w:b/>
          <w:sz w:val="24"/>
          <w:szCs w:val="24"/>
        </w:rPr>
      </w:pPr>
    </w:p>
    <w:p w:rsidR="00A3500C" w:rsidRPr="00A56235" w:rsidRDefault="00A3500C" w:rsidP="00A56235">
      <w:pPr>
        <w:jc w:val="center"/>
        <w:rPr>
          <w:b/>
          <w:sz w:val="24"/>
          <w:szCs w:val="24"/>
        </w:rPr>
      </w:pPr>
      <w:r w:rsidRPr="00B95A49">
        <w:rPr>
          <w:b/>
          <w:sz w:val="24"/>
          <w:szCs w:val="24"/>
        </w:rPr>
        <w:t>Appendix 1</w:t>
      </w:r>
      <w:r w:rsidR="00DE5A30">
        <w:rPr>
          <w:b/>
          <w:sz w:val="24"/>
          <w:szCs w:val="24"/>
        </w:rPr>
        <w:t>.</w:t>
      </w:r>
      <w:r w:rsidR="00DE5A30">
        <w:rPr>
          <w:b/>
          <w:sz w:val="24"/>
          <w:szCs w:val="24"/>
        </w:rPr>
        <w:tab/>
      </w:r>
      <w:r w:rsidRPr="00B95A49">
        <w:rPr>
          <w:rFonts w:cs="Arial"/>
          <w:b/>
          <w:sz w:val="24"/>
          <w:szCs w:val="24"/>
        </w:rPr>
        <w:t>The Faculty of Humanities</w:t>
      </w:r>
      <w:r w:rsidR="002B0182">
        <w:rPr>
          <w:rFonts w:cs="Arial"/>
          <w:b/>
          <w:sz w:val="24"/>
          <w:szCs w:val="24"/>
        </w:rPr>
        <w:t>’</w:t>
      </w:r>
      <w:r w:rsidRPr="00B95A49">
        <w:rPr>
          <w:rFonts w:cs="Arial"/>
          <w:b/>
          <w:sz w:val="24"/>
          <w:szCs w:val="24"/>
        </w:rPr>
        <w:t xml:space="preserve"> Staff Equality and Diversity Action Plan</w:t>
      </w:r>
      <w:r w:rsidR="00B56CA1">
        <w:rPr>
          <w:rFonts w:cs="Arial"/>
          <w:b/>
          <w:sz w:val="24"/>
          <w:szCs w:val="24"/>
        </w:rPr>
        <w:t xml:space="preserve"> - Terms of R</w:t>
      </w:r>
      <w:r w:rsidRPr="00B95A49">
        <w:rPr>
          <w:rFonts w:cs="Arial"/>
          <w:b/>
          <w:sz w:val="24"/>
          <w:szCs w:val="24"/>
        </w:rPr>
        <w:t>eference</w:t>
      </w:r>
      <w:r w:rsidR="00B56CA1">
        <w:rPr>
          <w:rFonts w:cs="Arial"/>
          <w:b/>
          <w:sz w:val="24"/>
          <w:szCs w:val="24"/>
        </w:rPr>
        <w:t xml:space="preserve"> and Working Group Membership</w:t>
      </w:r>
    </w:p>
    <w:p w:rsidR="00A3500C" w:rsidRPr="00B95A49" w:rsidRDefault="00A3500C" w:rsidP="006601FD">
      <w:pPr>
        <w:numPr>
          <w:ilvl w:val="0"/>
          <w:numId w:val="14"/>
        </w:numPr>
        <w:spacing w:after="120"/>
        <w:ind w:left="357" w:hanging="357"/>
        <w:contextualSpacing/>
        <w:rPr>
          <w:rFonts w:cs="Arial"/>
          <w:b/>
          <w:sz w:val="24"/>
          <w:szCs w:val="24"/>
        </w:rPr>
      </w:pPr>
      <w:r w:rsidRPr="00B95A49">
        <w:rPr>
          <w:rFonts w:cs="Arial"/>
          <w:b/>
          <w:sz w:val="24"/>
          <w:szCs w:val="24"/>
        </w:rPr>
        <w:t>Introduction</w:t>
      </w:r>
    </w:p>
    <w:p w:rsidR="00DE5A30" w:rsidRPr="00351EAB" w:rsidRDefault="00DE5A30" w:rsidP="00DE5A30">
      <w:pPr>
        <w:spacing w:after="120"/>
        <w:jc w:val="both"/>
        <w:rPr>
          <w:rFonts w:cs="Arial"/>
        </w:rPr>
      </w:pPr>
      <w:r w:rsidRPr="00351EAB">
        <w:rPr>
          <w:rFonts w:cs="Arial"/>
        </w:rPr>
        <w:t>The action plan provide</w:t>
      </w:r>
      <w:r>
        <w:rPr>
          <w:rFonts w:cs="Arial"/>
        </w:rPr>
        <w:t>s</w:t>
      </w:r>
      <w:r w:rsidRPr="00351EAB">
        <w:rPr>
          <w:rFonts w:cs="Arial"/>
        </w:rPr>
        <w:t xml:space="preserve"> a systematic framework for promoting and advancing the Faculty’s equality and diversity agenda and objectives</w:t>
      </w:r>
      <w:r>
        <w:rPr>
          <w:rFonts w:cs="Arial"/>
        </w:rPr>
        <w:t xml:space="preserve"> to meet its</w:t>
      </w:r>
      <w:r w:rsidRPr="00351EAB">
        <w:rPr>
          <w:rFonts w:cs="Arial"/>
        </w:rPr>
        <w:t xml:space="preserve"> headline 2020 staff diversity targets of:</w:t>
      </w:r>
    </w:p>
    <w:p w:rsidR="00A3500C" w:rsidRPr="00B95A49" w:rsidRDefault="00A3500C" w:rsidP="006601FD">
      <w:pPr>
        <w:numPr>
          <w:ilvl w:val="0"/>
          <w:numId w:val="4"/>
        </w:numPr>
        <w:spacing w:after="120"/>
        <w:jc w:val="both"/>
        <w:rPr>
          <w:rFonts w:cs="Arial"/>
        </w:rPr>
      </w:pPr>
      <w:r w:rsidRPr="00B95A49">
        <w:rPr>
          <w:rFonts w:cs="Arial"/>
        </w:rPr>
        <w:t>a minimum of 47% of female staff at senior lecturer/professorial level and in academic leadership and management roles;</w:t>
      </w:r>
    </w:p>
    <w:p w:rsidR="00A3500C" w:rsidRPr="00B95A49" w:rsidRDefault="00A3500C" w:rsidP="006601FD">
      <w:pPr>
        <w:numPr>
          <w:ilvl w:val="0"/>
          <w:numId w:val="4"/>
        </w:numPr>
        <w:spacing w:after="120"/>
        <w:jc w:val="both"/>
        <w:rPr>
          <w:rFonts w:cs="Arial"/>
        </w:rPr>
      </w:pPr>
      <w:r w:rsidRPr="00B95A49">
        <w:rPr>
          <w:rFonts w:cs="Arial"/>
        </w:rPr>
        <w:t>a minimum of 15% of BME staff at senior lecturer/professorial level and in academic leadership and management roles.</w:t>
      </w:r>
    </w:p>
    <w:p w:rsidR="00A3500C" w:rsidRPr="00B95A49" w:rsidRDefault="00A3500C" w:rsidP="00DE5A30">
      <w:pPr>
        <w:spacing w:after="120"/>
        <w:ind w:firstLine="360"/>
        <w:jc w:val="both"/>
        <w:rPr>
          <w:rFonts w:cs="Arial"/>
        </w:rPr>
      </w:pPr>
      <w:r w:rsidRPr="00B95A49">
        <w:rPr>
          <w:rFonts w:cs="Arial"/>
        </w:rPr>
        <w:t>and</w:t>
      </w:r>
    </w:p>
    <w:p w:rsidR="00A3500C" w:rsidRPr="00B95A49" w:rsidRDefault="00A3500C" w:rsidP="006601FD">
      <w:pPr>
        <w:numPr>
          <w:ilvl w:val="0"/>
          <w:numId w:val="5"/>
        </w:numPr>
        <w:spacing w:after="120"/>
        <w:ind w:left="714" w:hanging="357"/>
        <w:jc w:val="both"/>
        <w:rPr>
          <w:rFonts w:cs="Arial"/>
        </w:rPr>
      </w:pPr>
      <w:r w:rsidRPr="00B95A49">
        <w:rPr>
          <w:rFonts w:cs="Arial"/>
        </w:rPr>
        <w:t>The Faculty aims to increase the BME representation amongst PSS staff from 7% to 12%, which is the proportion of BME in the working population of Greater Manchester.</w:t>
      </w:r>
    </w:p>
    <w:p w:rsidR="00A3500C" w:rsidRPr="00B95A49" w:rsidRDefault="00A3500C" w:rsidP="00DE5A30">
      <w:pPr>
        <w:spacing w:after="120"/>
        <w:jc w:val="both"/>
        <w:rPr>
          <w:rFonts w:cs="Arial"/>
        </w:rPr>
      </w:pPr>
      <w:r w:rsidRPr="00B95A49">
        <w:rPr>
          <w:rFonts w:cs="Arial"/>
        </w:rPr>
        <w:t>The development and implementation of this action plan will make the Faculty well placed to apply for awards when ECU extends Athena Swan type accreditation into non-STEMM a</w:t>
      </w:r>
      <w:r w:rsidR="00DE5A30">
        <w:rPr>
          <w:rFonts w:cs="Arial"/>
        </w:rPr>
        <w:t xml:space="preserve">reas, but </w:t>
      </w:r>
      <w:r w:rsidRPr="00B95A49">
        <w:rPr>
          <w:rFonts w:cs="Arial"/>
        </w:rPr>
        <w:t xml:space="preserve">this is not an end in itself.  </w:t>
      </w:r>
    </w:p>
    <w:p w:rsidR="00A3500C" w:rsidRPr="00B95A49" w:rsidRDefault="00A3500C" w:rsidP="006601FD">
      <w:pPr>
        <w:numPr>
          <w:ilvl w:val="0"/>
          <w:numId w:val="14"/>
        </w:numPr>
        <w:spacing w:after="120"/>
        <w:ind w:left="357" w:hanging="357"/>
        <w:jc w:val="both"/>
        <w:rPr>
          <w:rFonts w:cs="Arial"/>
          <w:b/>
          <w:sz w:val="24"/>
          <w:szCs w:val="24"/>
          <w:u w:val="single"/>
        </w:rPr>
      </w:pPr>
      <w:r w:rsidRPr="00B95A49">
        <w:rPr>
          <w:rFonts w:cs="Arial"/>
          <w:b/>
          <w:sz w:val="24"/>
          <w:szCs w:val="24"/>
        </w:rPr>
        <w:t>Principles</w:t>
      </w:r>
    </w:p>
    <w:p w:rsidR="00A3500C" w:rsidRPr="00B95A49" w:rsidRDefault="00A3500C" w:rsidP="00DE5A30">
      <w:pPr>
        <w:spacing w:after="120"/>
        <w:jc w:val="both"/>
        <w:rPr>
          <w:rFonts w:cs="Arial"/>
        </w:rPr>
      </w:pPr>
      <w:r w:rsidRPr="00B95A49">
        <w:rPr>
          <w:rFonts w:cs="Arial"/>
        </w:rPr>
        <w:t xml:space="preserve">The Faculty signals its commitment in adoption of the scheme with the following principles.  Specifically, the Faculty is aware that: </w:t>
      </w:r>
    </w:p>
    <w:p w:rsidR="00A3500C" w:rsidRPr="00B95A49" w:rsidRDefault="00A3500C" w:rsidP="006601FD">
      <w:pPr>
        <w:numPr>
          <w:ilvl w:val="0"/>
          <w:numId w:val="15"/>
        </w:numPr>
        <w:spacing w:after="120"/>
        <w:jc w:val="both"/>
        <w:rPr>
          <w:rFonts w:cs="Arial"/>
        </w:rPr>
      </w:pPr>
      <w:r w:rsidRPr="00B95A49">
        <w:rPr>
          <w:rFonts w:cs="Arial"/>
        </w:rPr>
        <w:t>The gender imbalance is particularly pronounced at senior leadership levels and in certain areas of academic activity;</w:t>
      </w:r>
    </w:p>
    <w:p w:rsidR="00A3500C" w:rsidRPr="00B95A49" w:rsidRDefault="00A3500C" w:rsidP="006601FD">
      <w:pPr>
        <w:numPr>
          <w:ilvl w:val="0"/>
          <w:numId w:val="15"/>
        </w:numPr>
        <w:spacing w:after="120"/>
        <w:jc w:val="both"/>
        <w:rPr>
          <w:rFonts w:cs="Arial"/>
        </w:rPr>
      </w:pPr>
      <w:r w:rsidRPr="00B95A49">
        <w:rPr>
          <w:rFonts w:cs="Arial"/>
        </w:rPr>
        <w:t>Little progress has been secured against target to redress BME under-representation;</w:t>
      </w:r>
    </w:p>
    <w:p w:rsidR="00A3500C" w:rsidRPr="00B95A49" w:rsidRDefault="00A3500C" w:rsidP="006601FD">
      <w:pPr>
        <w:numPr>
          <w:ilvl w:val="0"/>
          <w:numId w:val="15"/>
        </w:numPr>
        <w:spacing w:after="120"/>
        <w:jc w:val="both"/>
        <w:rPr>
          <w:rFonts w:cs="Arial"/>
        </w:rPr>
      </w:pPr>
      <w:r w:rsidRPr="00B95A49">
        <w:rPr>
          <w:rFonts w:cs="Arial"/>
        </w:rPr>
        <w:t>There may be both organisational cultural (attitudes, habits and ‘ways of doing things’ etc.) and structural obstacles to a better gender and BME representation among our workforce which require the active consideration of the organisation;</w:t>
      </w:r>
    </w:p>
    <w:p w:rsidR="00A3500C" w:rsidRPr="00B95A49" w:rsidRDefault="00A3500C" w:rsidP="006601FD">
      <w:pPr>
        <w:numPr>
          <w:ilvl w:val="0"/>
          <w:numId w:val="15"/>
        </w:numPr>
        <w:spacing w:after="120"/>
        <w:jc w:val="both"/>
        <w:rPr>
          <w:rFonts w:cs="Arial"/>
        </w:rPr>
      </w:pPr>
      <w:r w:rsidRPr="00B95A49">
        <w:rPr>
          <w:rFonts w:cs="Arial"/>
        </w:rPr>
        <w:t>Commitment and action is required from everyone at all levels of the organisation in order to redress gender and BME under-representation at all levels where it exists;</w:t>
      </w:r>
    </w:p>
    <w:p w:rsidR="00A3500C" w:rsidRPr="00B56CA1" w:rsidRDefault="00A3500C" w:rsidP="006601FD">
      <w:pPr>
        <w:numPr>
          <w:ilvl w:val="0"/>
          <w:numId w:val="15"/>
        </w:numPr>
        <w:spacing w:after="120"/>
        <w:ind w:left="714" w:hanging="357"/>
        <w:jc w:val="both"/>
        <w:rPr>
          <w:rFonts w:cs="Arial"/>
        </w:rPr>
      </w:pPr>
      <w:r w:rsidRPr="00B95A49">
        <w:rPr>
          <w:rFonts w:cs="Arial"/>
        </w:rPr>
        <w:t xml:space="preserve">Adopting demonstrably good employment and reward and recognition practices, and monitoring outcomes to establish their impact, is key to progressing fair treatment and diversity. </w:t>
      </w:r>
    </w:p>
    <w:p w:rsidR="00A3500C" w:rsidRPr="00B95A49" w:rsidRDefault="00A3500C" w:rsidP="006601FD">
      <w:pPr>
        <w:numPr>
          <w:ilvl w:val="0"/>
          <w:numId w:val="14"/>
        </w:numPr>
        <w:spacing w:after="120"/>
        <w:contextualSpacing/>
        <w:jc w:val="both"/>
        <w:rPr>
          <w:rFonts w:cs="Arial"/>
          <w:b/>
          <w:sz w:val="24"/>
          <w:szCs w:val="24"/>
        </w:rPr>
      </w:pPr>
      <w:r w:rsidRPr="00B95A49">
        <w:rPr>
          <w:rFonts w:cs="Arial"/>
          <w:b/>
          <w:sz w:val="24"/>
          <w:szCs w:val="24"/>
        </w:rPr>
        <w:t>Governance</w:t>
      </w:r>
      <w:r w:rsidR="00DE5A30">
        <w:rPr>
          <w:rFonts w:cs="Arial"/>
          <w:b/>
          <w:sz w:val="24"/>
          <w:szCs w:val="24"/>
        </w:rPr>
        <w:t>, R</w:t>
      </w:r>
      <w:r w:rsidRPr="00B95A49">
        <w:rPr>
          <w:rFonts w:cs="Arial"/>
          <w:b/>
          <w:sz w:val="24"/>
          <w:szCs w:val="24"/>
        </w:rPr>
        <w:t>eporting</w:t>
      </w:r>
      <w:r w:rsidR="00DE5A30">
        <w:rPr>
          <w:rFonts w:cs="Arial"/>
          <w:b/>
          <w:sz w:val="24"/>
          <w:szCs w:val="24"/>
        </w:rPr>
        <w:t xml:space="preserve"> and Working Group Membership</w:t>
      </w:r>
    </w:p>
    <w:p w:rsidR="00DE5A30" w:rsidRPr="00B95A49" w:rsidRDefault="00A3500C" w:rsidP="00DE5A30">
      <w:pPr>
        <w:spacing w:after="120"/>
        <w:jc w:val="both"/>
        <w:rPr>
          <w:rFonts w:cs="Arial"/>
        </w:rPr>
      </w:pPr>
      <w:r w:rsidRPr="00B95A49">
        <w:rPr>
          <w:rFonts w:cs="Arial"/>
        </w:rPr>
        <w:t xml:space="preserve">Action planning at Faculty and School level </w:t>
      </w:r>
      <w:r w:rsidR="003E3CFE">
        <w:rPr>
          <w:rFonts w:cs="Arial"/>
        </w:rPr>
        <w:t>will be</w:t>
      </w:r>
      <w:r w:rsidRPr="00B95A49">
        <w:rPr>
          <w:rFonts w:cs="Arial"/>
        </w:rPr>
        <w:t xml:space="preserve"> overseen</w:t>
      </w:r>
      <w:r w:rsidR="00B95A49">
        <w:rPr>
          <w:rFonts w:cs="Arial"/>
        </w:rPr>
        <w:t xml:space="preserve"> by a Working Group</w:t>
      </w:r>
      <w:r w:rsidR="00DE5A30">
        <w:rPr>
          <w:rFonts w:cs="Arial"/>
        </w:rPr>
        <w:t>.</w:t>
      </w:r>
    </w:p>
    <w:p w:rsidR="00DE5A30" w:rsidRPr="00B95A49" w:rsidRDefault="00DE5A30" w:rsidP="00DE5A30">
      <w:pPr>
        <w:spacing w:after="120"/>
        <w:jc w:val="both"/>
        <w:rPr>
          <w:rFonts w:cs="Arial"/>
        </w:rPr>
      </w:pPr>
      <w:r w:rsidRPr="00B95A49">
        <w:rPr>
          <w:rFonts w:cs="Arial"/>
        </w:rPr>
        <w:t>In line with the current arrangements for reporting on progress on equality and diversity measures, the Working Group will submit a mid-year progress report in May 2014 and an annual report to HPRC in November. The latter will contribute to the submission of the annual report to the HR Sub-</w:t>
      </w:r>
      <w:r w:rsidRPr="00B95A49">
        <w:rPr>
          <w:rFonts w:cs="Arial"/>
        </w:rPr>
        <w:lastRenderedPageBreak/>
        <w:t xml:space="preserve">Committee concerning progress on the HR metrics contained in the Annual Performance Review (APR).  </w:t>
      </w:r>
    </w:p>
    <w:p w:rsidR="00B56CA1" w:rsidRPr="00DE5A30" w:rsidRDefault="00B56CA1" w:rsidP="00DE5A30">
      <w:pPr>
        <w:spacing w:after="120"/>
        <w:jc w:val="both"/>
        <w:rPr>
          <w:rFonts w:cs="Arial"/>
        </w:rPr>
      </w:pPr>
      <w:r>
        <w:rPr>
          <w:rFonts w:eastAsia="Times New Roman" w:cs="Tahoma"/>
          <w:color w:val="000000"/>
          <w:lang w:eastAsia="en-GB"/>
        </w:rPr>
        <w:t xml:space="preserve">The Working Group comprises </w:t>
      </w:r>
      <w:r w:rsidR="003E3CFE">
        <w:rPr>
          <w:rFonts w:eastAsia="Times New Roman" w:cs="Tahoma"/>
          <w:color w:val="000000"/>
          <w:lang w:eastAsia="en-GB"/>
        </w:rPr>
        <w:t xml:space="preserve">the Deputy Dean (Project sponsor), the Head of Faculty HR (Project lead), The University Athena SWAN Coordinator and </w:t>
      </w:r>
      <w:r w:rsidRPr="00351EAB">
        <w:rPr>
          <w:rFonts w:eastAsia="Times New Roman" w:cs="Tahoma"/>
          <w:color w:val="000000"/>
          <w:lang w:eastAsia="en-GB"/>
        </w:rPr>
        <w:t xml:space="preserve">one representative from each School and one from </w:t>
      </w:r>
      <w:r>
        <w:rPr>
          <w:rFonts w:eastAsia="Times New Roman" w:cs="Tahoma"/>
          <w:color w:val="000000"/>
          <w:lang w:eastAsia="en-GB"/>
        </w:rPr>
        <w:t xml:space="preserve">the </w:t>
      </w:r>
      <w:r w:rsidRPr="00351EAB">
        <w:rPr>
          <w:rFonts w:eastAsia="Times New Roman" w:cs="Tahoma"/>
          <w:color w:val="000000"/>
          <w:lang w:eastAsia="en-GB"/>
        </w:rPr>
        <w:t xml:space="preserve">Faculty Administration, selected because they are knowledgeable and experienced in diversity issues through their responsibilities in their PSS role, their academic research or public engagement activities connected to advancing diversity. Additional representation was obtained from Social Sciences </w:t>
      </w:r>
      <w:r>
        <w:rPr>
          <w:rFonts w:eastAsia="Times New Roman" w:cs="Tahoma"/>
          <w:color w:val="000000"/>
          <w:lang w:eastAsia="en-GB"/>
        </w:rPr>
        <w:t xml:space="preserve">and MBS </w:t>
      </w:r>
      <w:r w:rsidRPr="00351EAB">
        <w:rPr>
          <w:rFonts w:eastAsia="Times New Roman" w:cs="Tahoma"/>
          <w:color w:val="000000"/>
          <w:lang w:eastAsia="en-GB"/>
        </w:rPr>
        <w:t>where particular expertise exists (i.e. through service on the University’s Athena SWAN Working Group and participation in the University’s BME staff diversity network).</w:t>
      </w:r>
      <w:r>
        <w:rPr>
          <w:rFonts w:eastAsia="Times New Roman" w:cs="Tahoma"/>
          <w:color w:val="000000"/>
          <w:lang w:eastAsia="en-GB"/>
        </w:rPr>
        <w:t xml:space="preserve"> </w:t>
      </w:r>
    </w:p>
    <w:p w:rsidR="00B56CA1" w:rsidRPr="00351EAB" w:rsidRDefault="00B56CA1" w:rsidP="00DE5A30">
      <w:pPr>
        <w:spacing w:after="120"/>
        <w:jc w:val="both"/>
        <w:rPr>
          <w:rFonts w:eastAsia="Times New Roman" w:cs="Tahoma"/>
          <w:color w:val="000000"/>
          <w:lang w:eastAsia="en-GB"/>
        </w:rPr>
      </w:pPr>
      <w:r>
        <w:rPr>
          <w:rFonts w:eastAsia="Times New Roman" w:cs="Tahoma"/>
          <w:color w:val="000000"/>
          <w:lang w:eastAsia="en-GB"/>
        </w:rPr>
        <w:t>The membership is as follows:</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Professor Colette Fag</w:t>
      </w:r>
      <w:r w:rsidR="003E3CFE">
        <w:rPr>
          <w:rFonts w:eastAsia="Times New Roman" w:cs="Tahoma"/>
          <w:color w:val="000000"/>
          <w:lang w:eastAsia="en-GB"/>
        </w:rPr>
        <w:t>an, Deputy Dean-Research (</w:t>
      </w:r>
      <w:r w:rsidRPr="00351EAB">
        <w:rPr>
          <w:rFonts w:eastAsia="Times New Roman" w:cs="Tahoma"/>
          <w:color w:val="000000"/>
          <w:lang w:eastAsia="en-GB"/>
        </w:rPr>
        <w:t xml:space="preserve"> Chair</w:t>
      </w:r>
      <w:r w:rsidR="003E3CFE">
        <w:rPr>
          <w:rFonts w:eastAsia="Times New Roman" w:cs="Tahoma"/>
          <w:color w:val="000000"/>
          <w:lang w:eastAsia="en-GB"/>
        </w:rPr>
        <w:t>)</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Andrew Mullen, Deputy Director of HR &amp; Head of Faculty HR</w:t>
      </w:r>
      <w:r w:rsidR="003E3CFE">
        <w:rPr>
          <w:rFonts w:eastAsia="Times New Roman" w:cs="Tahoma"/>
          <w:color w:val="000000"/>
          <w:lang w:eastAsia="en-GB"/>
        </w:rPr>
        <w:t xml:space="preserve"> (Project lead)</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Dr Carolyn Abbot, Senior Lecturer, School of Law</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Professor Claire Alexander, School of Social Sciences (Sociology)</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Professor Claire Annesley, School of Social Sciences (Politics)</w:t>
      </w:r>
      <w:r w:rsidR="003E3CFE">
        <w:rPr>
          <w:rFonts w:eastAsia="Times New Roman" w:cs="Tahoma"/>
          <w:color w:val="000000"/>
          <w:lang w:eastAsia="en-GB"/>
        </w:rPr>
        <w:t xml:space="preserve"> (2013-14), to be replaced by Professor Georgina Waylen (2014-)</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Dr Helen</w:t>
      </w:r>
      <w:r>
        <w:rPr>
          <w:rFonts w:eastAsia="Times New Roman" w:cs="Tahoma"/>
          <w:color w:val="000000"/>
          <w:lang w:eastAsia="en-GB"/>
        </w:rPr>
        <w:t xml:space="preserve"> Ryder</w:t>
      </w:r>
      <w:r w:rsidRPr="00351EAB">
        <w:rPr>
          <w:rFonts w:eastAsia="Times New Roman" w:cs="Tahoma"/>
          <w:color w:val="000000"/>
          <w:lang w:eastAsia="en-GB"/>
        </w:rPr>
        <w:t>, Athena Swan Coordinator</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Professor Helen Gunter, School of Environment, Education &amp; Development (Education)</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Jane Hallam, Head of Faculty Planning &amp; Compliance/Jared Ruff, Senior Research Manager</w:t>
      </w:r>
      <w:r>
        <w:rPr>
          <w:rFonts w:eastAsia="Times New Roman" w:cs="Tahoma"/>
          <w:color w:val="000000"/>
          <w:lang w:eastAsia="en-GB"/>
        </w:rPr>
        <w:t>, Faculty Admin.</w:t>
      </w:r>
    </w:p>
    <w:p w:rsidR="00B56CA1" w:rsidRPr="00351EAB"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Jayne Hindle, Head of School Administration for Arts, Languages &amp; Cultures</w:t>
      </w:r>
    </w:p>
    <w:p w:rsidR="00B56CA1" w:rsidRDefault="00B56CA1" w:rsidP="006601FD">
      <w:pPr>
        <w:numPr>
          <w:ilvl w:val="0"/>
          <w:numId w:val="5"/>
        </w:numPr>
        <w:spacing w:after="120"/>
        <w:contextualSpacing/>
        <w:rPr>
          <w:rFonts w:eastAsia="Times New Roman" w:cs="Tahoma"/>
          <w:color w:val="000000"/>
          <w:lang w:eastAsia="en-GB"/>
        </w:rPr>
      </w:pPr>
      <w:r w:rsidRPr="00351EAB">
        <w:rPr>
          <w:rFonts w:eastAsia="Times New Roman" w:cs="Tahoma"/>
          <w:color w:val="000000"/>
          <w:lang w:eastAsia="en-GB"/>
        </w:rPr>
        <w:t>Professor Helge Hoel, Manchester Business School (People, Management and Organisations Division)</w:t>
      </w:r>
    </w:p>
    <w:p w:rsidR="00B56CA1" w:rsidRPr="003E3CFE" w:rsidRDefault="00B56CA1" w:rsidP="006601FD">
      <w:pPr>
        <w:numPr>
          <w:ilvl w:val="0"/>
          <w:numId w:val="5"/>
        </w:numPr>
        <w:spacing w:after="120"/>
        <w:ind w:left="714" w:hanging="357"/>
        <w:rPr>
          <w:rFonts w:eastAsia="Times New Roman" w:cs="Tahoma"/>
          <w:color w:val="000000"/>
          <w:lang w:eastAsia="en-GB"/>
        </w:rPr>
      </w:pPr>
      <w:r>
        <w:rPr>
          <w:rFonts w:eastAsia="Times New Roman" w:cs="Tahoma"/>
          <w:color w:val="000000"/>
          <w:lang w:eastAsia="en-GB"/>
        </w:rPr>
        <w:t>Dil Sidhu, Chief External Officer, Manchester Business School</w:t>
      </w:r>
    </w:p>
    <w:p w:rsidR="00A3500C" w:rsidRPr="00B95A49" w:rsidRDefault="00A3500C" w:rsidP="006601FD">
      <w:pPr>
        <w:numPr>
          <w:ilvl w:val="0"/>
          <w:numId w:val="14"/>
        </w:numPr>
        <w:spacing w:after="120"/>
        <w:ind w:left="357" w:hanging="357"/>
        <w:contextualSpacing/>
        <w:jc w:val="both"/>
        <w:rPr>
          <w:rFonts w:cs="Arial"/>
          <w:b/>
          <w:sz w:val="24"/>
          <w:szCs w:val="24"/>
        </w:rPr>
      </w:pPr>
      <w:r w:rsidRPr="00B95A49">
        <w:rPr>
          <w:rFonts w:cs="Arial"/>
          <w:b/>
          <w:sz w:val="24"/>
          <w:szCs w:val="24"/>
        </w:rPr>
        <w:t>Approach</w:t>
      </w:r>
    </w:p>
    <w:p w:rsidR="00A3500C" w:rsidRPr="00B95A49" w:rsidRDefault="00A3500C" w:rsidP="00DE5A30">
      <w:pPr>
        <w:spacing w:after="120"/>
        <w:jc w:val="both"/>
        <w:rPr>
          <w:rFonts w:cs="Arial"/>
        </w:rPr>
      </w:pPr>
      <w:r w:rsidRPr="00B95A49">
        <w:rPr>
          <w:rFonts w:cs="Arial"/>
        </w:rPr>
        <w:t xml:space="preserve">We will proceed in two stages with the aim of combining efficient economics of scale (Stage one: Faculty-wide Working Group) with School level granularity and ownership of the resulting action plan (Stage two: School focus). </w:t>
      </w:r>
    </w:p>
    <w:p w:rsidR="00A3500C" w:rsidRPr="00B95A49" w:rsidRDefault="00A3500C" w:rsidP="00DE5A30">
      <w:pPr>
        <w:spacing w:after="120"/>
        <w:jc w:val="both"/>
        <w:rPr>
          <w:rFonts w:cs="Arial"/>
        </w:rPr>
      </w:pPr>
      <w:r w:rsidRPr="00B95A49">
        <w:rPr>
          <w:rFonts w:cs="Arial"/>
        </w:rPr>
        <w:t xml:space="preserve">In Stage one the Faculty-wide Working Group will: </w:t>
      </w:r>
    </w:p>
    <w:p w:rsidR="00A3500C" w:rsidRPr="00B95A49" w:rsidRDefault="00A3500C" w:rsidP="006601FD">
      <w:pPr>
        <w:numPr>
          <w:ilvl w:val="0"/>
          <w:numId w:val="18"/>
        </w:numPr>
        <w:spacing w:after="120"/>
        <w:jc w:val="both"/>
        <w:rPr>
          <w:rFonts w:cs="Arial"/>
        </w:rPr>
      </w:pPr>
      <w:r w:rsidRPr="00B95A49">
        <w:rPr>
          <w:rFonts w:cs="Arial"/>
        </w:rPr>
        <w:t xml:space="preserve">Receive and analyse the relevant HR data sets. </w:t>
      </w:r>
    </w:p>
    <w:p w:rsidR="00A3500C" w:rsidRPr="00B95A49" w:rsidRDefault="00A3500C" w:rsidP="006601FD">
      <w:pPr>
        <w:numPr>
          <w:ilvl w:val="0"/>
          <w:numId w:val="18"/>
        </w:numPr>
        <w:spacing w:after="120"/>
        <w:jc w:val="both"/>
        <w:rPr>
          <w:rFonts w:cs="Arial"/>
        </w:rPr>
      </w:pPr>
      <w:r w:rsidRPr="00B95A49">
        <w:rPr>
          <w:rFonts w:cs="Arial"/>
        </w:rPr>
        <w:t>Prepare an overview audit of our current policies which are in place against those recommended by the Equality Challenge Unit (Athena and the Race Equality Charter), and other relevant bodies (Equality and Human Rights Commission, the Business in the Community ‘Opportunity Now’ initiative)</w:t>
      </w:r>
    </w:p>
    <w:p w:rsidR="00A3500C" w:rsidRPr="00B95A49" w:rsidRDefault="00A3500C" w:rsidP="006601FD">
      <w:pPr>
        <w:numPr>
          <w:ilvl w:val="0"/>
          <w:numId w:val="18"/>
        </w:numPr>
        <w:spacing w:after="120"/>
        <w:jc w:val="both"/>
        <w:rPr>
          <w:rFonts w:cs="Arial"/>
        </w:rPr>
      </w:pPr>
      <w:r w:rsidRPr="00B95A49">
        <w:rPr>
          <w:rFonts w:cs="Arial"/>
        </w:rPr>
        <w:t>Identify  any gaps in the existing policy framework</w:t>
      </w:r>
    </w:p>
    <w:p w:rsidR="00A3500C" w:rsidRPr="00B95A49" w:rsidRDefault="00A3500C" w:rsidP="006601FD">
      <w:pPr>
        <w:numPr>
          <w:ilvl w:val="0"/>
          <w:numId w:val="18"/>
        </w:numPr>
        <w:spacing w:after="120"/>
        <w:ind w:left="1077" w:hanging="357"/>
        <w:jc w:val="both"/>
        <w:rPr>
          <w:rFonts w:cs="Arial"/>
        </w:rPr>
      </w:pPr>
      <w:r w:rsidRPr="00B95A49">
        <w:rPr>
          <w:rFonts w:cs="Arial"/>
        </w:rPr>
        <w:t>Propose innovative policies and other initiatives for consideration (and costing).</w:t>
      </w:r>
    </w:p>
    <w:p w:rsidR="00A3500C" w:rsidRPr="00B95A49" w:rsidRDefault="00A3500C" w:rsidP="003E3CFE">
      <w:pPr>
        <w:spacing w:after="120"/>
        <w:jc w:val="both"/>
        <w:rPr>
          <w:rFonts w:cs="Arial"/>
        </w:rPr>
      </w:pPr>
      <w:r w:rsidRPr="00B95A49">
        <w:rPr>
          <w:rFonts w:cs="Arial"/>
        </w:rPr>
        <w:t xml:space="preserve">At Stage two we will use the Stage one resource to work with Schools to explore their particular local issues as well as the ones in common across the Faculty.  To do this the School representative will </w:t>
      </w:r>
      <w:r w:rsidRPr="00B95A49">
        <w:rPr>
          <w:rFonts w:cs="Arial"/>
        </w:rPr>
        <w:lastRenderedPageBreak/>
        <w:t>lead on the work with the School’s designated HR Partner and the Athena SWAN Coordinator, support</w:t>
      </w:r>
      <w:r w:rsidR="003E3CFE">
        <w:rPr>
          <w:rFonts w:cs="Arial"/>
        </w:rPr>
        <w:t xml:space="preserve">ed by the Working Group Chair. </w:t>
      </w:r>
    </w:p>
    <w:p w:rsidR="00A3500C" w:rsidRPr="00B95A49" w:rsidRDefault="00A3500C" w:rsidP="006601FD">
      <w:pPr>
        <w:numPr>
          <w:ilvl w:val="0"/>
          <w:numId w:val="14"/>
        </w:numPr>
        <w:spacing w:after="120"/>
        <w:ind w:left="357" w:hanging="357"/>
        <w:contextualSpacing/>
        <w:jc w:val="both"/>
        <w:rPr>
          <w:rFonts w:cs="Arial"/>
          <w:b/>
          <w:sz w:val="24"/>
          <w:szCs w:val="24"/>
        </w:rPr>
      </w:pPr>
      <w:r w:rsidRPr="00B95A49">
        <w:rPr>
          <w:rFonts w:cs="Arial"/>
          <w:b/>
          <w:sz w:val="24"/>
          <w:szCs w:val="24"/>
        </w:rPr>
        <w:t>Components of the Scheme</w:t>
      </w:r>
    </w:p>
    <w:p w:rsidR="00A3500C" w:rsidRPr="00B95A49" w:rsidRDefault="00A3500C" w:rsidP="003E3CFE">
      <w:pPr>
        <w:spacing w:after="120"/>
        <w:jc w:val="both"/>
        <w:rPr>
          <w:rFonts w:cs="Arial"/>
        </w:rPr>
      </w:pPr>
      <w:r w:rsidRPr="00B95A49">
        <w:rPr>
          <w:rFonts w:cs="Arial"/>
        </w:rPr>
        <w:t>The Working Group/Schools/Faculty Administration</w:t>
      </w:r>
      <w:r w:rsidRPr="00B95A49">
        <w:rPr>
          <w:rFonts w:cs="Arial"/>
          <w:vertAlign w:val="superscript"/>
        </w:rPr>
        <w:footnoteReference w:id="10"/>
      </w:r>
      <w:r w:rsidRPr="00B95A49">
        <w:rPr>
          <w:rFonts w:cs="Arial"/>
        </w:rPr>
        <w:t xml:space="preserve"> will devise action plans by considering issues under the indicative he</w:t>
      </w:r>
      <w:r w:rsidR="003E3CFE">
        <w:rPr>
          <w:rFonts w:cs="Arial"/>
        </w:rPr>
        <w:t>adings presented below (Box 1.).</w:t>
      </w:r>
    </w:p>
    <w:p w:rsidR="00A3500C" w:rsidRPr="00B95A49" w:rsidRDefault="00A3500C" w:rsidP="006601FD">
      <w:pPr>
        <w:numPr>
          <w:ilvl w:val="0"/>
          <w:numId w:val="17"/>
        </w:numPr>
        <w:spacing w:after="120"/>
        <w:ind w:left="357" w:hanging="357"/>
        <w:contextualSpacing/>
        <w:jc w:val="both"/>
        <w:rPr>
          <w:rFonts w:cs="Arial"/>
          <w:b/>
          <w:sz w:val="24"/>
          <w:szCs w:val="24"/>
        </w:rPr>
      </w:pPr>
      <w:r w:rsidRPr="00B95A49">
        <w:rPr>
          <w:rFonts w:cs="Arial"/>
          <w:b/>
          <w:sz w:val="24"/>
          <w:szCs w:val="24"/>
        </w:rPr>
        <w:t>Data supply arrangements</w:t>
      </w:r>
    </w:p>
    <w:p w:rsidR="00A3500C" w:rsidRPr="00B95A49" w:rsidRDefault="00A3500C" w:rsidP="00DE5A30">
      <w:pPr>
        <w:spacing w:after="120"/>
        <w:jc w:val="both"/>
        <w:rPr>
          <w:rFonts w:cs="Arial"/>
        </w:rPr>
      </w:pPr>
      <w:r w:rsidRPr="00B95A49">
        <w:rPr>
          <w:rFonts w:cs="Arial"/>
        </w:rPr>
        <w:t>All data relating to student transition, current staff profile, recruitment and promotions will be provided by HR/Equality and Diversity.</w:t>
      </w:r>
    </w:p>
    <w:p w:rsidR="00A3500C" w:rsidRPr="00B95A49" w:rsidRDefault="00FE3696" w:rsidP="006601FD">
      <w:pPr>
        <w:numPr>
          <w:ilvl w:val="0"/>
          <w:numId w:val="17"/>
        </w:numPr>
        <w:spacing w:after="120"/>
        <w:ind w:left="357" w:hanging="357"/>
        <w:contextualSpacing/>
        <w:jc w:val="both"/>
        <w:rPr>
          <w:rFonts w:cs="Arial"/>
          <w:b/>
          <w:sz w:val="24"/>
          <w:szCs w:val="24"/>
        </w:rPr>
      </w:pPr>
      <w:r w:rsidRPr="00B95A49">
        <w:rPr>
          <w:rFonts w:cs="Arial"/>
          <w:b/>
          <w:sz w:val="24"/>
          <w:szCs w:val="24"/>
        </w:rPr>
        <w:t>Action planning</w:t>
      </w:r>
    </w:p>
    <w:p w:rsidR="00B95A49" w:rsidRPr="00B95A49" w:rsidRDefault="00A3500C" w:rsidP="00DE5A30">
      <w:pPr>
        <w:spacing w:after="120"/>
        <w:jc w:val="both"/>
        <w:rPr>
          <w:rFonts w:eastAsia="Times New Roman" w:cs="Arial"/>
          <w:lang w:eastAsia="en-GB"/>
        </w:rPr>
      </w:pPr>
      <w:r w:rsidRPr="00B95A49">
        <w:rPr>
          <w:rFonts w:eastAsia="Times New Roman" w:cs="Arial"/>
          <w:lang w:eastAsia="en-GB"/>
        </w:rPr>
        <w:t xml:space="preserve">Faculty and School level actions will be devised in the form of the table. This sets out the actions to address the priorities identified by the analysis of relevant data presented, success/outcome measures, the post holder responsible for each action </w:t>
      </w:r>
      <w:r w:rsidR="00B95A49">
        <w:rPr>
          <w:rFonts w:eastAsia="Times New Roman" w:cs="Arial"/>
          <w:lang w:eastAsia="en-GB"/>
        </w:rPr>
        <w:t xml:space="preserve">and a timeline for completion. </w:t>
      </w:r>
    </w:p>
    <w:p w:rsidR="006E544B" w:rsidRPr="00B95A49" w:rsidRDefault="00A3500C" w:rsidP="006601FD">
      <w:pPr>
        <w:numPr>
          <w:ilvl w:val="0"/>
          <w:numId w:val="17"/>
        </w:numPr>
        <w:tabs>
          <w:tab w:val="left" w:pos="426"/>
        </w:tabs>
        <w:spacing w:after="120"/>
        <w:ind w:left="357" w:hanging="357"/>
        <w:jc w:val="both"/>
        <w:rPr>
          <w:rFonts w:cs="Arial"/>
          <w:b/>
          <w:sz w:val="24"/>
          <w:szCs w:val="24"/>
        </w:rPr>
      </w:pPr>
      <w:r w:rsidRPr="00B95A49">
        <w:rPr>
          <w:rFonts w:cs="Arial"/>
          <w:b/>
          <w:sz w:val="24"/>
          <w:szCs w:val="24"/>
        </w:rPr>
        <w:t>Recommendation</w:t>
      </w:r>
    </w:p>
    <w:p w:rsidR="00A3500C" w:rsidRPr="00B95A49" w:rsidRDefault="00A3500C" w:rsidP="00DE5A30">
      <w:pPr>
        <w:tabs>
          <w:tab w:val="left" w:pos="426"/>
        </w:tabs>
        <w:spacing w:after="120"/>
        <w:jc w:val="both"/>
        <w:rPr>
          <w:rFonts w:cs="Arial"/>
          <w:b/>
        </w:rPr>
      </w:pPr>
      <w:r w:rsidRPr="00B95A49">
        <w:rPr>
          <w:rFonts w:cs="Arial"/>
        </w:rPr>
        <w:t>HPRC members are asked to note and approve this arrangement for developing the action plan.</w:t>
      </w:r>
    </w:p>
    <w:p w:rsidR="00A3500C" w:rsidRPr="00B95A49" w:rsidRDefault="00A3500C" w:rsidP="00DE5A30">
      <w:pPr>
        <w:spacing w:after="120"/>
        <w:ind w:left="360"/>
        <w:contextualSpacing/>
        <w:jc w:val="right"/>
        <w:rPr>
          <w:rFonts w:cs="Arial"/>
        </w:rPr>
      </w:pPr>
      <w:r w:rsidRPr="00B95A49">
        <w:rPr>
          <w:rFonts w:cs="Arial"/>
        </w:rPr>
        <w:t>Andrew Mullen (Head of Faculty HR)</w:t>
      </w:r>
    </w:p>
    <w:p w:rsidR="00A3500C" w:rsidRPr="00B95A49" w:rsidRDefault="00A3500C" w:rsidP="00DE5A30">
      <w:pPr>
        <w:spacing w:after="120"/>
        <w:ind w:left="360"/>
        <w:contextualSpacing/>
        <w:jc w:val="right"/>
        <w:rPr>
          <w:rFonts w:cs="Arial"/>
        </w:rPr>
      </w:pPr>
      <w:r w:rsidRPr="00B95A49">
        <w:rPr>
          <w:rFonts w:cs="Arial"/>
        </w:rPr>
        <w:t>Colette Fagan (Deputy Dean)</w:t>
      </w:r>
    </w:p>
    <w:p w:rsidR="00A3500C" w:rsidRPr="00A3500C" w:rsidRDefault="00A3500C" w:rsidP="00DE5A30">
      <w:pPr>
        <w:spacing w:after="120"/>
        <w:ind w:left="360"/>
        <w:contextualSpacing/>
        <w:jc w:val="right"/>
        <w:rPr>
          <w:rFonts w:ascii="Arial" w:hAnsi="Arial" w:cs="Arial"/>
        </w:rPr>
      </w:pP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cs="Arial"/>
          <w:b/>
          <w:i/>
        </w:rPr>
      </w:pPr>
      <w:r w:rsidRPr="00B95A49">
        <w:rPr>
          <w:rFonts w:cs="Arial"/>
          <w:b/>
          <w:i/>
        </w:rPr>
        <w:t xml:space="preserve">Indicative headings for the Stage one audit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B95A49">
        <w:rPr>
          <w:rFonts w:cs="Arial"/>
        </w:rPr>
        <w:t>An analysis of HR data – including APR metrics - and existing HR policies will provide the foundation for this assessment.</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B95A49">
        <w:rPr>
          <w:rFonts w:eastAsia="Times New Roman" w:cs="Times New Roman"/>
          <w:lang w:eastAsia="en-GB"/>
        </w:rPr>
        <w:t>The recommendation actions that emerge from the analysis above that will be taken forward with Stage two of the Action Plan, following the interim report to SMT.</w:t>
      </w:r>
    </w:p>
    <w:p w:rsidR="00A3500C" w:rsidRPr="00B95A49" w:rsidRDefault="00A3500C" w:rsidP="003E3CFE">
      <w:pPr>
        <w:pBdr>
          <w:top w:val="single" w:sz="4" w:space="1" w:color="auto"/>
          <w:left w:val="single" w:sz="4" w:space="4" w:color="auto"/>
          <w:bottom w:val="single" w:sz="4" w:space="1" w:color="auto"/>
          <w:right w:val="single" w:sz="4" w:space="4" w:color="auto"/>
        </w:pBdr>
        <w:tabs>
          <w:tab w:val="left" w:pos="426"/>
        </w:tabs>
        <w:spacing w:after="120"/>
        <w:jc w:val="both"/>
        <w:rPr>
          <w:rFonts w:cs="Arial"/>
          <w:b/>
        </w:rPr>
      </w:pPr>
      <w:r w:rsidRPr="00B95A49">
        <w:rPr>
          <w:rFonts w:cs="Arial"/>
          <w:b/>
        </w:rPr>
        <w:t>A.1</w:t>
      </w:r>
      <w:r w:rsidRPr="00B95A49">
        <w:rPr>
          <w:rFonts w:cs="Arial"/>
          <w:b/>
        </w:rPr>
        <w:tab/>
        <w:t>The undergraduate/postgraduate transition</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cs="Arial"/>
        </w:rPr>
      </w:pPr>
      <w:r w:rsidRPr="00B95A49">
        <w:rPr>
          <w:rFonts w:cs="Arial"/>
        </w:rPr>
        <w:t xml:space="preserve">The transition from undergraduate to postgraduate and postgraduate into the academic labour market study may be the first point of loss of female/BME talent for academic positions, the so-called ‘leaky pipeline’.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pPr>
      <w:r w:rsidRPr="00B95A49">
        <w:rPr>
          <w:rFonts w:cs="Arial"/>
        </w:rPr>
        <w:t xml:space="preserve">Data for our students (and national where this is available) will be analysed to identify the magnitude of the ‘leaky pipeline’ as context for understanding the academic recruitment entry pool.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cs="Arial"/>
        </w:rPr>
      </w:pPr>
      <w:r w:rsidRPr="00B95A49">
        <w:rPr>
          <w:rFonts w:cs="Arial"/>
        </w:rPr>
        <w:t xml:space="preserve">Initiatives in place or planned to support and encourage female and BME students to apply for areas in which they are under-represented will be identified.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Arial"/>
          <w:b/>
          <w:lang w:eastAsia="en-GB"/>
        </w:rPr>
      </w:pPr>
      <w:r w:rsidRPr="00B95A49">
        <w:rPr>
          <w:rFonts w:eastAsia="Times New Roman" w:cs="Arial"/>
          <w:b/>
          <w:lang w:eastAsia="en-GB"/>
        </w:rPr>
        <w:t xml:space="preserve">A.2 Staff Recruitment Processes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Arial"/>
          <w:lang w:eastAsia="en-GB"/>
        </w:rPr>
      </w:pPr>
      <w:r w:rsidRPr="00B95A49">
        <w:rPr>
          <w:rFonts w:eastAsia="Times New Roman" w:cs="Arial"/>
          <w:lang w:eastAsia="en-GB"/>
        </w:rPr>
        <w:t xml:space="preserve">This will consider how staff recruitment processes ensure that female/BME candidates are attracted to apply, and how the Faculty/Schools ensures its shortlisting, selection processes and criteria comply with the University’s equality and diversity policies.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Arial"/>
          <w:b/>
          <w:lang w:eastAsia="en-GB"/>
        </w:rPr>
      </w:pPr>
      <w:r w:rsidRPr="00B95A49">
        <w:rPr>
          <w:rFonts w:eastAsia="Times New Roman" w:cs="Arial"/>
          <w:b/>
          <w:lang w:eastAsia="en-GB"/>
        </w:rPr>
        <w:t>A.3</w:t>
      </w:r>
      <w:r w:rsidRPr="00B95A49">
        <w:rPr>
          <w:rFonts w:eastAsia="Times New Roman" w:cs="Arial"/>
          <w:b/>
          <w:sz w:val="24"/>
          <w:szCs w:val="24"/>
          <w:lang w:eastAsia="en-GB"/>
        </w:rPr>
        <w:t xml:space="preserve"> </w:t>
      </w:r>
      <w:r w:rsidRPr="00B95A49">
        <w:rPr>
          <w:rFonts w:eastAsia="Times New Roman" w:cs="Arial"/>
          <w:b/>
          <w:lang w:eastAsia="en-GB"/>
        </w:rPr>
        <w:t>Supporting and advancing the careers of female and BME staff</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Arial"/>
          <w:lang w:eastAsia="en-GB"/>
        </w:rPr>
      </w:pPr>
      <w:r w:rsidRPr="00B95A49">
        <w:rPr>
          <w:rFonts w:eastAsia="Times New Roman" w:cs="Arial"/>
          <w:lang w:eastAsia="en-GB"/>
        </w:rPr>
        <w:t xml:space="preserve">This considers how women/BME are encouraged and supported in advancing in their careers.  It is well documented that women tend to wait longer before applying for promotion and have typically </w:t>
      </w:r>
      <w:r w:rsidRPr="00B95A49">
        <w:rPr>
          <w:rFonts w:eastAsia="Times New Roman" w:cs="Arial"/>
          <w:lang w:eastAsia="en-GB"/>
        </w:rPr>
        <w:lastRenderedPageBreak/>
        <w:t>achieved more before securing promotion. This section looks for evidence of action to ensure that women/BME are promoted fairly, as soon as they are ready. It will examine ratios also make use of HR’s recent Equal Pay Audit for Grades 1-8 and the audit of professorial pay gaps.</w:t>
      </w:r>
    </w:p>
    <w:p w:rsidR="00A3500C" w:rsidRPr="00B95A49" w:rsidRDefault="00A3500C" w:rsidP="003E3CFE">
      <w:pPr>
        <w:pBdr>
          <w:top w:val="single" w:sz="4" w:space="1" w:color="auto"/>
          <w:left w:val="single" w:sz="4" w:space="4" w:color="auto"/>
          <w:bottom w:val="single" w:sz="4" w:space="1" w:color="auto"/>
          <w:right w:val="single" w:sz="4" w:space="4" w:color="auto"/>
        </w:pBdr>
        <w:tabs>
          <w:tab w:val="left" w:pos="426"/>
        </w:tabs>
        <w:spacing w:after="120"/>
        <w:jc w:val="both"/>
        <w:rPr>
          <w:rFonts w:eastAsia="Times New Roman" w:cs="Times New Roman"/>
          <w:b/>
          <w:lang w:eastAsia="en-GB"/>
        </w:rPr>
      </w:pPr>
      <w:r w:rsidRPr="00B95A49">
        <w:rPr>
          <w:rFonts w:eastAsia="Times New Roman" w:cs="Times New Roman"/>
          <w:b/>
          <w:lang w:eastAsia="en-GB"/>
        </w:rPr>
        <w:t>A.4</w:t>
      </w:r>
      <w:r w:rsidRPr="00B95A49">
        <w:rPr>
          <w:rFonts w:eastAsia="Times New Roman" w:cs="Times New Roman"/>
          <w:b/>
          <w:lang w:eastAsia="en-GB"/>
        </w:rPr>
        <w:tab/>
        <w:t xml:space="preserve">Flexible working and managing career breaks </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B95A49">
        <w:rPr>
          <w:rFonts w:eastAsia="Times New Roman" w:cs="Times New Roman"/>
          <w:lang w:eastAsia="en-GB"/>
        </w:rPr>
        <w:t>This focuses on initiatives that ensure that flexible working and maternity leave are managed effectively to enable returners to progress in their careers and achieve a good work-life balance. N.B. Flexible working can refer to a wide range of options including part-time working, term time working, compressed hours, annualised hours, home working etc. It may be undertaken for a range of family responsibilities, including raising children and caring for elderly or ill parents, partners and other family members.</w:t>
      </w:r>
    </w:p>
    <w:p w:rsidR="00A3500C" w:rsidRPr="00B95A49" w:rsidRDefault="00A3500C" w:rsidP="003E3CFE">
      <w:pPr>
        <w:pBdr>
          <w:top w:val="single" w:sz="4" w:space="1" w:color="auto"/>
          <w:left w:val="single" w:sz="4" w:space="4" w:color="auto"/>
          <w:bottom w:val="single" w:sz="4" w:space="1" w:color="auto"/>
          <w:right w:val="single" w:sz="4" w:space="4" w:color="auto"/>
        </w:pBdr>
        <w:tabs>
          <w:tab w:val="left" w:pos="426"/>
        </w:tabs>
        <w:spacing w:after="120"/>
        <w:jc w:val="both"/>
        <w:rPr>
          <w:rFonts w:eastAsia="Times New Roman" w:cs="Arial"/>
          <w:b/>
          <w:lang w:eastAsia="en-GB"/>
        </w:rPr>
      </w:pPr>
      <w:r w:rsidRPr="00B95A49">
        <w:rPr>
          <w:rFonts w:eastAsia="Times New Roman" w:cs="Arial"/>
          <w:b/>
          <w:lang w:eastAsia="en-GB"/>
        </w:rPr>
        <w:t xml:space="preserve">A.5 Organisation and culture </w:t>
      </w:r>
    </w:p>
    <w:p w:rsidR="00A3500C" w:rsidRPr="00B95A49" w:rsidRDefault="00A3500C" w:rsidP="003E3CFE">
      <w:pPr>
        <w:pBdr>
          <w:top w:val="single" w:sz="4" w:space="1" w:color="auto"/>
          <w:left w:val="single" w:sz="4" w:space="4" w:color="auto"/>
          <w:bottom w:val="single" w:sz="4" w:space="1" w:color="auto"/>
          <w:right w:val="single" w:sz="4" w:space="4" w:color="auto"/>
        </w:pBdr>
        <w:tabs>
          <w:tab w:val="left" w:pos="426"/>
        </w:tabs>
        <w:spacing w:after="120"/>
        <w:jc w:val="both"/>
        <w:rPr>
          <w:rFonts w:eastAsia="Times New Roman" w:cs="Arial"/>
          <w:b/>
          <w:lang w:eastAsia="en-GB"/>
        </w:rPr>
      </w:pPr>
      <w:r w:rsidRPr="00B95A49">
        <w:rPr>
          <w:rFonts w:eastAsia="Times New Roman" w:cs="Times New Roman"/>
          <w:lang w:eastAsia="en-GB"/>
        </w:rPr>
        <w:t xml:space="preserve">This focuses on the organisation culture and how women and BME staff are enabled to undertake additional responsibilities and raise their profile in order to enhance their career progression prospects. </w:t>
      </w:r>
    </w:p>
    <w:p w:rsidR="003E3CFE"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B95A49">
        <w:rPr>
          <w:rFonts w:eastAsia="Times New Roman" w:cs="Times New Roman"/>
          <w:lang w:eastAsia="en-GB"/>
        </w:rPr>
        <w:t>The data to be examined to inform th</w:t>
      </w:r>
      <w:r w:rsidR="003E3CFE">
        <w:rPr>
          <w:rFonts w:eastAsia="Times New Roman" w:cs="Times New Roman"/>
          <w:lang w:eastAsia="en-GB"/>
        </w:rPr>
        <w:t xml:space="preserve">is part of the audit includes: </w:t>
      </w:r>
    </w:p>
    <w:p w:rsidR="00A3500C" w:rsidRPr="003E3CFE" w:rsidRDefault="00A3500C" w:rsidP="006601FD">
      <w:pPr>
        <w:pStyle w:val="ListParagraph"/>
        <w:numPr>
          <w:ilvl w:val="0"/>
          <w:numId w:val="35"/>
        </w:num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3E3CFE">
        <w:rPr>
          <w:rFonts w:eastAsia="Times New Roman" w:cs="Times New Roman"/>
          <w:lang w:eastAsia="en-GB"/>
        </w:rPr>
        <w:t>committee representation and process of recruitment;</w:t>
      </w:r>
    </w:p>
    <w:p w:rsidR="00A3500C" w:rsidRPr="00B95A49" w:rsidRDefault="00A3500C" w:rsidP="006601FD">
      <w:pPr>
        <w:numPr>
          <w:ilvl w:val="0"/>
          <w:numId w:val="16"/>
        </w:numPr>
        <w:pBdr>
          <w:top w:val="single" w:sz="4" w:space="1" w:color="auto"/>
          <w:left w:val="single" w:sz="4" w:space="4" w:color="auto"/>
          <w:bottom w:val="single" w:sz="4" w:space="1" w:color="auto"/>
          <w:right w:val="single" w:sz="4" w:space="4" w:color="auto"/>
        </w:pBdr>
        <w:spacing w:after="120"/>
        <w:contextualSpacing/>
        <w:jc w:val="both"/>
        <w:rPr>
          <w:rFonts w:eastAsia="Times New Roman" w:cs="Arial"/>
          <w:lang w:eastAsia="en-GB"/>
        </w:rPr>
      </w:pPr>
      <w:r w:rsidRPr="00B95A49">
        <w:rPr>
          <w:rFonts w:eastAsia="Times New Roman" w:cs="Times New Roman"/>
          <w:lang w:eastAsia="en-GB"/>
        </w:rPr>
        <w:t xml:space="preserve">the workload allocation and valuation of responsibilities </w:t>
      </w:r>
      <w:r w:rsidRPr="00B95A49">
        <w:rPr>
          <w:rFonts w:eastAsia="Times New Roman" w:cs="Arial"/>
          <w:lang w:eastAsia="en-GB"/>
        </w:rPr>
        <w:t>across teaching, research, academic advising and pastoral roles; outreach and engagement activities ;</w:t>
      </w:r>
    </w:p>
    <w:p w:rsidR="00A3500C" w:rsidRPr="00B95A49" w:rsidRDefault="00A3500C" w:rsidP="006601FD">
      <w:pPr>
        <w:numPr>
          <w:ilvl w:val="0"/>
          <w:numId w:val="16"/>
        </w:numPr>
        <w:pBdr>
          <w:top w:val="single" w:sz="4" w:space="1" w:color="auto"/>
          <w:left w:val="single" w:sz="4" w:space="4" w:color="auto"/>
          <w:bottom w:val="single" w:sz="4" w:space="1" w:color="auto"/>
          <w:right w:val="single" w:sz="4" w:space="4" w:color="auto"/>
        </w:pBdr>
        <w:spacing w:after="120"/>
        <w:contextualSpacing/>
        <w:jc w:val="both"/>
        <w:rPr>
          <w:rFonts w:eastAsia="Times New Roman" w:cs="Arial"/>
          <w:lang w:eastAsia="en-GB"/>
        </w:rPr>
      </w:pPr>
      <w:r w:rsidRPr="00B95A49">
        <w:rPr>
          <w:rFonts w:eastAsia="Times New Roman" w:cs="Arial"/>
          <w:lang w:eastAsia="en-GB"/>
        </w:rPr>
        <w:t xml:space="preserve">REF2014 inclusion – equality and diversity audit; </w:t>
      </w:r>
    </w:p>
    <w:p w:rsidR="00A3500C" w:rsidRPr="00B95A49" w:rsidRDefault="00A3500C" w:rsidP="006601FD">
      <w:pPr>
        <w:numPr>
          <w:ilvl w:val="0"/>
          <w:numId w:val="16"/>
        </w:numPr>
        <w:pBdr>
          <w:top w:val="single" w:sz="4" w:space="1" w:color="auto"/>
          <w:left w:val="single" w:sz="4" w:space="4" w:color="auto"/>
          <w:bottom w:val="single" w:sz="4" w:space="1" w:color="auto"/>
          <w:right w:val="single" w:sz="4" w:space="4" w:color="auto"/>
        </w:pBdr>
        <w:spacing w:after="120"/>
        <w:contextualSpacing/>
        <w:jc w:val="both"/>
        <w:rPr>
          <w:rFonts w:eastAsia="Times New Roman" w:cs="Arial"/>
          <w:lang w:eastAsia="en-GB"/>
        </w:rPr>
      </w:pPr>
      <w:r w:rsidRPr="00B95A49">
        <w:rPr>
          <w:rFonts w:eastAsia="Times New Roman" w:cs="Arial"/>
          <w:lang w:eastAsia="en-GB"/>
        </w:rPr>
        <w:t>The timing of the ‘normal’ working day (core hours) for school meetings, and social gatherings, in relation to those with family responsibilities.</w:t>
      </w:r>
    </w:p>
    <w:p w:rsidR="003E3CFE" w:rsidRDefault="003E3CFE" w:rsidP="003E3CFE">
      <w:pPr>
        <w:pBdr>
          <w:top w:val="single" w:sz="4" w:space="1" w:color="auto"/>
          <w:left w:val="single" w:sz="4" w:space="4" w:color="auto"/>
          <w:bottom w:val="single" w:sz="4" w:space="1" w:color="auto"/>
          <w:right w:val="single" w:sz="4" w:space="4" w:color="auto"/>
        </w:pBdr>
        <w:spacing w:after="120"/>
        <w:jc w:val="both"/>
        <w:rPr>
          <w:rFonts w:eastAsia="Times New Roman" w:cs="Arial"/>
          <w:lang w:eastAsia="en-GB"/>
        </w:rPr>
      </w:pPr>
      <w:r>
        <w:rPr>
          <w:rFonts w:eastAsia="Times New Roman" w:cs="Arial"/>
          <w:lang w:eastAsia="en-GB"/>
        </w:rPr>
        <w:t xml:space="preserve">It will also consider </w:t>
      </w:r>
    </w:p>
    <w:p w:rsidR="003E3CFE" w:rsidRPr="003E3CFE" w:rsidRDefault="00A3500C" w:rsidP="006601FD">
      <w:pPr>
        <w:pStyle w:val="ListParagraph"/>
        <w:numPr>
          <w:ilvl w:val="0"/>
          <w:numId w:val="36"/>
        </w:numPr>
        <w:pBdr>
          <w:top w:val="single" w:sz="4" w:space="1" w:color="auto"/>
          <w:left w:val="single" w:sz="4" w:space="4" w:color="auto"/>
          <w:bottom w:val="single" w:sz="4" w:space="1" w:color="auto"/>
          <w:right w:val="single" w:sz="4" w:space="4" w:color="auto"/>
        </w:pBdr>
        <w:spacing w:after="120"/>
        <w:jc w:val="both"/>
        <w:rPr>
          <w:rFonts w:eastAsia="Times New Roman" w:cs="Arial"/>
          <w:lang w:eastAsia="en-GB"/>
        </w:rPr>
      </w:pPr>
      <w:r w:rsidRPr="003E3CFE">
        <w:rPr>
          <w:rFonts w:eastAsia="Times New Roman" w:cs="Arial"/>
          <w:lang w:eastAsia="en-GB"/>
        </w:rPr>
        <w:t xml:space="preserve">the visibility of women/BME as role models; </w:t>
      </w:r>
    </w:p>
    <w:p w:rsidR="00FE3696" w:rsidRPr="003E3CFE" w:rsidRDefault="00A3500C" w:rsidP="006601FD">
      <w:pPr>
        <w:pStyle w:val="ListParagraph"/>
        <w:numPr>
          <w:ilvl w:val="0"/>
          <w:numId w:val="36"/>
        </w:numPr>
        <w:pBdr>
          <w:top w:val="single" w:sz="4" w:space="1" w:color="auto"/>
          <w:left w:val="single" w:sz="4" w:space="4" w:color="auto"/>
          <w:bottom w:val="single" w:sz="4" w:space="1" w:color="auto"/>
          <w:right w:val="single" w:sz="4" w:space="4" w:color="auto"/>
        </w:pBdr>
        <w:spacing w:after="120"/>
        <w:jc w:val="both"/>
        <w:rPr>
          <w:rFonts w:eastAsia="Times New Roman" w:cs="Arial"/>
          <w:lang w:eastAsia="en-GB"/>
        </w:rPr>
      </w:pPr>
      <w:r w:rsidRPr="003E3CFE">
        <w:rPr>
          <w:rFonts w:eastAsia="Times New Roman" w:cs="Arial"/>
          <w:lang w:eastAsia="en-GB"/>
        </w:rPr>
        <w:t xml:space="preserve">how we create and demonstrate cultural inclusiveness, where </w:t>
      </w:r>
      <w:r w:rsidRPr="003E3CFE">
        <w:rPr>
          <w:rFonts w:eastAsia="Times New Roman" w:cs="Times New Roman"/>
          <w:lang w:eastAsia="en-GB"/>
        </w:rPr>
        <w:t xml:space="preserve">‘culture’ refers to the language, behaviours and other informal interactions that characterise the atmosphere of the School, and includes all staff and students. </w:t>
      </w:r>
    </w:p>
    <w:p w:rsidR="00A3500C" w:rsidRPr="00B95A49" w:rsidRDefault="00A3500C" w:rsidP="003E3CFE">
      <w:pPr>
        <w:pBdr>
          <w:top w:val="single" w:sz="4" w:space="1" w:color="auto"/>
          <w:left w:val="single" w:sz="4" w:space="4" w:color="auto"/>
          <w:bottom w:val="single" w:sz="4" w:space="1" w:color="auto"/>
          <w:right w:val="single" w:sz="4" w:space="4" w:color="auto"/>
        </w:pBdr>
        <w:tabs>
          <w:tab w:val="left" w:pos="426"/>
        </w:tabs>
        <w:spacing w:after="120"/>
        <w:contextualSpacing/>
        <w:jc w:val="both"/>
        <w:rPr>
          <w:rFonts w:eastAsia="Times New Roman" w:cs="Arial"/>
          <w:b/>
          <w:lang w:eastAsia="en-GB"/>
        </w:rPr>
      </w:pPr>
      <w:r w:rsidRPr="00B95A49">
        <w:rPr>
          <w:rFonts w:eastAsia="Times New Roman" w:cs="Arial"/>
          <w:b/>
          <w:lang w:eastAsia="en-GB"/>
        </w:rPr>
        <w:t xml:space="preserve">A.6 </w:t>
      </w:r>
      <w:r w:rsidRPr="00B95A49">
        <w:rPr>
          <w:rFonts w:eastAsia="Times New Roman" w:cs="Arial"/>
          <w:b/>
          <w:lang w:eastAsia="en-GB"/>
        </w:rPr>
        <w:tab/>
        <w:t>Any other issues</w:t>
      </w:r>
    </w:p>
    <w:p w:rsidR="00A3500C" w:rsidRPr="00B95A49"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B95A49">
        <w:rPr>
          <w:rFonts w:eastAsia="Times New Roman" w:cs="Times New Roman"/>
          <w:lang w:eastAsia="en-GB"/>
        </w:rPr>
        <w:t xml:space="preserve">The Working Group will also consider any other elements which are relevant to advancing staff gender and race equality and diversity matters in the Faculty, e.g. other female/BME - specific initiatives of special interest that have not been covered in the previous sections.  </w:t>
      </w:r>
    </w:p>
    <w:p w:rsidR="002B0182" w:rsidRDefault="00A3500C" w:rsidP="003E3CFE">
      <w:pPr>
        <w:pBdr>
          <w:top w:val="single" w:sz="4" w:space="1" w:color="auto"/>
          <w:left w:val="single" w:sz="4" w:space="4" w:color="auto"/>
          <w:bottom w:val="single" w:sz="4" w:space="1" w:color="auto"/>
          <w:right w:val="single" w:sz="4" w:space="4" w:color="auto"/>
        </w:pBdr>
        <w:spacing w:after="120"/>
        <w:jc w:val="both"/>
        <w:rPr>
          <w:rFonts w:eastAsia="Times New Roman" w:cs="Times New Roman"/>
          <w:lang w:eastAsia="en-GB"/>
        </w:rPr>
      </w:pPr>
      <w:r w:rsidRPr="00B95A49">
        <w:rPr>
          <w:rFonts w:eastAsia="Times New Roman" w:cs="Times New Roman"/>
          <w:lang w:eastAsia="en-GB"/>
        </w:rPr>
        <w:t>It will include any other relevant data (e.g. results from the staff survey), provide a commentary on it and propose recommendations for th</w:t>
      </w:r>
      <w:r w:rsidR="002B0182">
        <w:rPr>
          <w:rFonts w:eastAsia="Times New Roman" w:cs="Times New Roman"/>
          <w:lang w:eastAsia="en-GB"/>
        </w:rPr>
        <w:t>e Stage two school level focus.</w:t>
      </w:r>
    </w:p>
    <w:p w:rsidR="00A3500C" w:rsidRPr="002B0182" w:rsidRDefault="00A3500C" w:rsidP="00DE5A30">
      <w:pPr>
        <w:spacing w:after="120"/>
        <w:jc w:val="center"/>
        <w:rPr>
          <w:rFonts w:eastAsia="Times New Roman" w:cs="Times New Roman"/>
          <w:lang w:eastAsia="en-GB"/>
        </w:rPr>
      </w:pPr>
      <w:r w:rsidRPr="00A3500C">
        <w:rPr>
          <w:rFonts w:ascii="Arial" w:eastAsia="Times New Roman" w:hAnsi="Arial" w:cs="Times New Roman"/>
          <w:lang w:eastAsia="en-GB"/>
        </w:rPr>
        <w:br w:type="page"/>
      </w:r>
      <w:r w:rsidRPr="002B0182">
        <w:rPr>
          <w:b/>
          <w:sz w:val="24"/>
          <w:szCs w:val="24"/>
        </w:rPr>
        <w:lastRenderedPageBreak/>
        <w:t>Appendix 2</w:t>
      </w:r>
      <w:r w:rsidR="003C47C7" w:rsidRPr="002B0182">
        <w:rPr>
          <w:b/>
          <w:sz w:val="24"/>
          <w:szCs w:val="24"/>
        </w:rPr>
        <w:t xml:space="preserve">. </w:t>
      </w:r>
      <w:r w:rsidR="002B0182" w:rsidRPr="002B0182">
        <w:rPr>
          <w:b/>
          <w:sz w:val="24"/>
          <w:szCs w:val="24"/>
        </w:rPr>
        <w:t>Th</w:t>
      </w:r>
      <w:r w:rsidR="00A40C6F">
        <w:rPr>
          <w:b/>
          <w:sz w:val="24"/>
          <w:szCs w:val="24"/>
        </w:rPr>
        <w:t>e Institutional</w:t>
      </w:r>
      <w:r w:rsidRPr="002B0182">
        <w:rPr>
          <w:b/>
          <w:sz w:val="24"/>
          <w:szCs w:val="24"/>
        </w:rPr>
        <w:t xml:space="preserve"> Equality and Diversity</w:t>
      </w:r>
      <w:r w:rsidR="00A40C6F">
        <w:rPr>
          <w:b/>
          <w:sz w:val="24"/>
          <w:szCs w:val="24"/>
        </w:rPr>
        <w:t xml:space="preserve"> policy framework</w:t>
      </w:r>
      <w:r w:rsidR="002B0182" w:rsidRPr="002B0182">
        <w:rPr>
          <w:b/>
          <w:sz w:val="24"/>
          <w:szCs w:val="24"/>
        </w:rPr>
        <w:t xml:space="preserve"> – The University</w:t>
      </w:r>
      <w:r w:rsidR="002B0182" w:rsidRPr="002B0182">
        <w:rPr>
          <w:rFonts w:ascii="Arial" w:eastAsia="Times New Roman" w:hAnsi="Arial" w:cs="Times New Roman"/>
          <w:sz w:val="24"/>
          <w:szCs w:val="24"/>
          <w:lang w:eastAsia="en-GB"/>
        </w:rPr>
        <w:t xml:space="preserve"> </w:t>
      </w:r>
      <w:r w:rsidR="002B0182" w:rsidRPr="002B0182">
        <w:rPr>
          <w:b/>
          <w:bCs/>
          <w:sz w:val="24"/>
          <w:szCs w:val="24"/>
          <w:lang w:val="en"/>
        </w:rPr>
        <w:t>of M</w:t>
      </w:r>
      <w:r w:rsidRPr="002B0182">
        <w:rPr>
          <w:b/>
          <w:bCs/>
          <w:sz w:val="24"/>
          <w:szCs w:val="24"/>
          <w:lang w:val="en"/>
        </w:rPr>
        <w:t>anchester</w:t>
      </w:r>
      <w:r w:rsidR="003C47C7" w:rsidRPr="002B0182">
        <w:rPr>
          <w:b/>
          <w:bCs/>
          <w:sz w:val="24"/>
          <w:szCs w:val="24"/>
          <w:lang w:val="en"/>
        </w:rPr>
        <w:t xml:space="preserve"> </w:t>
      </w:r>
      <w:r w:rsidRPr="002B0182">
        <w:rPr>
          <w:b/>
          <w:bCs/>
          <w:sz w:val="24"/>
          <w:szCs w:val="24"/>
          <w:lang w:val="en"/>
        </w:rPr>
        <w:t>Employment policies and procedures as at February 2014</w:t>
      </w:r>
    </w:p>
    <w:p w:rsidR="00A3500C" w:rsidRPr="00A3500C" w:rsidRDefault="00511AB2" w:rsidP="006601FD">
      <w:pPr>
        <w:numPr>
          <w:ilvl w:val="0"/>
          <w:numId w:val="19"/>
        </w:numPr>
        <w:rPr>
          <w:lang w:val="en"/>
        </w:rPr>
      </w:pPr>
      <w:hyperlink r:id="rId11" w:tgtFrame="_blank" w:history="1">
        <w:r w:rsidR="00A3500C" w:rsidRPr="00A3500C">
          <w:rPr>
            <w:color w:val="0000FF" w:themeColor="hyperlink"/>
            <w:u w:val="single"/>
            <w:lang w:val="en"/>
          </w:rPr>
          <w:t>Academic Leave Policy</w:t>
        </w:r>
      </w:hyperlink>
    </w:p>
    <w:p w:rsidR="00A3500C" w:rsidRPr="00A3500C" w:rsidRDefault="00511AB2" w:rsidP="006601FD">
      <w:pPr>
        <w:numPr>
          <w:ilvl w:val="0"/>
          <w:numId w:val="19"/>
        </w:numPr>
        <w:rPr>
          <w:lang w:val="en"/>
        </w:rPr>
      </w:pPr>
      <w:hyperlink r:id="rId12" w:tgtFrame="_blank" w:history="1">
        <w:r w:rsidR="00A3500C" w:rsidRPr="00A3500C">
          <w:rPr>
            <w:color w:val="0000FF" w:themeColor="hyperlink"/>
            <w:u w:val="single"/>
            <w:lang w:val="en"/>
          </w:rPr>
          <w:t>Academic Leave Procedures</w:t>
        </w:r>
      </w:hyperlink>
    </w:p>
    <w:p w:rsidR="00A3500C" w:rsidRPr="00A3500C" w:rsidRDefault="00511AB2" w:rsidP="006601FD">
      <w:pPr>
        <w:numPr>
          <w:ilvl w:val="0"/>
          <w:numId w:val="19"/>
        </w:numPr>
        <w:rPr>
          <w:lang w:val="en"/>
        </w:rPr>
      </w:pPr>
      <w:hyperlink r:id="rId13" w:tgtFrame="_blank" w:history="1">
        <w:r w:rsidR="00A3500C" w:rsidRPr="00A3500C">
          <w:rPr>
            <w:color w:val="0000FF" w:themeColor="hyperlink"/>
            <w:u w:val="single"/>
            <w:lang w:val="en"/>
          </w:rPr>
          <w:t>Academic Promotions Policy</w:t>
        </w:r>
      </w:hyperlink>
    </w:p>
    <w:p w:rsidR="00A3500C" w:rsidRPr="00A3500C" w:rsidRDefault="00511AB2" w:rsidP="006601FD">
      <w:pPr>
        <w:numPr>
          <w:ilvl w:val="0"/>
          <w:numId w:val="19"/>
        </w:numPr>
        <w:rPr>
          <w:lang w:val="en"/>
        </w:rPr>
      </w:pPr>
      <w:hyperlink r:id="rId14" w:tgtFrame="_blank" w:history="1">
        <w:r w:rsidR="00A3500C" w:rsidRPr="00A3500C">
          <w:rPr>
            <w:color w:val="0000FF" w:themeColor="hyperlink"/>
            <w:u w:val="single"/>
            <w:lang w:val="en"/>
          </w:rPr>
          <w:t>Adoption Leave Policy</w:t>
        </w:r>
      </w:hyperlink>
    </w:p>
    <w:p w:rsidR="00A3500C" w:rsidRPr="00A3500C" w:rsidRDefault="00511AB2" w:rsidP="006601FD">
      <w:pPr>
        <w:numPr>
          <w:ilvl w:val="0"/>
          <w:numId w:val="19"/>
        </w:numPr>
        <w:rPr>
          <w:lang w:val="en"/>
        </w:rPr>
      </w:pPr>
      <w:hyperlink r:id="rId15" w:tgtFrame="_blank" w:history="1">
        <w:r w:rsidR="00A3500C" w:rsidRPr="00A3500C">
          <w:rPr>
            <w:color w:val="0000FF" w:themeColor="hyperlink"/>
            <w:u w:val="single"/>
            <w:lang w:val="en"/>
          </w:rPr>
          <w:t>Appeals against Dismissal Procedure for Support Staff</w:t>
        </w:r>
      </w:hyperlink>
    </w:p>
    <w:p w:rsidR="00A3500C" w:rsidRPr="00A3500C" w:rsidRDefault="00511AB2" w:rsidP="006601FD">
      <w:pPr>
        <w:numPr>
          <w:ilvl w:val="0"/>
          <w:numId w:val="19"/>
        </w:numPr>
        <w:rPr>
          <w:lang w:val="en"/>
        </w:rPr>
      </w:pPr>
      <w:hyperlink r:id="rId16" w:tgtFrame="_blank" w:history="1">
        <w:r w:rsidR="00A3500C" w:rsidRPr="00A3500C">
          <w:rPr>
            <w:color w:val="0000FF" w:themeColor="hyperlink"/>
            <w:u w:val="single"/>
            <w:lang w:val="en"/>
          </w:rPr>
          <w:t>Appeals Procedure for the Final Implementation of the National Framework Agreement</w:t>
        </w:r>
      </w:hyperlink>
    </w:p>
    <w:p w:rsidR="00A3500C" w:rsidRPr="00A3500C" w:rsidRDefault="00511AB2" w:rsidP="006601FD">
      <w:pPr>
        <w:numPr>
          <w:ilvl w:val="0"/>
          <w:numId w:val="19"/>
        </w:numPr>
        <w:rPr>
          <w:lang w:val="en"/>
        </w:rPr>
      </w:pPr>
      <w:hyperlink r:id="rId17" w:tgtFrame="_blank" w:history="1">
        <w:r w:rsidR="00A3500C" w:rsidRPr="00A3500C">
          <w:rPr>
            <w:color w:val="0000FF" w:themeColor="hyperlink"/>
            <w:u w:val="single"/>
            <w:lang w:val="en"/>
          </w:rPr>
          <w:t>Assimilation to New Pay Structure Policy</w:t>
        </w:r>
      </w:hyperlink>
    </w:p>
    <w:p w:rsidR="00A3500C" w:rsidRPr="00A3500C" w:rsidRDefault="00511AB2" w:rsidP="006601FD">
      <w:pPr>
        <w:numPr>
          <w:ilvl w:val="0"/>
          <w:numId w:val="19"/>
        </w:numPr>
        <w:rPr>
          <w:lang w:val="en"/>
        </w:rPr>
      </w:pPr>
      <w:hyperlink r:id="rId18" w:tgtFrame="_blank" w:history="1">
        <w:r w:rsidR="00A3500C" w:rsidRPr="00A3500C">
          <w:rPr>
            <w:color w:val="0000FF" w:themeColor="hyperlink"/>
            <w:u w:val="single"/>
            <w:lang w:val="en"/>
          </w:rPr>
          <w:t>Career Break Policy</w:t>
        </w:r>
      </w:hyperlink>
    </w:p>
    <w:p w:rsidR="00A3500C" w:rsidRPr="00A3500C" w:rsidRDefault="00511AB2" w:rsidP="006601FD">
      <w:pPr>
        <w:numPr>
          <w:ilvl w:val="0"/>
          <w:numId w:val="19"/>
        </w:numPr>
        <w:rPr>
          <w:lang w:val="en"/>
        </w:rPr>
      </w:pPr>
      <w:hyperlink r:id="rId19" w:tgtFrame="_blank" w:history="1">
        <w:r w:rsidR="00A3500C" w:rsidRPr="00A3500C">
          <w:rPr>
            <w:color w:val="0000FF" w:themeColor="hyperlink"/>
            <w:u w:val="single"/>
            <w:lang w:val="en"/>
          </w:rPr>
          <w:t>Casuals Policy and Procedure for the Engagement and Use of Casual Staff</w:t>
        </w:r>
      </w:hyperlink>
    </w:p>
    <w:p w:rsidR="00A3500C" w:rsidRPr="00A3500C" w:rsidRDefault="00511AB2" w:rsidP="006601FD">
      <w:pPr>
        <w:numPr>
          <w:ilvl w:val="0"/>
          <w:numId w:val="19"/>
        </w:numPr>
        <w:rPr>
          <w:lang w:val="en"/>
        </w:rPr>
      </w:pPr>
      <w:hyperlink r:id="rId20" w:tgtFrame="_blank" w:history="1">
        <w:r w:rsidR="00A3500C" w:rsidRPr="00A3500C">
          <w:rPr>
            <w:color w:val="0000FF" w:themeColor="hyperlink"/>
            <w:u w:val="single"/>
            <w:lang w:val="en"/>
          </w:rPr>
          <w:t>Consensual Relationships Policy</w:t>
        </w:r>
      </w:hyperlink>
    </w:p>
    <w:p w:rsidR="00A3500C" w:rsidRPr="00A3500C" w:rsidRDefault="00511AB2" w:rsidP="006601FD">
      <w:pPr>
        <w:numPr>
          <w:ilvl w:val="0"/>
          <w:numId w:val="19"/>
        </w:numPr>
        <w:rPr>
          <w:lang w:val="en"/>
        </w:rPr>
      </w:pPr>
      <w:hyperlink r:id="rId21" w:tgtFrame="_blank" w:history="1">
        <w:r w:rsidR="00A3500C" w:rsidRPr="00A3500C">
          <w:rPr>
            <w:color w:val="0000FF" w:themeColor="hyperlink"/>
            <w:u w:val="single"/>
            <w:lang w:val="en"/>
          </w:rPr>
          <w:t>Contracts of Employment Policy and Procedure</w:t>
        </w:r>
      </w:hyperlink>
    </w:p>
    <w:p w:rsidR="00A3500C" w:rsidRPr="00A3500C" w:rsidRDefault="00511AB2" w:rsidP="006601FD">
      <w:pPr>
        <w:numPr>
          <w:ilvl w:val="0"/>
          <w:numId w:val="19"/>
        </w:numPr>
        <w:rPr>
          <w:lang w:val="en"/>
        </w:rPr>
      </w:pPr>
      <w:hyperlink r:id="rId22" w:tgtFrame="_blank" w:history="1">
        <w:r w:rsidR="00A3500C" w:rsidRPr="00A3500C">
          <w:rPr>
            <w:color w:val="0000FF" w:themeColor="hyperlink"/>
            <w:u w:val="single"/>
            <w:lang w:val="en"/>
          </w:rPr>
          <w:t>CRB Data Storage Policy</w:t>
        </w:r>
      </w:hyperlink>
    </w:p>
    <w:p w:rsidR="00A3500C" w:rsidRPr="00A3500C" w:rsidRDefault="00511AB2" w:rsidP="006601FD">
      <w:pPr>
        <w:numPr>
          <w:ilvl w:val="0"/>
          <w:numId w:val="19"/>
        </w:numPr>
        <w:rPr>
          <w:lang w:val="en"/>
        </w:rPr>
      </w:pPr>
      <w:hyperlink r:id="rId23" w:tgtFrame="_blank" w:history="1">
        <w:r w:rsidR="00A3500C" w:rsidRPr="00A3500C">
          <w:rPr>
            <w:color w:val="0000FF" w:themeColor="hyperlink"/>
            <w:u w:val="single"/>
            <w:lang w:val="en"/>
          </w:rPr>
          <w:t>Death in Service Policy</w:t>
        </w:r>
      </w:hyperlink>
    </w:p>
    <w:p w:rsidR="00A3500C" w:rsidRPr="00A3500C" w:rsidRDefault="00A3500C" w:rsidP="006601FD">
      <w:pPr>
        <w:numPr>
          <w:ilvl w:val="0"/>
          <w:numId w:val="20"/>
        </w:numPr>
        <w:contextualSpacing/>
        <w:rPr>
          <w:lang w:val="en"/>
        </w:rPr>
      </w:pPr>
      <w:r w:rsidRPr="00A3500C">
        <w:t>Dignity at Work Policy:</w:t>
      </w:r>
    </w:p>
    <w:p w:rsidR="00A3500C" w:rsidRPr="00A3500C" w:rsidRDefault="00511AB2" w:rsidP="00A3500C">
      <w:pPr>
        <w:ind w:left="720"/>
        <w:rPr>
          <w:lang w:val="en"/>
        </w:rPr>
      </w:pPr>
      <w:hyperlink r:id="rId24" w:history="1">
        <w:r w:rsidR="00A3500C" w:rsidRPr="00A3500C">
          <w:rPr>
            <w:color w:val="0000FF" w:themeColor="hyperlink"/>
            <w:u w:val="single"/>
            <w:lang w:val="en"/>
          </w:rPr>
          <w:t>http://documents.manchester.ac.uk/display.aspx?DocID=2753</w:t>
        </w:r>
      </w:hyperlink>
    </w:p>
    <w:p w:rsidR="00A3500C" w:rsidRPr="00A3500C" w:rsidRDefault="00511AB2" w:rsidP="006601FD">
      <w:pPr>
        <w:numPr>
          <w:ilvl w:val="0"/>
          <w:numId w:val="19"/>
        </w:numPr>
        <w:rPr>
          <w:lang w:val="en"/>
        </w:rPr>
      </w:pPr>
      <w:hyperlink r:id="rId25" w:tgtFrame="_blank" w:history="1">
        <w:r w:rsidR="00A3500C" w:rsidRPr="00A3500C">
          <w:rPr>
            <w:color w:val="0000FF" w:themeColor="hyperlink"/>
            <w:u w:val="single"/>
            <w:lang w:val="en"/>
          </w:rPr>
          <w:t>Disciplinary and Dismissal Procedure for Support Staff</w:t>
        </w:r>
      </w:hyperlink>
    </w:p>
    <w:p w:rsidR="00A3500C" w:rsidRPr="00A3500C" w:rsidRDefault="00511AB2" w:rsidP="006601FD">
      <w:pPr>
        <w:numPr>
          <w:ilvl w:val="0"/>
          <w:numId w:val="19"/>
        </w:numPr>
        <w:rPr>
          <w:lang w:val="en"/>
        </w:rPr>
      </w:pPr>
      <w:hyperlink r:id="rId26" w:tgtFrame="_blank" w:history="1">
        <w:r w:rsidR="00A3500C" w:rsidRPr="00A3500C">
          <w:rPr>
            <w:color w:val="0000FF" w:themeColor="hyperlink"/>
            <w:u w:val="single"/>
            <w:lang w:val="en"/>
          </w:rPr>
          <w:t>Drug and Alcohol Abuse Policy</w:t>
        </w:r>
      </w:hyperlink>
    </w:p>
    <w:p w:rsidR="00A3500C" w:rsidRPr="00A3500C" w:rsidRDefault="00511AB2" w:rsidP="006601FD">
      <w:pPr>
        <w:numPr>
          <w:ilvl w:val="0"/>
          <w:numId w:val="19"/>
        </w:numPr>
        <w:rPr>
          <w:lang w:val="en"/>
        </w:rPr>
      </w:pPr>
      <w:hyperlink r:id="rId27" w:tgtFrame="_blank" w:history="1">
        <w:r w:rsidR="00A3500C" w:rsidRPr="00A3500C">
          <w:rPr>
            <w:color w:val="0000FF" w:themeColor="hyperlink"/>
            <w:u w:val="single"/>
            <w:lang w:val="en"/>
          </w:rPr>
          <w:t>Drug and Alcohol Abuse Procedures</w:t>
        </w:r>
      </w:hyperlink>
    </w:p>
    <w:p w:rsidR="00A3500C" w:rsidRPr="00A3500C" w:rsidRDefault="00A3500C" w:rsidP="006601FD">
      <w:pPr>
        <w:numPr>
          <w:ilvl w:val="0"/>
          <w:numId w:val="19"/>
        </w:numPr>
        <w:rPr>
          <w:lang w:val="en"/>
        </w:rPr>
      </w:pPr>
      <w:r w:rsidRPr="00A3500C">
        <w:rPr>
          <w:lang w:val="en"/>
        </w:rPr>
        <w:t>Equality and Diversity Policy</w:t>
      </w:r>
    </w:p>
    <w:p w:rsidR="00A3500C" w:rsidRPr="00A3500C" w:rsidRDefault="00511AB2" w:rsidP="00A3500C">
      <w:pPr>
        <w:ind w:left="720"/>
        <w:rPr>
          <w:lang w:val="en"/>
        </w:rPr>
      </w:pPr>
      <w:hyperlink r:id="rId28" w:history="1">
        <w:r w:rsidR="00A3500C" w:rsidRPr="00A3500C">
          <w:rPr>
            <w:color w:val="0000FF" w:themeColor="hyperlink"/>
            <w:u w:val="single"/>
            <w:lang w:val="en"/>
          </w:rPr>
          <w:t>http://documents.manchester.ac.uk/display.aspx?DocID=8361</w:t>
        </w:r>
      </w:hyperlink>
    </w:p>
    <w:p w:rsidR="00A3500C" w:rsidRPr="00A3500C" w:rsidRDefault="00511AB2" w:rsidP="006601FD">
      <w:pPr>
        <w:numPr>
          <w:ilvl w:val="0"/>
          <w:numId w:val="19"/>
        </w:numPr>
        <w:rPr>
          <w:lang w:val="en"/>
        </w:rPr>
      </w:pPr>
      <w:hyperlink r:id="rId29" w:tgtFrame="_blank" w:history="1">
        <w:r w:rsidR="00A3500C" w:rsidRPr="00A3500C">
          <w:rPr>
            <w:color w:val="0000FF" w:themeColor="hyperlink"/>
            <w:u w:val="single"/>
            <w:lang w:val="en"/>
          </w:rPr>
          <w:t>Flexible Working Policy</w:t>
        </w:r>
      </w:hyperlink>
    </w:p>
    <w:p w:rsidR="00A3500C" w:rsidRPr="00A3500C" w:rsidRDefault="00511AB2" w:rsidP="006601FD">
      <w:pPr>
        <w:numPr>
          <w:ilvl w:val="0"/>
          <w:numId w:val="19"/>
        </w:numPr>
        <w:rPr>
          <w:lang w:val="en"/>
        </w:rPr>
      </w:pPr>
      <w:hyperlink r:id="rId30" w:tgtFrame="_blank" w:history="1">
        <w:r w:rsidR="00A3500C" w:rsidRPr="00A3500C">
          <w:rPr>
            <w:color w:val="0000FF" w:themeColor="hyperlink"/>
            <w:u w:val="single"/>
            <w:lang w:val="en"/>
          </w:rPr>
          <w:t xml:space="preserve">Grievance Procedure </w:t>
        </w:r>
      </w:hyperlink>
    </w:p>
    <w:p w:rsidR="00A3500C" w:rsidRPr="00A3500C" w:rsidRDefault="00511AB2" w:rsidP="006601FD">
      <w:pPr>
        <w:numPr>
          <w:ilvl w:val="0"/>
          <w:numId w:val="19"/>
        </w:numPr>
        <w:rPr>
          <w:lang w:val="en"/>
        </w:rPr>
      </w:pPr>
      <w:hyperlink r:id="rId31" w:tgtFrame="_blank" w:history="1">
        <w:r w:rsidR="00A3500C" w:rsidRPr="00A3500C">
          <w:rPr>
            <w:color w:val="0000FF" w:themeColor="hyperlink"/>
            <w:u w:val="single"/>
            <w:lang w:val="en"/>
          </w:rPr>
          <w:t>Head of School Appointment Procedure</w:t>
        </w:r>
      </w:hyperlink>
    </w:p>
    <w:p w:rsidR="00A3500C" w:rsidRPr="00A3500C" w:rsidRDefault="00511AB2" w:rsidP="006601FD">
      <w:pPr>
        <w:numPr>
          <w:ilvl w:val="0"/>
          <w:numId w:val="19"/>
        </w:numPr>
        <w:rPr>
          <w:lang w:val="en"/>
        </w:rPr>
      </w:pPr>
      <w:hyperlink r:id="rId32" w:tgtFrame="_blank" w:history="1">
        <w:r w:rsidR="00A3500C" w:rsidRPr="00A3500C">
          <w:rPr>
            <w:color w:val="0000FF" w:themeColor="hyperlink"/>
            <w:u w:val="single"/>
            <w:lang w:val="en"/>
          </w:rPr>
          <w:t>HIV/AIDS Policy</w:t>
        </w:r>
      </w:hyperlink>
    </w:p>
    <w:p w:rsidR="00A3500C" w:rsidRPr="00A3500C" w:rsidRDefault="00511AB2" w:rsidP="006601FD">
      <w:pPr>
        <w:numPr>
          <w:ilvl w:val="0"/>
          <w:numId w:val="19"/>
        </w:numPr>
        <w:rPr>
          <w:lang w:val="en"/>
        </w:rPr>
      </w:pPr>
      <w:hyperlink r:id="rId33" w:tgtFrame="_blank" w:history="1">
        <w:r w:rsidR="00A3500C" w:rsidRPr="00A3500C">
          <w:rPr>
            <w:color w:val="0000FF" w:themeColor="hyperlink"/>
            <w:u w:val="single"/>
            <w:lang w:val="en"/>
          </w:rPr>
          <w:t>Honorary Appointments Policy and Procedures</w:t>
        </w:r>
      </w:hyperlink>
    </w:p>
    <w:p w:rsidR="00A3500C" w:rsidRPr="00A3500C" w:rsidRDefault="00511AB2" w:rsidP="006601FD">
      <w:pPr>
        <w:numPr>
          <w:ilvl w:val="0"/>
          <w:numId w:val="19"/>
        </w:numPr>
        <w:rPr>
          <w:lang w:val="en"/>
        </w:rPr>
      </w:pPr>
      <w:hyperlink r:id="rId34" w:tgtFrame="_blank" w:history="1">
        <w:r w:rsidR="00A3500C" w:rsidRPr="00A3500C">
          <w:rPr>
            <w:color w:val="0000FF" w:themeColor="hyperlink"/>
            <w:u w:val="single"/>
            <w:lang w:val="en"/>
          </w:rPr>
          <w:t>Interview Expenses Policy</w:t>
        </w:r>
      </w:hyperlink>
    </w:p>
    <w:p w:rsidR="00A3500C" w:rsidRPr="00A3500C" w:rsidRDefault="00511AB2" w:rsidP="006601FD">
      <w:pPr>
        <w:numPr>
          <w:ilvl w:val="0"/>
          <w:numId w:val="19"/>
        </w:numPr>
        <w:rPr>
          <w:lang w:val="en"/>
        </w:rPr>
      </w:pPr>
      <w:hyperlink r:id="rId35" w:tgtFrame="_blank" w:history="1">
        <w:r w:rsidR="00A3500C" w:rsidRPr="00A3500C">
          <w:rPr>
            <w:color w:val="0000FF" w:themeColor="hyperlink"/>
            <w:u w:val="single"/>
            <w:lang w:val="en"/>
          </w:rPr>
          <w:t>Market Pay Policy</w:t>
        </w:r>
      </w:hyperlink>
    </w:p>
    <w:p w:rsidR="00A3500C" w:rsidRPr="00A3500C" w:rsidRDefault="00511AB2" w:rsidP="006601FD">
      <w:pPr>
        <w:numPr>
          <w:ilvl w:val="0"/>
          <w:numId w:val="19"/>
        </w:numPr>
        <w:rPr>
          <w:lang w:val="en"/>
        </w:rPr>
      </w:pPr>
      <w:hyperlink r:id="rId36" w:tgtFrame="_blank" w:history="1">
        <w:r w:rsidR="00A3500C" w:rsidRPr="00A3500C">
          <w:rPr>
            <w:color w:val="0000FF" w:themeColor="hyperlink"/>
            <w:u w:val="single"/>
            <w:lang w:val="en"/>
          </w:rPr>
          <w:t>Maternity Leave Policy</w:t>
        </w:r>
      </w:hyperlink>
    </w:p>
    <w:p w:rsidR="00A3500C" w:rsidRPr="00A3500C" w:rsidRDefault="00511AB2" w:rsidP="006601FD">
      <w:pPr>
        <w:numPr>
          <w:ilvl w:val="0"/>
          <w:numId w:val="19"/>
        </w:numPr>
        <w:rPr>
          <w:lang w:val="en"/>
        </w:rPr>
      </w:pPr>
      <w:hyperlink r:id="rId37" w:tgtFrame="_blank" w:history="1">
        <w:r w:rsidR="00A3500C" w:rsidRPr="00A3500C">
          <w:rPr>
            <w:color w:val="0000FF" w:themeColor="hyperlink"/>
            <w:u w:val="single"/>
            <w:lang w:val="en"/>
          </w:rPr>
          <w:t>Non-Business Staff Entertaining Policy</w:t>
        </w:r>
      </w:hyperlink>
    </w:p>
    <w:p w:rsidR="00A3500C" w:rsidRPr="00A3500C" w:rsidRDefault="00511AB2" w:rsidP="006601FD">
      <w:pPr>
        <w:numPr>
          <w:ilvl w:val="0"/>
          <w:numId w:val="19"/>
        </w:numPr>
        <w:rPr>
          <w:lang w:val="en"/>
        </w:rPr>
      </w:pPr>
      <w:hyperlink r:id="rId38" w:tgtFrame="_blank" w:history="1">
        <w:r w:rsidR="00A3500C" w:rsidRPr="00A3500C">
          <w:rPr>
            <w:color w:val="0000FF" w:themeColor="hyperlink"/>
            <w:u w:val="single"/>
            <w:lang w:val="en"/>
          </w:rPr>
          <w:t>Non-Clinical Professorial Salary Policy</w:t>
        </w:r>
      </w:hyperlink>
    </w:p>
    <w:p w:rsidR="00A3500C" w:rsidRPr="00A3500C" w:rsidRDefault="00A3500C" w:rsidP="006601FD">
      <w:pPr>
        <w:numPr>
          <w:ilvl w:val="0"/>
          <w:numId w:val="19"/>
        </w:numPr>
        <w:rPr>
          <w:lang w:val="en"/>
        </w:rPr>
      </w:pPr>
      <w:r w:rsidRPr="00A3500C">
        <w:t>Outside work and consultancy policy</w:t>
      </w:r>
    </w:p>
    <w:p w:rsidR="00A3500C" w:rsidRPr="00A3500C" w:rsidRDefault="00511AB2" w:rsidP="00A3500C">
      <w:pPr>
        <w:ind w:left="720"/>
        <w:rPr>
          <w:lang w:val="en"/>
        </w:rPr>
      </w:pPr>
      <w:hyperlink r:id="rId39" w:history="1">
        <w:r w:rsidR="00A3500C" w:rsidRPr="00A3500C">
          <w:rPr>
            <w:color w:val="0000FF" w:themeColor="hyperlink"/>
            <w:u w:val="single"/>
            <w:lang w:val="en"/>
          </w:rPr>
          <w:t>http://documents.manchester.ac.uk/DocuInfo.aspx?DocID=7929</w:t>
        </w:r>
      </w:hyperlink>
    </w:p>
    <w:p w:rsidR="00A3500C" w:rsidRPr="00A3500C" w:rsidRDefault="00511AB2" w:rsidP="006601FD">
      <w:pPr>
        <w:numPr>
          <w:ilvl w:val="0"/>
          <w:numId w:val="19"/>
        </w:numPr>
        <w:rPr>
          <w:lang w:val="en"/>
        </w:rPr>
      </w:pPr>
      <w:hyperlink r:id="rId40" w:tgtFrame="_blank" w:history="1">
        <w:r w:rsidR="00A3500C" w:rsidRPr="00A3500C">
          <w:rPr>
            <w:color w:val="0000FF" w:themeColor="hyperlink"/>
            <w:u w:val="single"/>
            <w:lang w:val="en"/>
          </w:rPr>
          <w:t>Parental Leave Policy</w:t>
        </w:r>
      </w:hyperlink>
    </w:p>
    <w:p w:rsidR="00A3500C" w:rsidRPr="00A3500C" w:rsidRDefault="00511AB2" w:rsidP="006601FD">
      <w:pPr>
        <w:numPr>
          <w:ilvl w:val="0"/>
          <w:numId w:val="19"/>
        </w:numPr>
        <w:rPr>
          <w:lang w:val="en"/>
        </w:rPr>
      </w:pPr>
      <w:hyperlink r:id="rId41" w:tgtFrame="_blank" w:history="1">
        <w:r w:rsidR="00A3500C" w:rsidRPr="00A3500C">
          <w:rPr>
            <w:color w:val="0000FF" w:themeColor="hyperlink"/>
            <w:u w:val="single"/>
            <w:lang w:val="en"/>
          </w:rPr>
          <w:t>Paternity Leave Policy</w:t>
        </w:r>
      </w:hyperlink>
    </w:p>
    <w:p w:rsidR="00A3500C" w:rsidRPr="00A3500C" w:rsidRDefault="00511AB2" w:rsidP="006601FD">
      <w:pPr>
        <w:numPr>
          <w:ilvl w:val="0"/>
          <w:numId w:val="19"/>
        </w:numPr>
        <w:rPr>
          <w:lang w:val="en"/>
        </w:rPr>
      </w:pPr>
      <w:hyperlink r:id="rId42" w:tgtFrame="_blank" w:history="1">
        <w:r w:rsidR="00A3500C" w:rsidRPr="00A3500C">
          <w:rPr>
            <w:color w:val="0000FF" w:themeColor="hyperlink"/>
            <w:u w:val="single"/>
            <w:lang w:val="en"/>
          </w:rPr>
          <w:t>Pay Protection Policy</w:t>
        </w:r>
      </w:hyperlink>
    </w:p>
    <w:p w:rsidR="00A3500C" w:rsidRPr="00A3500C" w:rsidRDefault="00511AB2" w:rsidP="006601FD">
      <w:pPr>
        <w:numPr>
          <w:ilvl w:val="0"/>
          <w:numId w:val="19"/>
        </w:numPr>
        <w:rPr>
          <w:lang w:val="en"/>
        </w:rPr>
      </w:pPr>
      <w:hyperlink r:id="rId43" w:tgtFrame="_blank" w:history="1">
        <w:r w:rsidR="00A3500C" w:rsidRPr="00A3500C">
          <w:rPr>
            <w:color w:val="0000FF" w:themeColor="hyperlink"/>
            <w:u w:val="single"/>
            <w:lang w:val="en"/>
          </w:rPr>
          <w:t>Performance and Development Review Procedure and Guidance Notes for Academic and Related Staff</w:t>
        </w:r>
      </w:hyperlink>
    </w:p>
    <w:p w:rsidR="00A3500C" w:rsidRPr="00A3500C" w:rsidRDefault="00511AB2" w:rsidP="006601FD">
      <w:pPr>
        <w:numPr>
          <w:ilvl w:val="0"/>
          <w:numId w:val="19"/>
        </w:numPr>
        <w:rPr>
          <w:lang w:val="en"/>
        </w:rPr>
      </w:pPr>
      <w:hyperlink r:id="rId44" w:tgtFrame="_blank" w:history="1">
        <w:r w:rsidR="00A3500C" w:rsidRPr="00A3500C">
          <w:rPr>
            <w:color w:val="0000FF" w:themeColor="hyperlink"/>
            <w:u w:val="single"/>
            <w:lang w:val="en"/>
          </w:rPr>
          <w:t>Performance and Development Review Procedure and Guidance Notes for Support Staff</w:t>
        </w:r>
      </w:hyperlink>
    </w:p>
    <w:p w:rsidR="00A3500C" w:rsidRPr="00A3500C" w:rsidRDefault="00511AB2" w:rsidP="006601FD">
      <w:pPr>
        <w:numPr>
          <w:ilvl w:val="0"/>
          <w:numId w:val="19"/>
        </w:numPr>
        <w:rPr>
          <w:lang w:val="en"/>
        </w:rPr>
      </w:pPr>
      <w:hyperlink r:id="rId45" w:tgtFrame="_blank" w:history="1">
        <w:r w:rsidR="00A3500C" w:rsidRPr="00A3500C">
          <w:rPr>
            <w:color w:val="0000FF" w:themeColor="hyperlink"/>
            <w:u w:val="single"/>
            <w:lang w:val="en"/>
          </w:rPr>
          <w:t>Pre-retirement Leave</w:t>
        </w:r>
      </w:hyperlink>
    </w:p>
    <w:p w:rsidR="00A3500C" w:rsidRPr="00A3500C" w:rsidRDefault="00511AB2" w:rsidP="006601FD">
      <w:pPr>
        <w:numPr>
          <w:ilvl w:val="0"/>
          <w:numId w:val="19"/>
        </w:numPr>
        <w:rPr>
          <w:lang w:val="en"/>
        </w:rPr>
      </w:pPr>
      <w:hyperlink r:id="rId46" w:tgtFrame="_blank" w:history="1">
        <w:r w:rsidR="00A3500C" w:rsidRPr="00A3500C">
          <w:rPr>
            <w:color w:val="0000FF" w:themeColor="hyperlink"/>
            <w:u w:val="single"/>
            <w:lang w:val="en"/>
          </w:rPr>
          <w:t>Probationary Arrangements for Newly Appointed Academic Staff</w:t>
        </w:r>
      </w:hyperlink>
    </w:p>
    <w:p w:rsidR="00A3500C" w:rsidRPr="00A3500C" w:rsidRDefault="00511AB2" w:rsidP="006601FD">
      <w:pPr>
        <w:numPr>
          <w:ilvl w:val="0"/>
          <w:numId w:val="19"/>
        </w:numPr>
        <w:rPr>
          <w:lang w:val="en"/>
        </w:rPr>
      </w:pPr>
      <w:hyperlink r:id="rId47" w:tgtFrame="_blank" w:history="1">
        <w:r w:rsidR="00A3500C" w:rsidRPr="00A3500C">
          <w:rPr>
            <w:color w:val="0000FF" w:themeColor="hyperlink"/>
            <w:u w:val="single"/>
            <w:lang w:val="en"/>
          </w:rPr>
          <w:t>Public Service Leave Policy</w:t>
        </w:r>
      </w:hyperlink>
    </w:p>
    <w:p w:rsidR="00A3500C" w:rsidRPr="00A3500C" w:rsidRDefault="00511AB2" w:rsidP="006601FD">
      <w:pPr>
        <w:numPr>
          <w:ilvl w:val="0"/>
          <w:numId w:val="19"/>
        </w:numPr>
        <w:rPr>
          <w:lang w:val="en"/>
        </w:rPr>
      </w:pPr>
      <w:hyperlink r:id="rId48" w:tgtFrame="_blank" w:history="1">
        <w:r w:rsidR="00A3500C" w:rsidRPr="00A3500C">
          <w:rPr>
            <w:color w:val="0000FF" w:themeColor="hyperlink"/>
            <w:u w:val="single"/>
            <w:lang w:val="en"/>
          </w:rPr>
          <w:t>Recognising and Rewarding Exceptional Performance Policy and Procedure</w:t>
        </w:r>
      </w:hyperlink>
    </w:p>
    <w:p w:rsidR="00A3500C" w:rsidRPr="00A3500C" w:rsidRDefault="00511AB2" w:rsidP="006601FD">
      <w:pPr>
        <w:numPr>
          <w:ilvl w:val="0"/>
          <w:numId w:val="19"/>
        </w:numPr>
        <w:rPr>
          <w:lang w:val="en"/>
        </w:rPr>
      </w:pPr>
      <w:hyperlink r:id="rId49" w:tgtFrame="_blank" w:history="1">
        <w:r w:rsidR="00A3500C" w:rsidRPr="00A3500C">
          <w:rPr>
            <w:color w:val="0000FF" w:themeColor="hyperlink"/>
            <w:u w:val="single"/>
            <w:lang w:val="en"/>
          </w:rPr>
          <w:t>Recruitment and Employment of Ex-Offenders Policy</w:t>
        </w:r>
      </w:hyperlink>
    </w:p>
    <w:p w:rsidR="00A3500C" w:rsidRPr="00A3500C" w:rsidRDefault="00511AB2" w:rsidP="006601FD">
      <w:pPr>
        <w:numPr>
          <w:ilvl w:val="0"/>
          <w:numId w:val="19"/>
        </w:numPr>
        <w:rPr>
          <w:lang w:val="en"/>
        </w:rPr>
      </w:pPr>
      <w:hyperlink r:id="rId50" w:tgtFrame="_blank" w:history="1">
        <w:r w:rsidR="00A3500C" w:rsidRPr="00A3500C">
          <w:rPr>
            <w:color w:val="0000FF" w:themeColor="hyperlink"/>
            <w:u w:val="single"/>
            <w:lang w:val="en"/>
          </w:rPr>
          <w:t>Recruitment and Selection Policy and Procedures</w:t>
        </w:r>
      </w:hyperlink>
    </w:p>
    <w:p w:rsidR="00A3500C" w:rsidRPr="00A3500C" w:rsidRDefault="00511AB2" w:rsidP="006601FD">
      <w:pPr>
        <w:numPr>
          <w:ilvl w:val="0"/>
          <w:numId w:val="19"/>
        </w:numPr>
        <w:rPr>
          <w:lang w:val="en"/>
        </w:rPr>
      </w:pPr>
      <w:hyperlink r:id="rId51" w:tgtFrame="_blank" w:history="1">
        <w:r w:rsidR="00A3500C" w:rsidRPr="00A3500C">
          <w:rPr>
            <w:color w:val="0000FF" w:themeColor="hyperlink"/>
            <w:u w:val="single"/>
            <w:lang w:val="en"/>
          </w:rPr>
          <w:t>Redeployment Policy</w:t>
        </w:r>
      </w:hyperlink>
    </w:p>
    <w:p w:rsidR="00A3500C" w:rsidRPr="00A3500C" w:rsidRDefault="00511AB2" w:rsidP="006601FD">
      <w:pPr>
        <w:numPr>
          <w:ilvl w:val="0"/>
          <w:numId w:val="19"/>
        </w:numPr>
        <w:rPr>
          <w:lang w:val="en"/>
        </w:rPr>
      </w:pPr>
      <w:hyperlink r:id="rId52" w:tgtFrame="_blank" w:history="1">
        <w:r w:rsidR="00A3500C" w:rsidRPr="00A3500C">
          <w:rPr>
            <w:color w:val="0000FF" w:themeColor="hyperlink"/>
            <w:u w:val="single"/>
            <w:lang w:val="en"/>
          </w:rPr>
          <w:t>References: Policy on Providing Employment References for Employees/Former Employees</w:t>
        </w:r>
      </w:hyperlink>
    </w:p>
    <w:p w:rsidR="00A3500C" w:rsidRPr="00A3500C" w:rsidRDefault="00511AB2" w:rsidP="006601FD">
      <w:pPr>
        <w:numPr>
          <w:ilvl w:val="0"/>
          <w:numId w:val="19"/>
        </w:numPr>
        <w:rPr>
          <w:lang w:val="en"/>
        </w:rPr>
      </w:pPr>
      <w:hyperlink r:id="rId53" w:tgtFrame="_blank" w:history="1">
        <w:r w:rsidR="00A3500C" w:rsidRPr="00A3500C">
          <w:rPr>
            <w:color w:val="0000FF" w:themeColor="hyperlink"/>
            <w:u w:val="single"/>
            <w:lang w:val="en"/>
          </w:rPr>
          <w:t>Re-grading Policy and Procedure</w:t>
        </w:r>
      </w:hyperlink>
    </w:p>
    <w:p w:rsidR="00A3500C" w:rsidRPr="00A3500C" w:rsidRDefault="00511AB2" w:rsidP="006601FD">
      <w:pPr>
        <w:numPr>
          <w:ilvl w:val="0"/>
          <w:numId w:val="19"/>
        </w:numPr>
        <w:rPr>
          <w:lang w:val="en"/>
        </w:rPr>
      </w:pPr>
      <w:hyperlink r:id="rId54" w:tgtFrame="_blank" w:history="1">
        <w:r w:rsidR="00A3500C" w:rsidRPr="00A3500C">
          <w:rPr>
            <w:color w:val="0000FF" w:themeColor="hyperlink"/>
            <w:u w:val="single"/>
            <w:lang w:val="en"/>
          </w:rPr>
          <w:t>Relocation Expenses Policy</w:t>
        </w:r>
      </w:hyperlink>
    </w:p>
    <w:p w:rsidR="00A3500C" w:rsidRPr="00A3500C" w:rsidRDefault="00511AB2" w:rsidP="006601FD">
      <w:pPr>
        <w:numPr>
          <w:ilvl w:val="0"/>
          <w:numId w:val="19"/>
        </w:numPr>
        <w:rPr>
          <w:lang w:val="en"/>
        </w:rPr>
      </w:pPr>
      <w:hyperlink r:id="rId55" w:tgtFrame="_blank" w:history="1">
        <w:r w:rsidR="00A3500C" w:rsidRPr="00A3500C">
          <w:rPr>
            <w:color w:val="0000FF" w:themeColor="hyperlink"/>
            <w:u w:val="single"/>
            <w:lang w:val="en"/>
          </w:rPr>
          <w:t>Resignation Procedure</w:t>
        </w:r>
      </w:hyperlink>
    </w:p>
    <w:p w:rsidR="00A3500C" w:rsidRPr="00A3500C" w:rsidRDefault="00511AB2" w:rsidP="006601FD">
      <w:pPr>
        <w:numPr>
          <w:ilvl w:val="0"/>
          <w:numId w:val="19"/>
        </w:numPr>
        <w:rPr>
          <w:lang w:val="en"/>
        </w:rPr>
      </w:pPr>
      <w:hyperlink r:id="rId56" w:tgtFrame="_blank" w:history="1">
        <w:r w:rsidR="00A3500C" w:rsidRPr="00A3500C">
          <w:rPr>
            <w:color w:val="0000FF" w:themeColor="hyperlink"/>
            <w:u w:val="single"/>
            <w:lang w:val="en"/>
          </w:rPr>
          <w:t>Retirement Policy</w:t>
        </w:r>
      </w:hyperlink>
    </w:p>
    <w:p w:rsidR="00A3500C" w:rsidRPr="00A3500C" w:rsidRDefault="00511AB2" w:rsidP="006601FD">
      <w:pPr>
        <w:numPr>
          <w:ilvl w:val="0"/>
          <w:numId w:val="19"/>
        </w:numPr>
        <w:rPr>
          <w:lang w:val="en"/>
        </w:rPr>
      </w:pPr>
      <w:hyperlink r:id="rId57" w:tgtFrame="_blank" w:history="1">
        <w:r w:rsidR="00A3500C" w:rsidRPr="00A3500C">
          <w:rPr>
            <w:color w:val="0000FF" w:themeColor="hyperlink"/>
            <w:u w:val="single"/>
            <w:lang w:val="en"/>
          </w:rPr>
          <w:t>Right to Request Training Policy</w:t>
        </w:r>
      </w:hyperlink>
    </w:p>
    <w:p w:rsidR="00A3500C" w:rsidRPr="00A3500C" w:rsidRDefault="00511AB2" w:rsidP="006601FD">
      <w:pPr>
        <w:numPr>
          <w:ilvl w:val="0"/>
          <w:numId w:val="19"/>
        </w:numPr>
        <w:rPr>
          <w:lang w:val="en"/>
        </w:rPr>
      </w:pPr>
      <w:hyperlink r:id="rId58" w:tgtFrame="_blank" w:history="1">
        <w:r w:rsidR="00A3500C" w:rsidRPr="00A3500C">
          <w:rPr>
            <w:color w:val="0000FF" w:themeColor="hyperlink"/>
            <w:u w:val="single"/>
            <w:lang w:val="en"/>
          </w:rPr>
          <w:t>Severe Weather and Disruption to Public Transport Policy</w:t>
        </w:r>
      </w:hyperlink>
    </w:p>
    <w:p w:rsidR="00A3500C" w:rsidRPr="00A3500C" w:rsidRDefault="00511AB2" w:rsidP="006601FD">
      <w:pPr>
        <w:numPr>
          <w:ilvl w:val="0"/>
          <w:numId w:val="19"/>
        </w:numPr>
        <w:rPr>
          <w:lang w:val="en"/>
        </w:rPr>
      </w:pPr>
      <w:hyperlink r:id="rId59" w:tgtFrame="_blank" w:history="1">
        <w:r w:rsidR="00A3500C" w:rsidRPr="00A3500C">
          <w:rPr>
            <w:color w:val="0000FF" w:themeColor="hyperlink"/>
            <w:u w:val="single"/>
            <w:lang w:val="en"/>
          </w:rPr>
          <w:t>Sickness Absence Policy and Procedures (Management of)</w:t>
        </w:r>
      </w:hyperlink>
    </w:p>
    <w:p w:rsidR="00A3500C" w:rsidRPr="00A3500C" w:rsidRDefault="00511AB2" w:rsidP="006601FD">
      <w:pPr>
        <w:numPr>
          <w:ilvl w:val="0"/>
          <w:numId w:val="19"/>
        </w:numPr>
        <w:rPr>
          <w:lang w:val="en"/>
        </w:rPr>
      </w:pPr>
      <w:hyperlink r:id="rId60" w:tgtFrame="_blank" w:history="1">
        <w:r w:rsidR="00A3500C" w:rsidRPr="00A3500C">
          <w:rPr>
            <w:color w:val="0000FF" w:themeColor="hyperlink"/>
            <w:u w:val="single"/>
            <w:lang w:val="en"/>
          </w:rPr>
          <w:t>Special Leave Policy</w:t>
        </w:r>
      </w:hyperlink>
    </w:p>
    <w:p w:rsidR="00A3500C" w:rsidRPr="00A3500C" w:rsidRDefault="00511AB2" w:rsidP="006601FD">
      <w:pPr>
        <w:numPr>
          <w:ilvl w:val="0"/>
          <w:numId w:val="19"/>
        </w:numPr>
        <w:rPr>
          <w:lang w:val="en"/>
        </w:rPr>
      </w:pPr>
      <w:hyperlink r:id="rId61" w:tgtFrame="_blank" w:history="1">
        <w:r w:rsidR="00A3500C" w:rsidRPr="00A3500C">
          <w:rPr>
            <w:color w:val="0000FF" w:themeColor="hyperlink"/>
            <w:u w:val="single"/>
            <w:lang w:val="en"/>
          </w:rPr>
          <w:t>Staff Training and Development Policy</w:t>
        </w:r>
      </w:hyperlink>
    </w:p>
    <w:p w:rsidR="00A3500C" w:rsidRPr="00A3500C" w:rsidRDefault="00511AB2" w:rsidP="006601FD">
      <w:pPr>
        <w:numPr>
          <w:ilvl w:val="0"/>
          <w:numId w:val="19"/>
        </w:numPr>
        <w:rPr>
          <w:lang w:val="en"/>
        </w:rPr>
      </w:pPr>
      <w:hyperlink r:id="rId62" w:tgtFrame="_blank" w:history="1">
        <w:r w:rsidR="00A3500C" w:rsidRPr="00A3500C">
          <w:rPr>
            <w:color w:val="0000FF" w:themeColor="hyperlink"/>
            <w:u w:val="single"/>
            <w:lang w:val="en"/>
          </w:rPr>
          <w:t>Stress at Work Policy</w:t>
        </w:r>
      </w:hyperlink>
    </w:p>
    <w:p w:rsidR="00A3500C" w:rsidRPr="00A3500C" w:rsidRDefault="00511AB2" w:rsidP="006601FD">
      <w:pPr>
        <w:numPr>
          <w:ilvl w:val="0"/>
          <w:numId w:val="19"/>
        </w:numPr>
        <w:rPr>
          <w:lang w:val="en"/>
        </w:rPr>
      </w:pPr>
      <w:hyperlink r:id="rId63" w:tgtFrame="_blank" w:history="1">
        <w:r w:rsidR="00A3500C" w:rsidRPr="00A3500C">
          <w:rPr>
            <w:color w:val="0000FF" w:themeColor="hyperlink"/>
            <w:u w:val="single"/>
            <w:lang w:val="en"/>
          </w:rPr>
          <w:t>Vacancy Management Procedure</w:t>
        </w:r>
      </w:hyperlink>
    </w:p>
    <w:p w:rsidR="00A3500C" w:rsidRPr="00A3500C" w:rsidRDefault="00A3500C" w:rsidP="00A3500C"/>
    <w:p w:rsidR="00A3500C" w:rsidRPr="002B0182" w:rsidRDefault="00A3500C" w:rsidP="00A3500C">
      <w:pPr>
        <w:rPr>
          <w:b/>
          <w:sz w:val="24"/>
          <w:szCs w:val="24"/>
        </w:rPr>
      </w:pPr>
      <w:r w:rsidRPr="002B0182">
        <w:rPr>
          <w:b/>
          <w:sz w:val="24"/>
          <w:szCs w:val="24"/>
        </w:rPr>
        <w:t xml:space="preserve">Useful Links to Equality and Diversity policy frameworks for action plans </w:t>
      </w:r>
    </w:p>
    <w:p w:rsidR="00A3500C" w:rsidRPr="00A3500C" w:rsidRDefault="00A3500C" w:rsidP="006601FD">
      <w:pPr>
        <w:numPr>
          <w:ilvl w:val="0"/>
          <w:numId w:val="21"/>
        </w:numPr>
        <w:spacing w:after="0" w:line="240" w:lineRule="auto"/>
        <w:contextualSpacing/>
        <w:rPr>
          <w:rFonts w:ascii="Arial" w:eastAsia="Times New Roman" w:hAnsi="Arial" w:cs="Arial"/>
          <w:sz w:val="20"/>
          <w:szCs w:val="20"/>
          <w:lang w:eastAsia="en-GB"/>
        </w:rPr>
      </w:pPr>
      <w:r w:rsidRPr="00A3500C">
        <w:rPr>
          <w:rFonts w:ascii="Arial" w:eastAsia="Times New Roman" w:hAnsi="Arial" w:cs="Arial"/>
          <w:sz w:val="20"/>
          <w:szCs w:val="20"/>
          <w:lang w:eastAsia="en-GB"/>
        </w:rPr>
        <w:t>Equality and Human Rights Commission’s (EHRC): “An employer's guide to... Creating an inclusive workplace”  N.B. pages 6-13 are most relevant</w:t>
      </w:r>
    </w:p>
    <w:p w:rsidR="00A3500C" w:rsidRPr="00A3500C" w:rsidRDefault="00A3500C" w:rsidP="00A3500C">
      <w:pPr>
        <w:spacing w:after="0" w:line="240" w:lineRule="auto"/>
        <w:ind w:left="360"/>
        <w:contextualSpacing/>
        <w:rPr>
          <w:rFonts w:ascii="Arial" w:eastAsia="Times New Roman" w:hAnsi="Arial" w:cs="Arial"/>
          <w:sz w:val="20"/>
          <w:szCs w:val="20"/>
          <w:lang w:eastAsia="en-GB"/>
        </w:rPr>
      </w:pPr>
    </w:p>
    <w:p w:rsidR="00A3500C" w:rsidRPr="00A3500C" w:rsidRDefault="00511AB2" w:rsidP="00A3500C">
      <w:pPr>
        <w:spacing w:after="0" w:line="240" w:lineRule="auto"/>
        <w:ind w:left="360"/>
        <w:contextualSpacing/>
        <w:rPr>
          <w:rFonts w:ascii="Arial" w:eastAsia="Times New Roman" w:hAnsi="Arial" w:cs="Arial"/>
          <w:color w:val="000000"/>
          <w:sz w:val="20"/>
          <w:szCs w:val="20"/>
          <w:lang w:eastAsia="en-GB"/>
        </w:rPr>
      </w:pPr>
      <w:hyperlink r:id="rId64" w:tgtFrame="_blank" w:history="1">
        <w:r w:rsidR="00A3500C" w:rsidRPr="00A3500C">
          <w:rPr>
            <w:rFonts w:ascii="Arial" w:eastAsia="Times New Roman" w:hAnsi="Arial" w:cs="Arial"/>
            <w:color w:val="0000FF"/>
            <w:sz w:val="20"/>
            <w:szCs w:val="20"/>
            <w:u w:val="single"/>
            <w:lang w:eastAsia="en-GB"/>
          </w:rPr>
          <w:t>http://www.equalityhumanrights.com/uploaded_files/publications/an_employer_s_guide_to_creating_an_inclusive_workplace.pdf</w:t>
        </w:r>
      </w:hyperlink>
    </w:p>
    <w:p w:rsidR="00A3500C" w:rsidRPr="00A3500C" w:rsidRDefault="00A3500C" w:rsidP="00A3500C">
      <w:pPr>
        <w:spacing w:after="0" w:line="240" w:lineRule="auto"/>
        <w:ind w:left="360"/>
        <w:contextualSpacing/>
        <w:rPr>
          <w:rFonts w:ascii="Arial" w:eastAsia="Times New Roman" w:hAnsi="Arial" w:cs="Arial"/>
          <w:color w:val="000000"/>
          <w:sz w:val="20"/>
          <w:szCs w:val="20"/>
          <w:lang w:eastAsia="en-GB"/>
        </w:rPr>
      </w:pPr>
    </w:p>
    <w:p w:rsidR="00A3500C" w:rsidRPr="00A3500C" w:rsidRDefault="00A3500C" w:rsidP="00A3500C">
      <w:pPr>
        <w:spacing w:after="0" w:line="240" w:lineRule="auto"/>
        <w:ind w:left="360"/>
        <w:contextualSpacing/>
        <w:rPr>
          <w:rFonts w:ascii="Arial" w:hAnsi="Arial" w:cs="Arial"/>
          <w:color w:val="000000"/>
          <w:sz w:val="20"/>
          <w:szCs w:val="20"/>
        </w:rPr>
      </w:pPr>
    </w:p>
    <w:p w:rsidR="00A3500C" w:rsidRPr="00A3500C" w:rsidRDefault="00A3500C" w:rsidP="006601FD">
      <w:pPr>
        <w:numPr>
          <w:ilvl w:val="0"/>
          <w:numId w:val="21"/>
        </w:numPr>
        <w:spacing w:after="0" w:line="240" w:lineRule="auto"/>
        <w:contextualSpacing/>
        <w:rPr>
          <w:rFonts w:ascii="Arial" w:hAnsi="Arial" w:cs="Arial"/>
          <w:color w:val="000000"/>
          <w:sz w:val="20"/>
          <w:szCs w:val="20"/>
        </w:rPr>
      </w:pPr>
      <w:r w:rsidRPr="00A3500C">
        <w:rPr>
          <w:rFonts w:ascii="Arial" w:eastAsia="Times New Roman" w:hAnsi="Arial" w:cs="Arial"/>
          <w:sz w:val="20"/>
          <w:szCs w:val="20"/>
          <w:lang w:eastAsia="en-GB"/>
        </w:rPr>
        <w:t xml:space="preserve">Business in the Community’s (BITC) </w:t>
      </w:r>
      <w:r w:rsidRPr="00A3500C">
        <w:rPr>
          <w:rFonts w:ascii="Arial" w:eastAsia="Times New Roman" w:hAnsi="Arial" w:cs="Arial"/>
          <w:i/>
          <w:sz w:val="20"/>
          <w:szCs w:val="20"/>
          <w:lang w:eastAsia="en-GB"/>
        </w:rPr>
        <w:t>Opportunity Now</w:t>
      </w:r>
      <w:r w:rsidRPr="00A3500C">
        <w:rPr>
          <w:rFonts w:ascii="Arial" w:eastAsia="Times New Roman" w:hAnsi="Arial" w:cs="Arial"/>
          <w:sz w:val="20"/>
          <w:szCs w:val="20"/>
          <w:lang w:eastAsia="en-GB"/>
        </w:rPr>
        <w:t xml:space="preserve"> Exemplar employer best practice</w:t>
      </w:r>
    </w:p>
    <w:p w:rsidR="00A3500C" w:rsidRPr="00A3500C" w:rsidRDefault="00A3500C" w:rsidP="00A3500C">
      <w:pPr>
        <w:spacing w:after="0" w:line="240" w:lineRule="auto"/>
        <w:ind w:left="360"/>
        <w:contextualSpacing/>
        <w:rPr>
          <w:rFonts w:ascii="Arial" w:hAnsi="Arial" w:cs="Arial"/>
          <w:color w:val="000000"/>
          <w:sz w:val="20"/>
          <w:szCs w:val="20"/>
        </w:rPr>
      </w:pPr>
    </w:p>
    <w:p w:rsidR="00A3500C" w:rsidRPr="00A3500C" w:rsidRDefault="00511AB2" w:rsidP="00A3500C">
      <w:pPr>
        <w:spacing w:after="0" w:line="240" w:lineRule="auto"/>
        <w:ind w:left="360"/>
        <w:contextualSpacing/>
        <w:rPr>
          <w:rFonts w:ascii="Arial" w:eastAsia="Times New Roman" w:hAnsi="Arial" w:cs="Arial"/>
          <w:sz w:val="20"/>
          <w:szCs w:val="20"/>
          <w:lang w:eastAsia="en-GB"/>
        </w:rPr>
      </w:pPr>
      <w:hyperlink r:id="rId65" w:history="1">
        <w:r w:rsidR="00A3500C" w:rsidRPr="00A3500C">
          <w:rPr>
            <w:rFonts w:ascii="Arial" w:eastAsia="Times New Roman" w:hAnsi="Arial" w:cs="Arial"/>
            <w:color w:val="0000FF"/>
            <w:sz w:val="20"/>
            <w:szCs w:val="20"/>
            <w:u w:val="single"/>
            <w:lang w:eastAsia="en-GB"/>
          </w:rPr>
          <w:t>http://opportunitynow.bitc.org.uk/tools_case_studies/exemplar_recommendations</w:t>
        </w:r>
      </w:hyperlink>
    </w:p>
    <w:p w:rsidR="00A3500C" w:rsidRPr="00A3500C" w:rsidRDefault="00A3500C" w:rsidP="00A3500C">
      <w:pPr>
        <w:spacing w:after="0" w:line="240" w:lineRule="auto"/>
        <w:ind w:left="360"/>
        <w:contextualSpacing/>
        <w:rPr>
          <w:rFonts w:ascii="Arial" w:eastAsia="Times New Roman" w:hAnsi="Arial" w:cs="Arial"/>
          <w:sz w:val="20"/>
          <w:szCs w:val="20"/>
          <w:lang w:eastAsia="en-GB"/>
        </w:rPr>
      </w:pPr>
    </w:p>
    <w:p w:rsidR="00A3500C" w:rsidRPr="00A3500C" w:rsidRDefault="00A3500C" w:rsidP="00A3500C">
      <w:pPr>
        <w:spacing w:after="0" w:line="240" w:lineRule="auto"/>
        <w:ind w:left="360"/>
        <w:contextualSpacing/>
        <w:rPr>
          <w:rFonts w:ascii="Arial" w:eastAsia="Times New Roman" w:hAnsi="Arial" w:cs="Arial"/>
          <w:sz w:val="20"/>
          <w:szCs w:val="20"/>
          <w:lang w:eastAsia="en-GB"/>
        </w:rPr>
      </w:pPr>
    </w:p>
    <w:p w:rsidR="00A3500C" w:rsidRPr="00A3500C" w:rsidRDefault="00A3500C" w:rsidP="006601FD">
      <w:pPr>
        <w:numPr>
          <w:ilvl w:val="0"/>
          <w:numId w:val="21"/>
        </w:numPr>
        <w:spacing w:after="0" w:line="240" w:lineRule="auto"/>
        <w:contextualSpacing/>
        <w:rPr>
          <w:rFonts w:ascii="Arial" w:eastAsia="Times New Roman" w:hAnsi="Arial" w:cs="Arial"/>
          <w:sz w:val="20"/>
          <w:szCs w:val="20"/>
          <w:lang w:eastAsia="en-GB"/>
        </w:rPr>
      </w:pPr>
      <w:r w:rsidRPr="00A3500C">
        <w:rPr>
          <w:rFonts w:ascii="Arial" w:eastAsia="Times New Roman" w:hAnsi="Arial" w:cs="Arial"/>
          <w:sz w:val="20"/>
          <w:szCs w:val="20"/>
          <w:lang w:eastAsia="en-GB"/>
        </w:rPr>
        <w:t xml:space="preserve">BITC’s </w:t>
      </w:r>
      <w:r w:rsidRPr="00A3500C">
        <w:rPr>
          <w:rFonts w:ascii="Arial" w:eastAsia="Times New Roman" w:hAnsi="Arial" w:cs="Arial"/>
          <w:i/>
          <w:sz w:val="20"/>
          <w:szCs w:val="20"/>
          <w:lang w:eastAsia="en-GB"/>
        </w:rPr>
        <w:t>Race for Opportunity</w:t>
      </w:r>
      <w:r w:rsidRPr="00A3500C">
        <w:rPr>
          <w:rFonts w:ascii="Arial" w:eastAsia="Times New Roman" w:hAnsi="Arial" w:cs="Arial"/>
          <w:sz w:val="20"/>
          <w:szCs w:val="20"/>
          <w:lang w:eastAsia="en-GB"/>
        </w:rPr>
        <w:t xml:space="preserve"> Getting Started with Race Diversity</w:t>
      </w:r>
    </w:p>
    <w:p w:rsidR="00A3500C" w:rsidRPr="00A3500C" w:rsidRDefault="00A3500C" w:rsidP="00A3500C">
      <w:pPr>
        <w:spacing w:after="0" w:line="240" w:lineRule="auto"/>
        <w:ind w:left="360"/>
        <w:contextualSpacing/>
        <w:rPr>
          <w:rFonts w:ascii="Arial" w:eastAsia="Times New Roman" w:hAnsi="Arial" w:cs="Arial"/>
          <w:sz w:val="20"/>
          <w:szCs w:val="20"/>
          <w:lang w:eastAsia="en-GB"/>
        </w:rPr>
      </w:pPr>
    </w:p>
    <w:p w:rsidR="00A3500C" w:rsidRPr="00A3500C" w:rsidRDefault="00511AB2" w:rsidP="00A3500C">
      <w:pPr>
        <w:spacing w:after="0" w:line="240" w:lineRule="auto"/>
        <w:ind w:left="360"/>
        <w:contextualSpacing/>
        <w:rPr>
          <w:rFonts w:ascii="Arial" w:eastAsia="Times New Roman" w:hAnsi="Arial" w:cs="Arial"/>
          <w:sz w:val="20"/>
          <w:szCs w:val="20"/>
          <w:lang w:eastAsia="en-GB"/>
        </w:rPr>
      </w:pPr>
      <w:hyperlink r:id="rId66" w:history="1">
        <w:r w:rsidR="00A3500C" w:rsidRPr="00A3500C">
          <w:rPr>
            <w:rFonts w:ascii="Arial" w:eastAsia="Times New Roman" w:hAnsi="Arial" w:cs="Arial"/>
            <w:color w:val="0000FF"/>
            <w:sz w:val="20"/>
            <w:szCs w:val="20"/>
            <w:u w:val="single"/>
            <w:lang w:eastAsia="en-GB"/>
          </w:rPr>
          <w:t>http://raceforopportunity.bitc.org.uk/tools-case-studies/toolkits/getting-sta</w:t>
        </w:r>
      </w:hyperlink>
    </w:p>
    <w:p w:rsidR="00A3500C" w:rsidRPr="00A3500C" w:rsidRDefault="00A3500C" w:rsidP="00A3500C">
      <w:pPr>
        <w:spacing w:after="0" w:line="240" w:lineRule="auto"/>
        <w:ind w:left="360"/>
        <w:contextualSpacing/>
        <w:rPr>
          <w:rFonts w:ascii="Arial" w:eastAsia="Times New Roman" w:hAnsi="Arial" w:cs="Arial"/>
          <w:sz w:val="20"/>
          <w:szCs w:val="20"/>
          <w:lang w:eastAsia="en-GB"/>
        </w:rPr>
      </w:pPr>
    </w:p>
    <w:p w:rsidR="00A3500C" w:rsidRPr="00A3500C" w:rsidRDefault="00A3500C" w:rsidP="00B95A49">
      <w:pPr>
        <w:spacing w:after="120" w:line="240" w:lineRule="auto"/>
        <w:rPr>
          <w:rFonts w:ascii="Arial" w:eastAsia="Times New Roman" w:hAnsi="Arial" w:cs="Arial"/>
          <w:sz w:val="20"/>
          <w:szCs w:val="20"/>
          <w:lang w:eastAsia="en-GB"/>
        </w:rPr>
      </w:pPr>
    </w:p>
    <w:p w:rsidR="00A3500C" w:rsidRPr="00A3500C" w:rsidRDefault="00A3500C" w:rsidP="006601FD">
      <w:pPr>
        <w:numPr>
          <w:ilvl w:val="0"/>
          <w:numId w:val="21"/>
        </w:numPr>
        <w:spacing w:after="120" w:line="240" w:lineRule="auto"/>
        <w:ind w:left="357" w:hanging="357"/>
        <w:rPr>
          <w:rFonts w:ascii="Arial" w:eastAsia="Times New Roman" w:hAnsi="Arial" w:cs="Arial"/>
          <w:sz w:val="20"/>
          <w:szCs w:val="20"/>
          <w:lang w:eastAsia="en-GB"/>
        </w:rPr>
      </w:pPr>
      <w:r w:rsidRPr="00A3500C">
        <w:rPr>
          <w:rFonts w:ascii="Arial" w:eastAsia="Times New Roman" w:hAnsi="Arial" w:cs="Arial"/>
          <w:sz w:val="20"/>
          <w:szCs w:val="20"/>
          <w:lang w:eastAsia="en-GB"/>
        </w:rPr>
        <w:t>Equality Challenge Unit’s (ECU) gender equality and race equality charter marks</w:t>
      </w:r>
    </w:p>
    <w:p w:rsidR="00A3500C" w:rsidRPr="00A3500C" w:rsidRDefault="00511AB2" w:rsidP="00A3500C">
      <w:pPr>
        <w:spacing w:after="0" w:line="240" w:lineRule="auto"/>
        <w:ind w:left="360"/>
        <w:rPr>
          <w:rFonts w:ascii="Arial" w:eastAsia="Times New Roman" w:hAnsi="Arial" w:cs="Arial"/>
          <w:sz w:val="20"/>
          <w:szCs w:val="20"/>
          <w:lang w:eastAsia="en-GB"/>
        </w:rPr>
      </w:pPr>
      <w:hyperlink r:id="rId67" w:history="1">
        <w:r w:rsidR="00A3500C" w:rsidRPr="00A3500C">
          <w:rPr>
            <w:rFonts w:ascii="Arial" w:eastAsia="Times New Roman" w:hAnsi="Arial" w:cs="Arial"/>
            <w:color w:val="0000FF"/>
            <w:sz w:val="20"/>
            <w:szCs w:val="20"/>
            <w:u w:val="single"/>
            <w:lang w:eastAsia="en-GB"/>
          </w:rPr>
          <w:t>http://www.ecu.ac.uk/our-projects/ecus-charter-marks</w:t>
        </w:r>
      </w:hyperlink>
    </w:p>
    <w:p w:rsidR="00B95A49" w:rsidRDefault="00B95A49">
      <w:pPr>
        <w:rPr>
          <w:b/>
          <w:sz w:val="24"/>
          <w:szCs w:val="24"/>
        </w:rPr>
        <w:sectPr w:rsidR="00B95A49" w:rsidSect="00C22675">
          <w:headerReference w:type="default" r:id="rId68"/>
          <w:footerReference w:type="default" r:id="rId69"/>
          <w:pgSz w:w="11906" w:h="16838"/>
          <w:pgMar w:top="1440" w:right="1440" w:bottom="1440" w:left="1440" w:header="708" w:footer="708" w:gutter="0"/>
          <w:pgNumType w:start="1"/>
          <w:cols w:space="708"/>
          <w:docGrid w:linePitch="360"/>
        </w:sectPr>
      </w:pPr>
    </w:p>
    <w:p w:rsidR="00A3500C" w:rsidRPr="003C47C7" w:rsidRDefault="00A3500C" w:rsidP="003C47C7">
      <w:pPr>
        <w:jc w:val="center"/>
        <w:rPr>
          <w:b/>
          <w:sz w:val="24"/>
          <w:szCs w:val="24"/>
        </w:rPr>
      </w:pPr>
      <w:r w:rsidRPr="003C47C7">
        <w:rPr>
          <w:b/>
          <w:sz w:val="24"/>
          <w:szCs w:val="24"/>
        </w:rPr>
        <w:lastRenderedPageBreak/>
        <w:t>Appendix 3</w:t>
      </w:r>
      <w:r w:rsidR="00B95A49" w:rsidRPr="003C47C7">
        <w:rPr>
          <w:b/>
          <w:sz w:val="24"/>
          <w:szCs w:val="24"/>
        </w:rPr>
        <w:t xml:space="preserve">. Academic </w:t>
      </w:r>
      <w:r w:rsidRPr="003C47C7">
        <w:rPr>
          <w:b/>
          <w:sz w:val="24"/>
          <w:szCs w:val="24"/>
        </w:rPr>
        <w:t xml:space="preserve">Staff Recruitment data </w:t>
      </w:r>
      <w:r w:rsidR="000C737D" w:rsidRPr="003C47C7">
        <w:rPr>
          <w:b/>
          <w:sz w:val="24"/>
          <w:szCs w:val="24"/>
        </w:rPr>
        <w:t>by gender and ethnicity for the period 1 January to 31 December 2013</w:t>
      </w:r>
    </w:p>
    <w:tbl>
      <w:tblPr>
        <w:tblW w:w="5000" w:type="pct"/>
        <w:tblLook w:val="04A0" w:firstRow="1" w:lastRow="0" w:firstColumn="1" w:lastColumn="0" w:noHBand="0" w:noVBand="1"/>
      </w:tblPr>
      <w:tblGrid>
        <w:gridCol w:w="502"/>
        <w:gridCol w:w="1077"/>
        <w:gridCol w:w="1290"/>
        <w:gridCol w:w="856"/>
        <w:gridCol w:w="714"/>
        <w:gridCol w:w="856"/>
        <w:gridCol w:w="714"/>
        <w:gridCol w:w="570"/>
        <w:gridCol w:w="865"/>
        <w:gridCol w:w="754"/>
        <w:gridCol w:w="754"/>
        <w:gridCol w:w="754"/>
        <w:gridCol w:w="655"/>
        <w:gridCol w:w="865"/>
        <w:gridCol w:w="754"/>
        <w:gridCol w:w="748"/>
        <w:gridCol w:w="743"/>
        <w:gridCol w:w="703"/>
      </w:tblGrid>
      <w:tr w:rsidR="00A3500C" w:rsidRPr="00A3500C" w:rsidTr="00A3500C">
        <w:trPr>
          <w:trHeight w:val="294"/>
        </w:trPr>
        <w:tc>
          <w:tcPr>
            <w:tcW w:w="177"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380"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455"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3988" w:type="pct"/>
            <w:gridSpan w:val="15"/>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Faculty of Humanities</w:t>
            </w:r>
          </w:p>
        </w:tc>
      </w:tr>
      <w:tr w:rsidR="00A3500C" w:rsidRPr="00A3500C" w:rsidTr="00A3500C">
        <w:trPr>
          <w:trHeight w:val="263"/>
        </w:trPr>
        <w:tc>
          <w:tcPr>
            <w:tcW w:w="557"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Job Grade</w:t>
            </w:r>
          </w:p>
        </w:tc>
        <w:tc>
          <w:tcPr>
            <w:tcW w:w="4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Ethnicity</w:t>
            </w:r>
          </w:p>
        </w:tc>
        <w:tc>
          <w:tcPr>
            <w:tcW w:w="130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Application</w:t>
            </w:r>
          </w:p>
        </w:tc>
        <w:tc>
          <w:tcPr>
            <w:tcW w:w="133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Shortlisted</w:t>
            </w:r>
          </w:p>
        </w:tc>
        <w:tc>
          <w:tcPr>
            <w:tcW w:w="134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Successful</w:t>
            </w:r>
          </w:p>
        </w:tc>
      </w:tr>
      <w:tr w:rsidR="00A3500C" w:rsidRPr="00A3500C" w:rsidTr="00A3500C">
        <w:trPr>
          <w:trHeight w:val="263"/>
        </w:trPr>
        <w:tc>
          <w:tcPr>
            <w:tcW w:w="557" w:type="pct"/>
            <w:gridSpan w:val="2"/>
            <w:vMerge/>
            <w:tcBorders>
              <w:top w:val="single" w:sz="4" w:space="0" w:color="auto"/>
              <w:left w:val="single" w:sz="4" w:space="0" w:color="auto"/>
              <w:bottom w:val="single" w:sz="4" w:space="0" w:color="000000"/>
              <w:right w:val="single" w:sz="4" w:space="0" w:color="000000"/>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02"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w:t>
            </w:r>
            <w:r w:rsidRPr="00A3500C">
              <w:rPr>
                <w:rFonts w:eastAsia="Times New Roman" w:cs="Times New Roman"/>
                <w:b/>
                <w:bCs/>
                <w:sz w:val="20"/>
                <w:szCs w:val="20"/>
                <w:shd w:val="clear" w:color="auto" w:fill="D6E3BC" w:themeFill="accent3" w:themeFillTint="66"/>
                <w:lang w:eastAsia="en-GB"/>
              </w:rPr>
              <w:t>emale</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302"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45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shd w:val="clear" w:color="auto" w:fill="D6E3BC" w:themeFill="accent3" w:themeFillTint="66"/>
                <w:lang w:eastAsia="en-GB"/>
              </w:rPr>
              <w:t>Female</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6"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49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shd w:val="clear" w:color="auto" w:fill="D6E3BC" w:themeFill="accent3" w:themeFillTint="66"/>
                <w:lang w:eastAsia="en-GB"/>
              </w:rPr>
              <w:t>Female</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4"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51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r>
      <w:tr w:rsidR="00A3500C" w:rsidRPr="00A3500C" w:rsidTr="00A3500C">
        <w:trPr>
          <w:trHeight w:val="263"/>
        </w:trPr>
        <w:tc>
          <w:tcPr>
            <w:tcW w:w="557" w:type="pct"/>
            <w:gridSpan w:val="2"/>
            <w:vMerge/>
            <w:tcBorders>
              <w:top w:val="single" w:sz="4" w:space="0" w:color="auto"/>
              <w:left w:val="single" w:sz="4" w:space="0" w:color="auto"/>
              <w:bottom w:val="single" w:sz="4" w:space="0" w:color="000000"/>
              <w:right w:val="single" w:sz="4" w:space="0" w:color="000000"/>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0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5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30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5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01"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5"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6"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6"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6"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31"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5"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6"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4"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4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r>
      <w:tr w:rsidR="00A3500C" w:rsidRPr="00A3500C" w:rsidTr="00A3500C">
        <w:trPr>
          <w:trHeight w:val="263"/>
        </w:trPr>
        <w:tc>
          <w:tcPr>
            <w:tcW w:w="17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Academic</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Language Tutor</w:t>
            </w: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11%</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20%</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26</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117</w:t>
            </w:r>
          </w:p>
        </w:tc>
        <w:tc>
          <w:tcPr>
            <w:tcW w:w="20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86%</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3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6%</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48"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29%</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100%</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33</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136</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8%</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36%</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2"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74%</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24%</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8%</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9%</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25%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67%</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Lecturer</w:t>
            </w: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651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839</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1494</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69%</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216</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56</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26%</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191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282</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474</w:t>
            </w:r>
          </w:p>
        </w:tc>
        <w:tc>
          <w:tcPr>
            <w:tcW w:w="20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22%</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39</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61</w:t>
            </w:r>
          </w:p>
        </w:tc>
        <w:tc>
          <w:tcPr>
            <w:tcW w:w="23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13%</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48"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23%</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60</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211</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29</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34%</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883</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1181</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115</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2179</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306</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29</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46</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80</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26%</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2"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41%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54%</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22%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29%</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Lecturer/</w:t>
            </w:r>
            <w:r w:rsidRPr="00A3500C">
              <w:rPr>
                <w:rFonts w:eastAsia="Times New Roman" w:cs="Times New Roman"/>
                <w:b/>
                <w:bCs/>
                <w:sz w:val="20"/>
                <w:szCs w:val="20"/>
                <w:lang w:eastAsia="en-GB"/>
              </w:rPr>
              <w:br/>
              <w:t>Senior Lecturer</w:t>
            </w: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272</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487</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759</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52%</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103</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20%</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372</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573</w:t>
            </w:r>
          </w:p>
        </w:tc>
        <w:tc>
          <w:tcPr>
            <w:tcW w:w="20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39%</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39</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53</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9%</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48"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21%</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60</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129</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9%</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491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919</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1461</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107</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163</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11%</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33</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20%</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2"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34%</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63%</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w:t>
            </w:r>
            <w:r w:rsidRPr="00A3500C">
              <w:rPr>
                <w:rFonts w:eastAsia="Times New Roman" w:cs="Times New Roman"/>
                <w:b/>
                <w:iCs/>
                <w:sz w:val="20"/>
                <w:szCs w:val="20"/>
                <w:shd w:val="clear" w:color="auto" w:fill="D6E3BC" w:themeFill="accent3" w:themeFillTint="66"/>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w:t>
            </w:r>
            <w:r w:rsidRPr="00A3500C">
              <w:rPr>
                <w:rFonts w:eastAsia="Times New Roman" w:cs="Times New Roman"/>
                <w:b/>
                <w:iCs/>
                <w:sz w:val="20"/>
                <w:szCs w:val="20"/>
                <w:shd w:val="clear" w:color="auto" w:fill="D6E3BC" w:themeFill="accent3" w:themeFillTint="66"/>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15%</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Professor</w:t>
            </w: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23</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28</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55%</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0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39%</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3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48"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100%</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41</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51</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12%</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2"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16%</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80%</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25%</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7%</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r w:rsidRPr="00A3500C">
              <w:rPr>
                <w:rFonts w:eastAsia="Times New Roman" w:cs="Times New Roman"/>
                <w:b/>
                <w:iCs/>
                <w:sz w:val="20"/>
                <w:szCs w:val="20"/>
                <w:shd w:val="clear" w:color="auto" w:fill="D6E3BC" w:themeFill="accent3" w:themeFillTint="66"/>
                <w:lang w:eastAsia="en-GB"/>
              </w:rPr>
              <w:t>%</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All staff</w:t>
            </w: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937</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1355</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2296</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60%</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326</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41</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79</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24%</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486</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697</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1184</w:t>
            </w:r>
          </w:p>
        </w:tc>
        <w:tc>
          <w:tcPr>
            <w:tcW w:w="20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31%</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42</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122</w:t>
            </w:r>
          </w:p>
        </w:tc>
        <w:tc>
          <w:tcPr>
            <w:tcW w:w="23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10%</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27</w:t>
            </w:r>
          </w:p>
        </w:tc>
        <w:tc>
          <w:tcPr>
            <w:tcW w:w="248"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122</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165</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347</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9%</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11%</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34%</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1483</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2174</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170</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3827</w:t>
            </w: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196</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273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486</w:t>
            </w: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13%</w:t>
            </w:r>
          </w:p>
        </w:tc>
        <w:tc>
          <w:tcPr>
            <w:tcW w:w="30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48</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65</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119</w:t>
            </w: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24%</w:t>
            </w:r>
          </w:p>
        </w:tc>
      </w:tr>
      <w:tr w:rsidR="00A3500C" w:rsidRPr="00A3500C" w:rsidTr="00A3500C">
        <w:trPr>
          <w:trHeight w:val="263"/>
        </w:trPr>
        <w:tc>
          <w:tcPr>
            <w:tcW w:w="177"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0"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02"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39%</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57%</w:t>
            </w:r>
          </w:p>
        </w:tc>
        <w:tc>
          <w:tcPr>
            <w:tcW w:w="30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w:t>
            </w:r>
          </w:p>
        </w:tc>
        <w:tc>
          <w:tcPr>
            <w:tcW w:w="25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0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13%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13%</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3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p>
        </w:tc>
        <w:tc>
          <w:tcPr>
            <w:tcW w:w="30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shd w:val="clear" w:color="auto" w:fill="D6E3BC" w:themeFill="accent3" w:themeFillTint="66"/>
                <w:lang w:eastAsia="en-GB"/>
              </w:rPr>
              <w:t>24%</w:t>
            </w:r>
          </w:p>
        </w:tc>
        <w:tc>
          <w:tcPr>
            <w:tcW w:w="266"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24%</w:t>
            </w:r>
          </w:p>
        </w:tc>
        <w:tc>
          <w:tcPr>
            <w:tcW w:w="26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4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bl>
    <w:p w:rsidR="00A3500C" w:rsidRPr="00B95A49" w:rsidRDefault="00A3500C" w:rsidP="00A3500C">
      <w:pPr>
        <w:spacing w:after="0"/>
        <w:rPr>
          <w:sz w:val="20"/>
          <w:szCs w:val="20"/>
        </w:rPr>
      </w:pPr>
      <w:r w:rsidRPr="00B95A49">
        <w:rPr>
          <w:sz w:val="20"/>
          <w:szCs w:val="20"/>
        </w:rPr>
        <w:t>* - percentage of applicants shortlisted</w:t>
      </w:r>
      <w:r w:rsidR="00B95A49" w:rsidRPr="00B95A49">
        <w:rPr>
          <w:sz w:val="20"/>
          <w:szCs w:val="20"/>
        </w:rPr>
        <w:t xml:space="preserve">, </w:t>
      </w:r>
      <w:r w:rsidR="00B95A49" w:rsidRPr="00B95A49">
        <w:rPr>
          <w:sz w:val="20"/>
          <w:szCs w:val="20"/>
        </w:rPr>
        <w:tab/>
        <w:t xml:space="preserve"> </w:t>
      </w:r>
      <w:r w:rsidRPr="00B95A49">
        <w:rPr>
          <w:sz w:val="20"/>
          <w:szCs w:val="20"/>
        </w:rPr>
        <w:t>^ -percentage of those s</w:t>
      </w:r>
      <w:r w:rsidR="00B95A49" w:rsidRPr="00B95A49">
        <w:rPr>
          <w:sz w:val="20"/>
          <w:szCs w:val="20"/>
        </w:rPr>
        <w:t xml:space="preserve">hortlisted that were successful, </w:t>
      </w:r>
      <w:r w:rsidRPr="00B95A49">
        <w:rPr>
          <w:sz w:val="20"/>
          <w:szCs w:val="20"/>
        </w:rPr>
        <w:t>Other gender includes (transgender, prefer not to say and not known)</w:t>
      </w:r>
    </w:p>
    <w:tbl>
      <w:tblPr>
        <w:tblW w:w="5000" w:type="pct"/>
        <w:tblLook w:val="04A0" w:firstRow="1" w:lastRow="0" w:firstColumn="1" w:lastColumn="0" w:noHBand="0" w:noVBand="1"/>
      </w:tblPr>
      <w:tblGrid>
        <w:gridCol w:w="474"/>
        <w:gridCol w:w="88"/>
        <w:gridCol w:w="1029"/>
        <w:gridCol w:w="1315"/>
        <w:gridCol w:w="820"/>
        <w:gridCol w:w="757"/>
        <w:gridCol w:w="757"/>
        <w:gridCol w:w="757"/>
        <w:gridCol w:w="623"/>
        <w:gridCol w:w="890"/>
        <w:gridCol w:w="757"/>
        <w:gridCol w:w="758"/>
        <w:gridCol w:w="758"/>
        <w:gridCol w:w="624"/>
        <w:gridCol w:w="891"/>
        <w:gridCol w:w="758"/>
        <w:gridCol w:w="738"/>
        <w:gridCol w:w="758"/>
        <w:gridCol w:w="622"/>
      </w:tblGrid>
      <w:tr w:rsidR="00A3500C" w:rsidRPr="00A3500C" w:rsidTr="00A3500C">
        <w:trPr>
          <w:trHeight w:val="244"/>
        </w:trPr>
        <w:tc>
          <w:tcPr>
            <w:tcW w:w="194" w:type="pct"/>
            <w:gridSpan w:val="2"/>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364"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465"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3977" w:type="pct"/>
            <w:gridSpan w:val="15"/>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Faculty of Humanities</w:t>
            </w:r>
          </w:p>
        </w:tc>
      </w:tr>
      <w:tr w:rsidR="00A3500C" w:rsidRPr="00A3500C" w:rsidTr="00A3500C">
        <w:trPr>
          <w:trHeight w:val="270"/>
        </w:trPr>
        <w:tc>
          <w:tcPr>
            <w:tcW w:w="558"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Job Grade</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Ethnicity</w:t>
            </w:r>
          </w:p>
        </w:tc>
        <w:tc>
          <w:tcPr>
            <w:tcW w:w="1305"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Application</w:t>
            </w:r>
          </w:p>
        </w:tc>
        <w:tc>
          <w:tcPr>
            <w:tcW w:w="133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Shortlisted</w:t>
            </w:r>
          </w:p>
        </w:tc>
        <w:tc>
          <w:tcPr>
            <w:tcW w:w="133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Successful</w:t>
            </w:r>
          </w:p>
        </w:tc>
      </w:tr>
      <w:tr w:rsidR="00A3500C" w:rsidRPr="00A3500C" w:rsidTr="00A3500C">
        <w:trPr>
          <w:trHeight w:val="244"/>
        </w:trPr>
        <w:tc>
          <w:tcPr>
            <w:tcW w:w="558" w:type="pct"/>
            <w:gridSpan w:val="3"/>
            <w:vMerge/>
            <w:tcBorders>
              <w:top w:val="single" w:sz="4" w:space="0" w:color="000000"/>
              <w:left w:val="single" w:sz="4" w:space="0" w:color="auto"/>
              <w:bottom w:val="single" w:sz="4" w:space="0" w:color="000000"/>
              <w:right w:val="single" w:sz="4" w:space="0" w:color="000000"/>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80"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Female</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8"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48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Female</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8"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489"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Female</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1"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48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r>
      <w:tr w:rsidR="00A3500C" w:rsidRPr="00A3500C" w:rsidTr="00A3500C">
        <w:trPr>
          <w:trHeight w:val="244"/>
        </w:trPr>
        <w:tc>
          <w:tcPr>
            <w:tcW w:w="558" w:type="pct"/>
            <w:gridSpan w:val="3"/>
            <w:vMerge/>
            <w:tcBorders>
              <w:top w:val="single" w:sz="4" w:space="0" w:color="000000"/>
              <w:left w:val="single" w:sz="4" w:space="0" w:color="auto"/>
              <w:bottom w:val="single" w:sz="4" w:space="0" w:color="000000"/>
              <w:right w:val="single" w:sz="4" w:space="0" w:color="000000"/>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80"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21"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15"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21"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315"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1"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6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20"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r>
      <w:tr w:rsidR="00A3500C" w:rsidRPr="00A3500C" w:rsidTr="00A3500C">
        <w:trPr>
          <w:trHeight w:val="244"/>
        </w:trPr>
        <w:tc>
          <w:tcPr>
            <w:tcW w:w="162" w:type="pct"/>
            <w:vMerge w:val="restart"/>
            <w:tcBorders>
              <w:top w:val="single" w:sz="4" w:space="0" w:color="000000"/>
              <w:left w:val="single" w:sz="4" w:space="0" w:color="auto"/>
              <w:bottom w:val="single" w:sz="4" w:space="0" w:color="auto"/>
              <w:right w:val="single" w:sz="4" w:space="0" w:color="auto"/>
            </w:tcBorders>
            <w:shd w:val="clear" w:color="auto" w:fill="auto"/>
            <w:textDirection w:val="btLr"/>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Research</w:t>
            </w:r>
          </w:p>
        </w:tc>
        <w:tc>
          <w:tcPr>
            <w:tcW w:w="396" w:type="pct"/>
            <w:gridSpan w:val="2"/>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 xml:space="preserve">Grade 5 </w:t>
            </w:r>
            <w:r w:rsidRPr="00A3500C">
              <w:rPr>
                <w:rFonts w:eastAsia="Times New Roman" w:cs="Times New Roman"/>
                <w:b/>
                <w:bCs/>
                <w:sz w:val="20"/>
                <w:szCs w:val="20"/>
                <w:lang w:eastAsia="en-GB"/>
              </w:rPr>
              <w:br/>
              <w:t>&amp; 6</w:t>
            </w: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437</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62%</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87</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23</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26%</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193</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27%</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8%</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20"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13%</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75</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11%</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15%</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36%</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333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332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705</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114</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16%</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29</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80"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47%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15%</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val="restart"/>
            <w:tcBorders>
              <w:top w:val="nil"/>
              <w:left w:val="single" w:sz="4" w:space="0" w:color="auto"/>
              <w:bottom w:val="nil"/>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6/7</w:t>
            </w:r>
          </w:p>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7</w:t>
            </w: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68%</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12%</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nil"/>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nil"/>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12%</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nil"/>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190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8%</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31%</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tcBorders>
              <w:top w:val="nil"/>
              <w:left w:val="single" w:sz="4" w:space="0" w:color="auto"/>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80"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80%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7%</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8</w:t>
            </w: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single" w:sz="4" w:space="0" w:color="auto"/>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NK</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Professor</w:t>
            </w: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69%</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8%</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36</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t>
            </w:r>
          </w:p>
        </w:tc>
        <w:tc>
          <w:tcPr>
            <w:tcW w:w="280"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All staff</w:t>
            </w: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342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334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678</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63%</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181</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27%</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31</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17%</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149</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289</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27%</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21"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13%</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20"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35</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116</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11%</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26</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19%</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8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504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518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1083</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120</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245</w:t>
            </w: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31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16%</w:t>
            </w:r>
          </w:p>
        </w:tc>
      </w:tr>
      <w:tr w:rsidR="00A3500C" w:rsidRPr="00A3500C" w:rsidTr="00A3500C">
        <w:trPr>
          <w:trHeight w:val="244"/>
        </w:trPr>
        <w:tc>
          <w:tcPr>
            <w:tcW w:w="162" w:type="pct"/>
            <w:vMerge/>
            <w:tcBorders>
              <w:top w:val="nil"/>
              <w:left w:val="single" w:sz="4" w:space="0" w:color="auto"/>
              <w:bottom w:val="single" w:sz="4" w:space="0" w:color="auto"/>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96" w:type="pct"/>
            <w:gridSpan w:val="2"/>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65"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80"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47%</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48%</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21%</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315"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12%</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20%</w:t>
            </w:r>
          </w:p>
        </w:tc>
        <w:tc>
          <w:tcPr>
            <w:tcW w:w="261"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26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20"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bl>
    <w:p w:rsidR="00A3500C" w:rsidRPr="00B95A49" w:rsidRDefault="00A3500C" w:rsidP="00A3500C">
      <w:pPr>
        <w:spacing w:after="0"/>
        <w:rPr>
          <w:sz w:val="20"/>
          <w:szCs w:val="20"/>
        </w:rPr>
      </w:pPr>
      <w:r w:rsidRPr="00B95A49">
        <w:rPr>
          <w:sz w:val="20"/>
          <w:szCs w:val="20"/>
        </w:rPr>
        <w:t>* - percent</w:t>
      </w:r>
      <w:r w:rsidR="00B95A49" w:rsidRPr="00B95A49">
        <w:rPr>
          <w:sz w:val="20"/>
          <w:szCs w:val="20"/>
        </w:rPr>
        <w:t>age of applicants shortl</w:t>
      </w:r>
      <w:r w:rsidR="00B95A49">
        <w:rPr>
          <w:sz w:val="20"/>
          <w:szCs w:val="20"/>
        </w:rPr>
        <w:t xml:space="preserve">isted, </w:t>
      </w:r>
      <w:r w:rsidRPr="00B95A49">
        <w:rPr>
          <w:sz w:val="20"/>
          <w:szCs w:val="20"/>
        </w:rPr>
        <w:t>^ -percentage of those shor</w:t>
      </w:r>
      <w:r w:rsidR="00B95A49" w:rsidRPr="00B95A49">
        <w:rPr>
          <w:sz w:val="20"/>
          <w:szCs w:val="20"/>
        </w:rPr>
        <w:t>tlisted that were successful</w:t>
      </w:r>
      <w:r w:rsidR="00B95A49">
        <w:rPr>
          <w:sz w:val="20"/>
          <w:szCs w:val="20"/>
        </w:rPr>
        <w:t xml:space="preserve">, </w:t>
      </w:r>
      <w:r w:rsidRPr="00B95A49">
        <w:rPr>
          <w:sz w:val="20"/>
          <w:szCs w:val="20"/>
        </w:rPr>
        <w:t>Other gender includes (transgender, prefer not to say and not known)</w:t>
      </w:r>
    </w:p>
    <w:p w:rsidR="00A3500C" w:rsidRPr="00A3500C" w:rsidRDefault="00A3500C" w:rsidP="00A3500C">
      <w:r w:rsidRPr="00A3500C">
        <w:br w:type="page"/>
      </w:r>
    </w:p>
    <w:tbl>
      <w:tblPr>
        <w:tblW w:w="5000" w:type="pct"/>
        <w:tblLook w:val="04A0" w:firstRow="1" w:lastRow="0" w:firstColumn="1" w:lastColumn="0" w:noHBand="0" w:noVBand="1"/>
      </w:tblPr>
      <w:tblGrid>
        <w:gridCol w:w="488"/>
        <w:gridCol w:w="1078"/>
        <w:gridCol w:w="1291"/>
        <w:gridCol w:w="820"/>
        <w:gridCol w:w="738"/>
        <w:gridCol w:w="738"/>
        <w:gridCol w:w="739"/>
        <w:gridCol w:w="739"/>
        <w:gridCol w:w="820"/>
        <w:gridCol w:w="739"/>
        <w:gridCol w:w="739"/>
        <w:gridCol w:w="739"/>
        <w:gridCol w:w="739"/>
        <w:gridCol w:w="820"/>
        <w:gridCol w:w="739"/>
        <w:gridCol w:w="739"/>
        <w:gridCol w:w="739"/>
        <w:gridCol w:w="730"/>
      </w:tblGrid>
      <w:tr w:rsidR="00A3500C" w:rsidRPr="00A3500C" w:rsidTr="00A3500C">
        <w:trPr>
          <w:trHeight w:val="234"/>
        </w:trPr>
        <w:tc>
          <w:tcPr>
            <w:tcW w:w="174"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382"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457" w:type="pct"/>
            <w:tcBorders>
              <w:top w:val="nil"/>
              <w:left w:val="nil"/>
              <w:bottom w:val="nil"/>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p>
        </w:tc>
        <w:tc>
          <w:tcPr>
            <w:tcW w:w="3987" w:type="pct"/>
            <w:gridSpan w:val="15"/>
            <w:tcBorders>
              <w:top w:val="single" w:sz="4" w:space="0" w:color="auto"/>
              <w:left w:val="single" w:sz="4" w:space="0" w:color="auto"/>
              <w:bottom w:val="single" w:sz="4" w:space="0" w:color="auto"/>
              <w:right w:val="single" w:sz="4" w:space="0" w:color="000000"/>
            </w:tcBorders>
            <w:shd w:val="clear" w:color="auto" w:fill="B8CCE4" w:themeFill="accent1"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Faculty of Humanities</w:t>
            </w:r>
          </w:p>
        </w:tc>
      </w:tr>
      <w:tr w:rsidR="00A3500C" w:rsidRPr="00A3500C" w:rsidTr="00A3500C">
        <w:trPr>
          <w:trHeight w:val="234"/>
        </w:trPr>
        <w:tc>
          <w:tcPr>
            <w:tcW w:w="556"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Job Grade</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Ethnicity</w:t>
            </w:r>
          </w:p>
        </w:tc>
        <w:tc>
          <w:tcPr>
            <w:tcW w:w="1324"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Application</w:t>
            </w:r>
          </w:p>
        </w:tc>
        <w:tc>
          <w:tcPr>
            <w:tcW w:w="133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Shortlisted</w:t>
            </w:r>
          </w:p>
        </w:tc>
        <w:tc>
          <w:tcPr>
            <w:tcW w:w="1332" w:type="pct"/>
            <w:gridSpan w:val="5"/>
            <w:tcBorders>
              <w:top w:val="single" w:sz="4" w:space="0" w:color="auto"/>
              <w:left w:val="nil"/>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Successful</w:t>
            </w:r>
          </w:p>
        </w:tc>
      </w:tr>
      <w:tr w:rsidR="00A3500C" w:rsidRPr="00A3500C" w:rsidTr="00A3500C">
        <w:trPr>
          <w:trHeight w:val="234"/>
        </w:trPr>
        <w:tc>
          <w:tcPr>
            <w:tcW w:w="556" w:type="pct"/>
            <w:gridSpan w:val="2"/>
            <w:vMerge/>
            <w:tcBorders>
              <w:top w:val="single" w:sz="4" w:space="0" w:color="auto"/>
              <w:left w:val="single" w:sz="4" w:space="0" w:color="auto"/>
              <w:bottom w:val="single" w:sz="4" w:space="0" w:color="000000"/>
              <w:right w:val="single" w:sz="4" w:space="0" w:color="000000"/>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78"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Female</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2"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52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Female</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2"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52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Female</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Male</w:t>
            </w:r>
          </w:p>
        </w:tc>
        <w:tc>
          <w:tcPr>
            <w:tcW w:w="262" w:type="pct"/>
            <w:tcBorders>
              <w:top w:val="nil"/>
              <w:left w:val="nil"/>
              <w:bottom w:val="single" w:sz="4" w:space="0" w:color="auto"/>
              <w:right w:val="nil"/>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Other</w:t>
            </w:r>
          </w:p>
        </w:tc>
        <w:tc>
          <w:tcPr>
            <w:tcW w:w="524"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Total</w:t>
            </w:r>
          </w:p>
        </w:tc>
      </w:tr>
      <w:tr w:rsidR="00A3500C" w:rsidRPr="00A3500C" w:rsidTr="00A3500C">
        <w:trPr>
          <w:trHeight w:val="234"/>
        </w:trPr>
        <w:tc>
          <w:tcPr>
            <w:tcW w:w="556" w:type="pct"/>
            <w:gridSpan w:val="2"/>
            <w:vMerge/>
            <w:tcBorders>
              <w:top w:val="single" w:sz="4" w:space="0" w:color="auto"/>
              <w:left w:val="single" w:sz="4" w:space="0" w:color="auto"/>
              <w:bottom w:val="single" w:sz="4" w:space="0" w:color="000000"/>
              <w:right w:val="single" w:sz="4" w:space="0" w:color="000000"/>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78"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84"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84"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62" w:type="pct"/>
            <w:tcBorders>
              <w:top w:val="nil"/>
              <w:left w:val="nil"/>
              <w:bottom w:val="single" w:sz="4" w:space="0" w:color="auto"/>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r>
      <w:tr w:rsidR="00A3500C" w:rsidRPr="00A3500C" w:rsidTr="00A3500C">
        <w:trPr>
          <w:trHeight w:val="234"/>
        </w:trPr>
        <w:tc>
          <w:tcPr>
            <w:tcW w:w="17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Support</w:t>
            </w: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1- 4</w:t>
            </w: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583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800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68%</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28%</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221</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19%</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59</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14%</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14%</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45%</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732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300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1182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322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78"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62%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5 &amp; 6</w:t>
            </w: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517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352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870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74%</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16%</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36%</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193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16%</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8%</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b/>
                <w:iCs/>
                <w:sz w:val="20"/>
                <w:szCs w:val="20"/>
                <w:lang w:eastAsia="en-GB"/>
              </w:rPr>
              <w:t>20%</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30%</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652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443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1179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15%</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34%</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78"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39%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7</w:t>
            </w: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67%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30%</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29%</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27</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11%</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16%</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24%</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50%</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26%</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30%</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78"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46%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Grade 8</w:t>
            </w: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79%</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43%</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8%</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0%</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62"/>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13%</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18%</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43%</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78"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val="restart"/>
            <w:tcBorders>
              <w:top w:val="nil"/>
              <w:left w:val="single" w:sz="4" w:space="0" w:color="auto"/>
              <w:bottom w:val="single" w:sz="4" w:space="0" w:color="000000"/>
              <w:right w:val="single" w:sz="4" w:space="0" w:color="auto"/>
            </w:tcBorders>
            <w:shd w:val="clear" w:color="auto" w:fill="auto"/>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All staff</w:t>
            </w: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White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1180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1805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71%</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247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150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399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28%</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BME</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268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174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444</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77</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17%</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11</w:t>
            </w:r>
          </w:p>
        </w:tc>
        <w:tc>
          <w:tcPr>
            <w:tcW w:w="262" w:type="pct"/>
            <w:tcBorders>
              <w:top w:val="nil"/>
              <w:left w:val="nil"/>
              <w:bottom w:val="single" w:sz="4" w:space="0" w:color="auto"/>
              <w:right w:val="single" w:sz="4" w:space="0" w:color="auto"/>
            </w:tcBorders>
            <w:shd w:val="clear" w:color="auto" w:fill="FBD4B4" w:themeFill="accent6"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14%</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Not Known</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307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12%</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66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21%</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41%</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r w:rsidRPr="00A3500C">
              <w:rPr>
                <w:rFonts w:eastAsia="Times New Roman" w:cs="Times New Roman"/>
                <w:b/>
                <w:bCs/>
                <w:sz w:val="20"/>
                <w:szCs w:val="20"/>
                <w:lang w:eastAsia="en-GB"/>
              </w:rPr>
              <w:t>Count</w:t>
            </w:r>
          </w:p>
        </w:tc>
        <w:tc>
          <w:tcPr>
            <w:tcW w:w="278"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1478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817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261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2556</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303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180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59</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542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21%</w:t>
            </w:r>
          </w:p>
        </w:tc>
        <w:tc>
          <w:tcPr>
            <w:tcW w:w="284"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82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42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24</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sz w:val="20"/>
                <w:szCs w:val="20"/>
                <w:lang w:eastAsia="en-GB"/>
              </w:rPr>
            </w:pPr>
            <w:r w:rsidRPr="00A3500C">
              <w:rPr>
                <w:rFonts w:eastAsia="Times New Roman" w:cs="Times New Roman"/>
                <w:sz w:val="20"/>
                <w:szCs w:val="20"/>
                <w:lang w:eastAsia="en-GB"/>
              </w:rPr>
              <w:t>148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27%</w:t>
            </w:r>
          </w:p>
        </w:tc>
      </w:tr>
      <w:tr w:rsidR="00A3500C" w:rsidRPr="00A3500C" w:rsidTr="00A3500C">
        <w:trPr>
          <w:trHeight w:val="234"/>
        </w:trPr>
        <w:tc>
          <w:tcPr>
            <w:tcW w:w="174"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382" w:type="pct"/>
            <w:vMerge/>
            <w:tcBorders>
              <w:top w:val="nil"/>
              <w:left w:val="single" w:sz="4" w:space="0" w:color="auto"/>
              <w:bottom w:val="single" w:sz="4" w:space="0" w:color="000000"/>
              <w:right w:val="single" w:sz="4" w:space="0" w:color="auto"/>
            </w:tcBorders>
            <w:vAlign w:val="center"/>
            <w:hideMark/>
          </w:tcPr>
          <w:p w:rsidR="00A3500C" w:rsidRPr="00A3500C" w:rsidRDefault="00A3500C" w:rsidP="00A3500C">
            <w:pPr>
              <w:spacing w:after="0" w:line="240" w:lineRule="auto"/>
              <w:jc w:val="center"/>
              <w:rPr>
                <w:rFonts w:eastAsia="Times New Roman" w:cs="Times New Roman"/>
                <w:b/>
                <w:bCs/>
                <w:sz w:val="20"/>
                <w:szCs w:val="20"/>
                <w:lang w:eastAsia="en-GB"/>
              </w:rPr>
            </w:pPr>
          </w:p>
        </w:tc>
        <w:tc>
          <w:tcPr>
            <w:tcW w:w="457"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b/>
                <w:bCs/>
                <w:iCs/>
                <w:sz w:val="20"/>
                <w:szCs w:val="20"/>
                <w:lang w:eastAsia="en-GB"/>
              </w:rPr>
            </w:pPr>
            <w:r w:rsidRPr="00A3500C">
              <w:rPr>
                <w:rFonts w:eastAsia="Times New Roman" w:cs="Times New Roman"/>
                <w:b/>
                <w:bCs/>
                <w:iCs/>
                <w:sz w:val="20"/>
                <w:szCs w:val="20"/>
                <w:lang w:eastAsia="en-GB"/>
              </w:rPr>
              <w:t>%</w:t>
            </w:r>
          </w:p>
        </w:tc>
        <w:tc>
          <w:tcPr>
            <w:tcW w:w="278"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58%</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32%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10%</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22%</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84" w:type="pct"/>
            <w:tcBorders>
              <w:top w:val="nil"/>
              <w:left w:val="nil"/>
              <w:bottom w:val="single" w:sz="4" w:space="0" w:color="auto"/>
              <w:right w:val="single" w:sz="4" w:space="0" w:color="auto"/>
            </w:tcBorders>
            <w:shd w:val="clear" w:color="auto" w:fill="D6E3BC" w:themeFill="accent3" w:themeFillTint="66"/>
            <w:noWrap/>
            <w:vAlign w:val="center"/>
            <w:hideMark/>
          </w:tcPr>
          <w:p w:rsidR="00A3500C" w:rsidRPr="00A3500C" w:rsidRDefault="00A3500C" w:rsidP="00A3500C">
            <w:pPr>
              <w:spacing w:after="0" w:line="240" w:lineRule="auto"/>
              <w:jc w:val="center"/>
              <w:rPr>
                <w:rFonts w:eastAsia="Times New Roman" w:cs="Times New Roman"/>
                <w:b/>
                <w:iCs/>
                <w:sz w:val="20"/>
                <w:szCs w:val="20"/>
                <w:lang w:eastAsia="en-GB"/>
              </w:rPr>
            </w:pPr>
            <w:r w:rsidRPr="00A3500C">
              <w:rPr>
                <w:rFonts w:eastAsia="Times New Roman" w:cs="Times New Roman"/>
                <w:b/>
                <w:iCs/>
                <w:sz w:val="20"/>
                <w:szCs w:val="20"/>
                <w:lang w:eastAsia="en-GB"/>
              </w:rPr>
              <w:t>27%</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23%</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r w:rsidRPr="00A3500C">
              <w:rPr>
                <w:rFonts w:eastAsia="Times New Roman" w:cs="Times New Roman"/>
                <w:iCs/>
                <w:sz w:val="20"/>
                <w:szCs w:val="20"/>
                <w:lang w:eastAsia="en-GB"/>
              </w:rPr>
              <w:t>41%</w:t>
            </w: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c>
          <w:tcPr>
            <w:tcW w:w="262" w:type="pct"/>
            <w:tcBorders>
              <w:top w:val="nil"/>
              <w:left w:val="nil"/>
              <w:bottom w:val="single" w:sz="4" w:space="0" w:color="auto"/>
              <w:right w:val="single" w:sz="4" w:space="0" w:color="auto"/>
            </w:tcBorders>
            <w:shd w:val="clear" w:color="auto" w:fill="auto"/>
            <w:noWrap/>
            <w:vAlign w:val="center"/>
            <w:hideMark/>
          </w:tcPr>
          <w:p w:rsidR="00A3500C" w:rsidRPr="00A3500C" w:rsidRDefault="00A3500C" w:rsidP="00A3500C">
            <w:pPr>
              <w:spacing w:after="0" w:line="240" w:lineRule="auto"/>
              <w:jc w:val="center"/>
              <w:rPr>
                <w:rFonts w:eastAsia="Times New Roman" w:cs="Times New Roman"/>
                <w:iCs/>
                <w:sz w:val="20"/>
                <w:szCs w:val="20"/>
                <w:lang w:eastAsia="en-GB"/>
              </w:rPr>
            </w:pPr>
          </w:p>
        </w:tc>
      </w:tr>
    </w:tbl>
    <w:p w:rsidR="00A3500C" w:rsidRPr="00B03F1A" w:rsidRDefault="00A3500C" w:rsidP="00A3500C">
      <w:pPr>
        <w:spacing w:after="0"/>
        <w:rPr>
          <w:sz w:val="20"/>
          <w:szCs w:val="20"/>
        </w:rPr>
      </w:pPr>
    </w:p>
    <w:p w:rsidR="00A3500C" w:rsidRPr="00B03F1A" w:rsidRDefault="00A3500C" w:rsidP="00A3500C">
      <w:pPr>
        <w:spacing w:after="0"/>
        <w:rPr>
          <w:sz w:val="20"/>
          <w:szCs w:val="20"/>
        </w:rPr>
      </w:pPr>
      <w:r w:rsidRPr="00B03F1A">
        <w:rPr>
          <w:sz w:val="20"/>
          <w:szCs w:val="20"/>
        </w:rPr>
        <w:t>* - percent</w:t>
      </w:r>
      <w:r w:rsidR="00B03F1A" w:rsidRPr="00B03F1A">
        <w:rPr>
          <w:sz w:val="20"/>
          <w:szCs w:val="20"/>
        </w:rPr>
        <w:t>age of applicants shortlisted,</w:t>
      </w:r>
      <w:r w:rsidR="00B03F1A">
        <w:rPr>
          <w:sz w:val="20"/>
          <w:szCs w:val="20"/>
        </w:rPr>
        <w:t xml:space="preserve"> </w:t>
      </w:r>
      <w:r w:rsidRPr="00B03F1A">
        <w:rPr>
          <w:sz w:val="20"/>
          <w:szCs w:val="20"/>
        </w:rPr>
        <w:t>^ -percentage of those shortlisted that were successful</w:t>
      </w:r>
      <w:r w:rsidR="00B03F1A">
        <w:rPr>
          <w:sz w:val="20"/>
          <w:szCs w:val="20"/>
        </w:rPr>
        <w:t xml:space="preserve">, </w:t>
      </w:r>
      <w:r w:rsidRPr="00B03F1A">
        <w:rPr>
          <w:sz w:val="20"/>
          <w:szCs w:val="20"/>
        </w:rPr>
        <w:t>Other gender includes (transgender, prefer not to say and not known)</w:t>
      </w:r>
    </w:p>
    <w:p w:rsidR="00A3500C" w:rsidRPr="00A3500C" w:rsidRDefault="00A3500C" w:rsidP="00A3500C">
      <w:pPr>
        <w:spacing w:after="0"/>
      </w:pPr>
    </w:p>
    <w:p w:rsidR="00B03F1A" w:rsidRDefault="00B03F1A">
      <w:pPr>
        <w:rPr>
          <w:b/>
          <w:sz w:val="24"/>
          <w:szCs w:val="24"/>
        </w:rPr>
      </w:pPr>
      <w:r>
        <w:rPr>
          <w:b/>
          <w:sz w:val="24"/>
          <w:szCs w:val="24"/>
        </w:rPr>
        <w:br w:type="page"/>
      </w:r>
    </w:p>
    <w:p w:rsidR="00A3500C" w:rsidRDefault="00A3500C" w:rsidP="003C47C7">
      <w:pPr>
        <w:spacing w:after="120"/>
        <w:jc w:val="center"/>
      </w:pPr>
      <w:r w:rsidRPr="00A3500C">
        <w:rPr>
          <w:b/>
          <w:sz w:val="24"/>
          <w:szCs w:val="24"/>
        </w:rPr>
        <w:lastRenderedPageBreak/>
        <w:t>Appendix 4</w:t>
      </w:r>
      <w:r w:rsidR="006E544B">
        <w:rPr>
          <w:b/>
          <w:sz w:val="24"/>
          <w:szCs w:val="24"/>
        </w:rPr>
        <w:t xml:space="preserve"> Faculty of Humanities a</w:t>
      </w:r>
      <w:r w:rsidR="0033323E">
        <w:rPr>
          <w:b/>
          <w:sz w:val="24"/>
          <w:szCs w:val="24"/>
        </w:rPr>
        <w:t>cademic promotions data</w:t>
      </w:r>
      <w:r w:rsidR="006E544B">
        <w:rPr>
          <w:b/>
          <w:sz w:val="24"/>
          <w:szCs w:val="24"/>
        </w:rPr>
        <w:t xml:space="preserve"> 2014</w:t>
      </w:r>
    </w:p>
    <w:tbl>
      <w:tblPr>
        <w:tblW w:w="5000" w:type="pct"/>
        <w:tblLook w:val="04A0" w:firstRow="1" w:lastRow="0" w:firstColumn="1" w:lastColumn="0" w:noHBand="0" w:noVBand="1"/>
      </w:tblPr>
      <w:tblGrid>
        <w:gridCol w:w="1511"/>
        <w:gridCol w:w="1417"/>
        <w:gridCol w:w="881"/>
        <w:gridCol w:w="921"/>
        <w:gridCol w:w="921"/>
        <w:gridCol w:w="856"/>
        <w:gridCol w:w="987"/>
        <w:gridCol w:w="987"/>
        <w:gridCol w:w="970"/>
        <w:gridCol w:w="1041"/>
        <w:gridCol w:w="922"/>
        <w:gridCol w:w="922"/>
        <w:gridCol w:w="922"/>
        <w:gridCol w:w="916"/>
      </w:tblGrid>
      <w:tr w:rsidR="00FE3696" w:rsidRPr="00FE3696" w:rsidTr="0033323E">
        <w:trPr>
          <w:trHeight w:val="315"/>
        </w:trPr>
        <w:tc>
          <w:tcPr>
            <w:tcW w:w="1659" w:type="pct"/>
            <w:gridSpan w:val="4"/>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Verdana" w:eastAsia="Times New Roman" w:hAnsi="Verdana" w:cs="Arial"/>
                <w:b/>
                <w:bCs/>
                <w:color w:val="000000"/>
                <w:sz w:val="24"/>
                <w:szCs w:val="24"/>
                <w:lang w:eastAsia="en-GB"/>
              </w:rPr>
            </w:pPr>
          </w:p>
        </w:tc>
        <w:tc>
          <w:tcPr>
            <w:tcW w:w="326"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03"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49"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49"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43"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67"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26"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26"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26"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color w:val="000000"/>
                <w:lang w:eastAsia="en-GB"/>
              </w:rPr>
            </w:pPr>
          </w:p>
        </w:tc>
        <w:tc>
          <w:tcPr>
            <w:tcW w:w="326" w:type="pct"/>
            <w:tcBorders>
              <w:top w:val="nil"/>
              <w:left w:val="nil"/>
              <w:bottom w:val="nil"/>
              <w:right w:val="nil"/>
            </w:tcBorders>
            <w:shd w:val="clear" w:color="auto" w:fill="auto"/>
            <w:noWrap/>
            <w:vAlign w:val="bottom"/>
            <w:hideMark/>
          </w:tcPr>
          <w:p w:rsidR="00FE3696" w:rsidRPr="00FE3696" w:rsidRDefault="00FE3696" w:rsidP="00FE3696">
            <w:pPr>
              <w:spacing w:after="0" w:line="240" w:lineRule="auto"/>
              <w:rPr>
                <w:rFonts w:ascii="Calibri" w:eastAsia="Times New Roman" w:hAnsi="Calibri" w:cs="Arial"/>
                <w:b/>
                <w:bCs/>
                <w:color w:val="000000"/>
                <w:lang w:eastAsia="en-GB"/>
              </w:rPr>
            </w:pPr>
          </w:p>
        </w:tc>
      </w:tr>
      <w:tr w:rsidR="00FE3696" w:rsidRPr="00DF5F30" w:rsidTr="0033323E">
        <w:trPr>
          <w:trHeight w:val="300"/>
        </w:trPr>
        <w:tc>
          <w:tcPr>
            <w:tcW w:w="534" w:type="pct"/>
            <w:vMerge w:val="restart"/>
            <w:tcBorders>
              <w:top w:val="single" w:sz="4" w:space="0" w:color="auto"/>
              <w:left w:val="single" w:sz="4" w:space="0" w:color="auto"/>
              <w:bottom w:val="single" w:sz="4" w:space="0" w:color="auto"/>
              <w:right w:val="single" w:sz="4" w:space="0" w:color="auto"/>
            </w:tcBorders>
            <w:shd w:val="clear" w:color="000000" w:fill="F7E1FF"/>
            <w:vAlign w:val="bottom"/>
            <w:hideMark/>
          </w:tcPr>
          <w:p w:rsidR="00FE3696" w:rsidRPr="00DF5F30" w:rsidRDefault="00FE3696" w:rsidP="00DF5F30">
            <w:pPr>
              <w:spacing w:after="0" w:line="240" w:lineRule="auto"/>
              <w:rPr>
                <w:rFonts w:eastAsia="Times New Roman" w:cs="Arial"/>
                <w:b/>
                <w:bCs/>
                <w:lang w:eastAsia="en-GB"/>
              </w:rPr>
            </w:pPr>
            <w:r w:rsidRPr="00DF5F30">
              <w:rPr>
                <w:rFonts w:eastAsia="Times New Roman" w:cs="Arial"/>
                <w:b/>
                <w:bCs/>
                <w:lang w:eastAsia="en-GB"/>
              </w:rPr>
              <w:t>Promotion to</w:t>
            </w:r>
          </w:p>
        </w:tc>
        <w:tc>
          <w:tcPr>
            <w:tcW w:w="501" w:type="pct"/>
            <w:vMerge w:val="restart"/>
            <w:tcBorders>
              <w:top w:val="single" w:sz="4" w:space="0" w:color="auto"/>
              <w:left w:val="single" w:sz="4" w:space="0" w:color="auto"/>
              <w:bottom w:val="single" w:sz="4" w:space="0" w:color="auto"/>
              <w:right w:val="single" w:sz="4" w:space="0" w:color="auto"/>
            </w:tcBorders>
            <w:shd w:val="clear" w:color="000000" w:fill="F7E1FF"/>
            <w:vAlign w:val="bottom"/>
            <w:hideMark/>
          </w:tcPr>
          <w:p w:rsidR="00FE3696" w:rsidRPr="00DF5F30" w:rsidRDefault="00FE3696" w:rsidP="00DF5F30">
            <w:pPr>
              <w:spacing w:after="0" w:line="240" w:lineRule="auto"/>
              <w:jc w:val="center"/>
              <w:rPr>
                <w:rFonts w:eastAsia="Times New Roman" w:cs="Arial"/>
                <w:b/>
                <w:bCs/>
                <w:lang w:eastAsia="en-GB"/>
              </w:rPr>
            </w:pPr>
            <w:r w:rsidRPr="00DF5F30">
              <w:rPr>
                <w:rFonts w:eastAsia="Times New Roman" w:cs="Arial"/>
                <w:b/>
                <w:bCs/>
                <w:lang w:eastAsia="en-GB"/>
              </w:rPr>
              <w:t>Ethnicity</w:t>
            </w:r>
          </w:p>
        </w:tc>
        <w:tc>
          <w:tcPr>
            <w:tcW w:w="1253" w:type="pct"/>
            <w:gridSpan w:val="4"/>
            <w:tcBorders>
              <w:top w:val="single" w:sz="4" w:space="0" w:color="auto"/>
              <w:left w:val="nil"/>
              <w:bottom w:val="single" w:sz="4" w:space="0" w:color="auto"/>
              <w:right w:val="single" w:sz="4" w:space="0" w:color="000000"/>
            </w:tcBorders>
            <w:shd w:val="clear" w:color="000000" w:fill="F7E1FF"/>
            <w:vAlign w:val="bottom"/>
            <w:hideMark/>
          </w:tcPr>
          <w:p w:rsidR="00FE3696" w:rsidRPr="00DF5F30" w:rsidRDefault="00FE3696" w:rsidP="00DF5F30">
            <w:pPr>
              <w:spacing w:after="0" w:line="240" w:lineRule="auto"/>
              <w:jc w:val="center"/>
              <w:rPr>
                <w:rFonts w:eastAsia="Times New Roman" w:cs="Arial"/>
                <w:b/>
                <w:bCs/>
                <w:lang w:eastAsia="en-GB"/>
              </w:rPr>
            </w:pPr>
            <w:r w:rsidRPr="00DF5F30">
              <w:rPr>
                <w:rFonts w:eastAsia="Times New Roman" w:cs="Arial"/>
                <w:b/>
                <w:bCs/>
                <w:lang w:eastAsia="en-GB"/>
              </w:rPr>
              <w:t>% of potential applicants (pool)</w:t>
            </w:r>
          </w:p>
        </w:tc>
        <w:tc>
          <w:tcPr>
            <w:tcW w:w="1409" w:type="pct"/>
            <w:gridSpan w:val="4"/>
            <w:tcBorders>
              <w:top w:val="single" w:sz="4" w:space="0" w:color="auto"/>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xml:space="preserve">Application </w:t>
            </w:r>
          </w:p>
        </w:tc>
        <w:tc>
          <w:tcPr>
            <w:tcW w:w="1304" w:type="pct"/>
            <w:gridSpan w:val="4"/>
            <w:tcBorders>
              <w:top w:val="single" w:sz="4" w:space="0" w:color="auto"/>
              <w:left w:val="nil"/>
              <w:bottom w:val="single" w:sz="4" w:space="0" w:color="auto"/>
              <w:right w:val="nil"/>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xml:space="preserve">% of successful applications </w:t>
            </w:r>
          </w:p>
        </w:tc>
      </w:tr>
      <w:tr w:rsidR="00FE3696" w:rsidRPr="00DF5F30" w:rsidTr="0033323E">
        <w:trPr>
          <w:trHeight w:val="30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299"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Female</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Male</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Total</w:t>
            </w:r>
          </w:p>
        </w:tc>
        <w:tc>
          <w:tcPr>
            <w:tcW w:w="303"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w:t>
            </w:r>
          </w:p>
        </w:tc>
        <w:tc>
          <w:tcPr>
            <w:tcW w:w="349"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Female</w:t>
            </w:r>
          </w:p>
        </w:tc>
        <w:tc>
          <w:tcPr>
            <w:tcW w:w="349"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Male</w:t>
            </w:r>
          </w:p>
        </w:tc>
        <w:tc>
          <w:tcPr>
            <w:tcW w:w="710" w:type="pct"/>
            <w:gridSpan w:val="2"/>
            <w:tcBorders>
              <w:top w:val="single" w:sz="4" w:space="0" w:color="auto"/>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Total</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Female</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Male</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Total</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w:t>
            </w:r>
          </w:p>
        </w:tc>
      </w:tr>
      <w:tr w:rsidR="00FE3696" w:rsidRPr="00DF5F30" w:rsidTr="0033323E">
        <w:trPr>
          <w:trHeight w:val="300"/>
        </w:trPr>
        <w:tc>
          <w:tcPr>
            <w:tcW w:w="534" w:type="pct"/>
            <w:vMerge/>
            <w:tcBorders>
              <w:top w:val="single" w:sz="4" w:space="0" w:color="auto"/>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299"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03"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w:t>
            </w:r>
          </w:p>
        </w:tc>
        <w:tc>
          <w:tcPr>
            <w:tcW w:w="349"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49"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43"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67"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xml:space="preserve">% </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Count</w:t>
            </w:r>
          </w:p>
        </w:tc>
        <w:tc>
          <w:tcPr>
            <w:tcW w:w="326" w:type="pct"/>
            <w:tcBorders>
              <w:top w:val="nil"/>
              <w:left w:val="nil"/>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xml:space="preserve">% </w:t>
            </w:r>
          </w:p>
        </w:tc>
      </w:tr>
      <w:tr w:rsidR="00FE3696" w:rsidRPr="00DF5F30" w:rsidTr="0033323E">
        <w:trPr>
          <w:trHeight w:val="300"/>
        </w:trPr>
        <w:tc>
          <w:tcPr>
            <w:tcW w:w="534" w:type="pct"/>
            <w:vMerge w:val="restart"/>
            <w:tcBorders>
              <w:top w:val="nil"/>
              <w:left w:val="single" w:sz="4" w:space="0" w:color="auto"/>
              <w:bottom w:val="single" w:sz="4" w:space="0" w:color="auto"/>
              <w:right w:val="single" w:sz="4" w:space="0" w:color="auto"/>
            </w:tcBorders>
            <w:shd w:val="clear" w:color="000000" w:fill="F7E1FF"/>
            <w:vAlign w:val="center"/>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Chair</w:t>
            </w: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White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85</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145</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230</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11</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13</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93%</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92%</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BME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6</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23</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29</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Not known</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Count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91</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169</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260</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11</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14</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i/>
                <w:iCs/>
                <w:lang w:eastAsia="en-GB"/>
              </w:rPr>
            </w:pPr>
            <w:r w:rsidRPr="00DF5F30">
              <w:rPr>
                <w:rFonts w:eastAsia="Times New Roman" w:cs="Arial"/>
                <w:b/>
                <w:bCs/>
                <w:i/>
                <w:iCs/>
                <w:lang w:eastAsia="en-GB"/>
              </w:rPr>
              <w: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21%</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79%</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67%</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91%</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86%</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val="restart"/>
            <w:tcBorders>
              <w:top w:val="nil"/>
              <w:left w:val="single" w:sz="4" w:space="0" w:color="auto"/>
              <w:bottom w:val="single" w:sz="4" w:space="0" w:color="auto"/>
              <w:right w:val="single" w:sz="4" w:space="0" w:color="auto"/>
            </w:tcBorders>
            <w:shd w:val="clear" w:color="000000" w:fill="F7E1FF"/>
            <w:vAlign w:val="center"/>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Reader</w:t>
            </w: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White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79</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181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260</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7</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88%</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4</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71%</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BME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27</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4%</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13%</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Not known</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Count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84</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154</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238</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8</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4</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i/>
                <w:iCs/>
                <w:lang w:eastAsia="en-GB"/>
              </w:rPr>
            </w:pPr>
            <w:r w:rsidRPr="00DF5F30">
              <w:rPr>
                <w:rFonts w:eastAsia="Times New Roman" w:cs="Arial"/>
                <w:b/>
                <w:bCs/>
                <w:i/>
                <w:iCs/>
                <w:lang w:eastAsia="en-GB"/>
              </w:rPr>
              <w: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4%</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25%</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75%</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67%</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63%</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val="restart"/>
            <w:tcBorders>
              <w:top w:val="nil"/>
              <w:left w:val="single" w:sz="4" w:space="0" w:color="auto"/>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 xml:space="preserve">Senior Lecturer </w:t>
            </w: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White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222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225</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447</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13</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13</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26</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87%</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85%</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BME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49</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34</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83</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4</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13%</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Not known</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7</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9</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Count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273</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266</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539</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15</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15</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30</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13</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11</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24</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i/>
                <w:iCs/>
                <w:lang w:eastAsia="en-GB"/>
              </w:rPr>
            </w:pPr>
            <w:r w:rsidRPr="00DF5F30">
              <w:rPr>
                <w:rFonts w:eastAsia="Times New Roman" w:cs="Arial"/>
                <w:b/>
                <w:bCs/>
                <w:i/>
                <w:iCs/>
                <w:lang w:eastAsia="en-GB"/>
              </w:rPr>
              <w: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50%</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50%</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87%</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73%</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val="restart"/>
            <w:tcBorders>
              <w:top w:val="nil"/>
              <w:left w:val="single" w:sz="4" w:space="0" w:color="auto"/>
              <w:bottom w:val="single" w:sz="4" w:space="0" w:color="auto"/>
              <w:right w:val="single" w:sz="4" w:space="0" w:color="auto"/>
            </w:tcBorders>
            <w:shd w:val="clear" w:color="000000" w:fill="F7E1FF"/>
            <w:vAlign w:val="bottom"/>
            <w:hideMark/>
          </w:tcPr>
          <w:p w:rsidR="00FE3696" w:rsidRPr="00DF5F30" w:rsidRDefault="00FE3696" w:rsidP="00FE3696">
            <w:pPr>
              <w:spacing w:after="0" w:line="240" w:lineRule="auto"/>
              <w:jc w:val="center"/>
              <w:rPr>
                <w:rFonts w:eastAsia="Times New Roman" w:cs="Arial"/>
                <w:b/>
                <w:bCs/>
                <w:lang w:eastAsia="en-GB"/>
              </w:rPr>
            </w:pPr>
            <w:r w:rsidRPr="00DF5F30">
              <w:rPr>
                <w:rFonts w:eastAsia="Times New Roman" w:cs="Arial"/>
                <w:b/>
                <w:bCs/>
                <w:lang w:eastAsia="en-GB"/>
              </w:rPr>
              <w:t>All promotions</w:t>
            </w: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White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386</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551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937</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17</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29</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46</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88%</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15</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24</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39</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85%</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BME</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60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79</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139</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4%</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3</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3</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6</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33%</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Not known</w:t>
            </w:r>
          </w:p>
        </w:tc>
        <w:tc>
          <w:tcPr>
            <w:tcW w:w="29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2</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9</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11</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9"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43"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F2FCF4"/>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0%</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lang w:eastAsia="en-GB"/>
              </w:rPr>
            </w:pPr>
            <w:r w:rsidRPr="00DF5F30">
              <w:rPr>
                <w:rFonts w:eastAsia="Times New Roman" w:cs="Arial"/>
                <w:b/>
                <w:bCs/>
                <w:lang w:eastAsia="en-GB"/>
              </w:rPr>
              <w:t>Count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448</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639</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1087</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20</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32</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52</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16</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25</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lang w:eastAsia="en-GB"/>
              </w:rPr>
            </w:pPr>
            <w:r w:rsidRPr="00DF5F30">
              <w:rPr>
                <w:rFonts w:eastAsia="Times New Roman" w:cs="Arial"/>
                <w:lang w:eastAsia="en-GB"/>
              </w:rPr>
              <w:t>41</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r w:rsidR="00FE3696" w:rsidRPr="00DF5F30" w:rsidTr="0033323E">
        <w:trPr>
          <w:trHeight w:val="300"/>
        </w:trPr>
        <w:tc>
          <w:tcPr>
            <w:tcW w:w="534" w:type="pct"/>
            <w:vMerge/>
            <w:tcBorders>
              <w:top w:val="nil"/>
              <w:left w:val="single" w:sz="4" w:space="0" w:color="auto"/>
              <w:bottom w:val="single" w:sz="4" w:space="0" w:color="auto"/>
              <w:right w:val="single" w:sz="4" w:space="0" w:color="auto"/>
            </w:tcBorders>
            <w:vAlign w:val="center"/>
            <w:hideMark/>
          </w:tcPr>
          <w:p w:rsidR="00FE3696" w:rsidRPr="00DF5F30" w:rsidRDefault="00FE3696" w:rsidP="00FE3696">
            <w:pPr>
              <w:spacing w:after="0" w:line="240" w:lineRule="auto"/>
              <w:rPr>
                <w:rFonts w:eastAsia="Times New Roman" w:cs="Arial"/>
                <w:b/>
                <w:bCs/>
                <w:lang w:eastAsia="en-GB"/>
              </w:rPr>
            </w:pPr>
          </w:p>
        </w:tc>
        <w:tc>
          <w:tcPr>
            <w:tcW w:w="501" w:type="pct"/>
            <w:tcBorders>
              <w:top w:val="nil"/>
              <w:left w:val="nil"/>
              <w:bottom w:val="single" w:sz="4" w:space="0" w:color="auto"/>
              <w:right w:val="single" w:sz="4" w:space="0" w:color="auto"/>
            </w:tcBorders>
            <w:shd w:val="clear" w:color="000000" w:fill="F7E1FF"/>
            <w:noWrap/>
            <w:vAlign w:val="bottom"/>
            <w:hideMark/>
          </w:tcPr>
          <w:p w:rsidR="00FE3696" w:rsidRPr="00DF5F30" w:rsidRDefault="00FE3696" w:rsidP="00FE3696">
            <w:pPr>
              <w:spacing w:after="0" w:line="240" w:lineRule="auto"/>
              <w:rPr>
                <w:rFonts w:eastAsia="Times New Roman" w:cs="Arial"/>
                <w:b/>
                <w:bCs/>
                <w:i/>
                <w:iCs/>
                <w:lang w:eastAsia="en-GB"/>
              </w:rPr>
            </w:pPr>
            <w:r w:rsidRPr="00DF5F30">
              <w:rPr>
                <w:rFonts w:eastAsia="Times New Roman" w:cs="Arial"/>
                <w:b/>
                <w:bCs/>
                <w:i/>
                <w:iCs/>
                <w:lang w:eastAsia="en-GB"/>
              </w:rPr>
              <w:t>%</w:t>
            </w:r>
          </w:p>
        </w:tc>
        <w:tc>
          <w:tcPr>
            <w:tcW w:w="29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5%</w:t>
            </w:r>
          </w:p>
        </w:tc>
        <w:tc>
          <w:tcPr>
            <w:tcW w:w="30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38%</w:t>
            </w:r>
          </w:p>
        </w:tc>
        <w:tc>
          <w:tcPr>
            <w:tcW w:w="349"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62%</w:t>
            </w:r>
          </w:p>
        </w:tc>
        <w:tc>
          <w:tcPr>
            <w:tcW w:w="343"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67"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80%</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78%</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jc w:val="right"/>
              <w:rPr>
                <w:rFonts w:eastAsia="Times New Roman" w:cs="Arial"/>
                <w:i/>
                <w:iCs/>
                <w:lang w:eastAsia="en-GB"/>
              </w:rPr>
            </w:pPr>
            <w:r w:rsidRPr="00DF5F30">
              <w:rPr>
                <w:rFonts w:eastAsia="Times New Roman" w:cs="Arial"/>
                <w:i/>
                <w:iCs/>
                <w:lang w:eastAsia="en-GB"/>
              </w:rPr>
              <w:t>79%</w:t>
            </w:r>
          </w:p>
        </w:tc>
        <w:tc>
          <w:tcPr>
            <w:tcW w:w="326" w:type="pct"/>
            <w:tcBorders>
              <w:top w:val="nil"/>
              <w:left w:val="nil"/>
              <w:bottom w:val="single" w:sz="4" w:space="0" w:color="auto"/>
              <w:right w:val="single" w:sz="4" w:space="0" w:color="auto"/>
            </w:tcBorders>
            <w:shd w:val="clear" w:color="000000" w:fill="D4F3DB"/>
            <w:noWrap/>
            <w:vAlign w:val="bottom"/>
            <w:hideMark/>
          </w:tcPr>
          <w:p w:rsidR="00FE3696" w:rsidRPr="00DF5F30" w:rsidRDefault="00FE3696" w:rsidP="00FE3696">
            <w:pPr>
              <w:spacing w:after="0" w:line="240" w:lineRule="auto"/>
              <w:rPr>
                <w:rFonts w:eastAsia="Times New Roman" w:cs="Arial"/>
                <w:i/>
                <w:iCs/>
                <w:lang w:eastAsia="en-GB"/>
              </w:rPr>
            </w:pPr>
            <w:r w:rsidRPr="00DF5F30">
              <w:rPr>
                <w:rFonts w:eastAsia="Times New Roman" w:cs="Arial"/>
                <w:i/>
                <w:iCs/>
                <w:lang w:eastAsia="en-GB"/>
              </w:rPr>
              <w:t> </w:t>
            </w:r>
          </w:p>
        </w:tc>
      </w:tr>
    </w:tbl>
    <w:p w:rsidR="00FE3696" w:rsidRPr="00DF5F30" w:rsidRDefault="00FE3696" w:rsidP="000C737D">
      <w:pPr>
        <w:tabs>
          <w:tab w:val="left" w:pos="1560"/>
        </w:tabs>
        <w:spacing w:after="120"/>
        <w:jc w:val="both"/>
      </w:pPr>
    </w:p>
    <w:sectPr w:rsidR="00FE3696" w:rsidRPr="00DF5F30" w:rsidSect="00B95A4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AB2" w:rsidRDefault="00511AB2" w:rsidP="00351EAB">
      <w:pPr>
        <w:spacing w:after="0" w:line="240" w:lineRule="auto"/>
      </w:pPr>
      <w:r>
        <w:separator/>
      </w:r>
    </w:p>
  </w:endnote>
  <w:endnote w:type="continuationSeparator" w:id="0">
    <w:p w:rsidR="00511AB2" w:rsidRDefault="00511AB2" w:rsidP="0035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CSquareSansPro-Regular">
    <w:panose1 w:val="00000000000000000000"/>
    <w:charset w:val="00"/>
    <w:family w:val="swiss"/>
    <w:notTrueType/>
    <w:pitch w:val="default"/>
    <w:sig w:usb0="00000003" w:usb1="00000000" w:usb2="00000000" w:usb3="00000000" w:csb0="00000001" w:csb1="00000000"/>
  </w:font>
  <w:font w:name="DIN-MediumAlternate">
    <w:panose1 w:val="00000000000000000000"/>
    <w:charset w:val="00"/>
    <w:family w:val="swiss"/>
    <w:notTrueType/>
    <w:pitch w:val="default"/>
    <w:sig w:usb0="00000003" w:usb1="00000000" w:usb2="00000000" w:usb3="00000000" w:csb0="00000001" w:csb1="00000000"/>
  </w:font>
  <w:font w:name="DIN-MediumItalicAlt">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838241"/>
      <w:docPartObj>
        <w:docPartGallery w:val="Page Numbers (Bottom of Page)"/>
        <w:docPartUnique/>
      </w:docPartObj>
    </w:sdtPr>
    <w:sdtEndPr>
      <w:rPr>
        <w:color w:val="808080" w:themeColor="background1" w:themeShade="80"/>
        <w:spacing w:val="60"/>
      </w:rPr>
    </w:sdtEndPr>
    <w:sdtContent>
      <w:p w:rsidR="00A55E79" w:rsidRPr="00C22675" w:rsidRDefault="00A55E79" w:rsidP="00C226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6762A" w:rsidRPr="00E6762A">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AB2" w:rsidRDefault="00511AB2" w:rsidP="00351EAB">
      <w:pPr>
        <w:spacing w:after="0" w:line="240" w:lineRule="auto"/>
      </w:pPr>
      <w:r>
        <w:separator/>
      </w:r>
    </w:p>
  </w:footnote>
  <w:footnote w:type="continuationSeparator" w:id="0">
    <w:p w:rsidR="00511AB2" w:rsidRDefault="00511AB2" w:rsidP="00351EAB">
      <w:pPr>
        <w:spacing w:after="0" w:line="240" w:lineRule="auto"/>
      </w:pPr>
      <w:r>
        <w:continuationSeparator/>
      </w:r>
    </w:p>
  </w:footnote>
  <w:footnote w:id="1">
    <w:p w:rsidR="00A55E79" w:rsidRPr="00C766B8" w:rsidRDefault="00A55E79" w:rsidP="00351EAB">
      <w:pPr>
        <w:pStyle w:val="PlainText"/>
        <w:jc w:val="both"/>
        <w:rPr>
          <w:rFonts w:asciiTheme="minorHAnsi" w:hAnsiTheme="minorHAnsi"/>
          <w:bCs/>
          <w:sz w:val="18"/>
          <w:szCs w:val="18"/>
        </w:rPr>
      </w:pPr>
      <w:r w:rsidRPr="00C766B8">
        <w:rPr>
          <w:rStyle w:val="FootnoteReference"/>
          <w:rFonts w:asciiTheme="minorHAnsi" w:hAnsiTheme="minorHAnsi"/>
          <w:sz w:val="18"/>
          <w:szCs w:val="18"/>
        </w:rPr>
        <w:footnoteRef/>
      </w:r>
      <w:r w:rsidRPr="00C766B8">
        <w:rPr>
          <w:rFonts w:asciiTheme="minorHAnsi" w:hAnsiTheme="minorHAnsi"/>
          <w:sz w:val="18"/>
          <w:szCs w:val="18"/>
        </w:rPr>
        <w:t xml:space="preserve"> Baker and Crackell (2014) “</w:t>
      </w:r>
      <w:r w:rsidRPr="00C766B8">
        <w:rPr>
          <w:rFonts w:asciiTheme="minorHAnsi" w:hAnsiTheme="minorHAnsi"/>
          <w:bCs/>
          <w:sz w:val="18"/>
          <w:szCs w:val="18"/>
        </w:rPr>
        <w:t xml:space="preserve">Women in Public life, the Professions and the Boardroom” </w:t>
      </w:r>
      <w:r w:rsidRPr="00C766B8">
        <w:rPr>
          <w:rFonts w:asciiTheme="minorHAnsi" w:hAnsiTheme="minorHAnsi"/>
          <w:bCs/>
          <w:i/>
          <w:sz w:val="18"/>
          <w:szCs w:val="18"/>
        </w:rPr>
        <w:t>House of Commons Library Standard Note SN5170</w:t>
      </w:r>
      <w:r w:rsidRPr="00C766B8">
        <w:rPr>
          <w:rFonts w:asciiTheme="minorHAnsi" w:hAnsiTheme="minorHAnsi"/>
          <w:bCs/>
          <w:sz w:val="18"/>
          <w:szCs w:val="18"/>
        </w:rPr>
        <w:t>, Social and General Statistics, 11 April</w:t>
      </w:r>
    </w:p>
  </w:footnote>
  <w:footnote w:id="2">
    <w:p w:rsidR="00A55E79" w:rsidRPr="00407BFC" w:rsidRDefault="00A55E79" w:rsidP="00602496">
      <w:pPr>
        <w:pStyle w:val="PlainText"/>
        <w:jc w:val="both"/>
        <w:rPr>
          <w:rFonts w:asciiTheme="minorHAnsi" w:hAnsiTheme="minorHAnsi"/>
          <w:bCs/>
          <w:sz w:val="18"/>
          <w:szCs w:val="18"/>
        </w:rPr>
      </w:pPr>
      <w:r w:rsidRPr="00C766B8">
        <w:rPr>
          <w:rStyle w:val="FootnoteReference"/>
          <w:sz w:val="18"/>
          <w:szCs w:val="18"/>
        </w:rPr>
        <w:footnoteRef/>
      </w:r>
      <w:r w:rsidRPr="00C766B8">
        <w:rPr>
          <w:sz w:val="18"/>
          <w:szCs w:val="18"/>
        </w:rPr>
        <w:t xml:space="preserve"> </w:t>
      </w:r>
      <w:r w:rsidRPr="00C766B8">
        <w:rPr>
          <w:rFonts w:asciiTheme="minorHAnsi" w:hAnsiTheme="minorHAnsi"/>
          <w:sz w:val="18"/>
          <w:szCs w:val="18"/>
        </w:rPr>
        <w:t>Baker and Crackell (2014) “</w:t>
      </w:r>
      <w:r w:rsidRPr="00C766B8">
        <w:rPr>
          <w:rFonts w:asciiTheme="minorHAnsi" w:hAnsiTheme="minorHAnsi"/>
          <w:bCs/>
          <w:sz w:val="18"/>
          <w:szCs w:val="18"/>
        </w:rPr>
        <w:t xml:space="preserve">Women in Public life, the Professions and the Boardroom” </w:t>
      </w:r>
      <w:r w:rsidRPr="00C766B8">
        <w:rPr>
          <w:rFonts w:asciiTheme="minorHAnsi" w:hAnsiTheme="minorHAnsi"/>
          <w:bCs/>
          <w:i/>
          <w:sz w:val="18"/>
          <w:szCs w:val="18"/>
        </w:rPr>
        <w:t>House of Commons Library Standard Note SN5170</w:t>
      </w:r>
      <w:r w:rsidRPr="00C766B8">
        <w:rPr>
          <w:rFonts w:asciiTheme="minorHAnsi" w:hAnsiTheme="minorHAnsi"/>
          <w:bCs/>
          <w:sz w:val="18"/>
          <w:szCs w:val="18"/>
        </w:rPr>
        <w:t xml:space="preserve">, Social and General Statistics, 11 April; </w:t>
      </w:r>
      <w:r w:rsidRPr="00C766B8">
        <w:rPr>
          <w:rFonts w:asciiTheme="minorHAnsi" w:eastAsiaTheme="minorHAnsi" w:hAnsiTheme="minorHAnsi" w:cstheme="minorBidi"/>
          <w:sz w:val="18"/>
          <w:szCs w:val="18"/>
          <w:lang w:eastAsia="en-US"/>
        </w:rPr>
        <w:t xml:space="preserve">European Commission (2012): </w:t>
      </w:r>
      <w:r w:rsidRPr="00C766B8">
        <w:rPr>
          <w:rFonts w:asciiTheme="minorHAnsi" w:eastAsiaTheme="minorHAnsi" w:hAnsiTheme="minorHAnsi" w:cstheme="minorBidi"/>
          <w:i/>
          <w:sz w:val="18"/>
          <w:szCs w:val="18"/>
          <w:lang w:eastAsia="en-US"/>
        </w:rPr>
        <w:t>She Figures: Gender in Research and Innovation – Statistics and Indicators,</w:t>
      </w:r>
      <w:r w:rsidRPr="00C766B8">
        <w:rPr>
          <w:rFonts w:asciiTheme="minorHAnsi" w:eastAsiaTheme="minorHAnsi" w:hAnsiTheme="minorHAnsi" w:cs="ECSquareSansPro-Regular"/>
          <w:sz w:val="18"/>
          <w:szCs w:val="18"/>
          <w:lang w:eastAsia="en-US"/>
        </w:rPr>
        <w:t xml:space="preserve"> </w:t>
      </w:r>
      <w:r w:rsidRPr="00C766B8">
        <w:rPr>
          <w:rFonts w:asciiTheme="minorHAnsi" w:eastAsiaTheme="minorHAnsi" w:hAnsiTheme="minorHAnsi" w:cstheme="minorBidi"/>
          <w:sz w:val="18"/>
          <w:szCs w:val="18"/>
          <w:lang w:eastAsia="en-US"/>
        </w:rPr>
        <w:t>Luxembourg: Publications Office of the European Union</w:t>
      </w:r>
    </w:p>
  </w:footnote>
  <w:footnote w:id="3">
    <w:p w:rsidR="00A55E79" w:rsidRPr="00FD480E" w:rsidRDefault="00A55E79" w:rsidP="00FD480E">
      <w:pPr>
        <w:autoSpaceDE w:val="0"/>
        <w:autoSpaceDN w:val="0"/>
        <w:adjustRightInd w:val="0"/>
        <w:spacing w:after="0" w:line="240" w:lineRule="auto"/>
        <w:rPr>
          <w:rFonts w:cs="DIN-MediumAlternate"/>
          <w:sz w:val="18"/>
          <w:szCs w:val="18"/>
        </w:rPr>
      </w:pPr>
      <w:r w:rsidRPr="00FD480E">
        <w:rPr>
          <w:rStyle w:val="FootnoteReference"/>
          <w:sz w:val="18"/>
          <w:szCs w:val="18"/>
        </w:rPr>
        <w:footnoteRef/>
      </w:r>
      <w:r w:rsidRPr="00FD480E">
        <w:rPr>
          <w:sz w:val="18"/>
          <w:szCs w:val="18"/>
        </w:rPr>
        <w:t xml:space="preserve"> </w:t>
      </w:r>
      <w:r w:rsidRPr="00FD480E">
        <w:rPr>
          <w:rFonts w:cs="DIN-MediumAlternate"/>
          <w:sz w:val="18"/>
          <w:szCs w:val="18"/>
        </w:rPr>
        <w:t xml:space="preserve">JNCHES is the Joint Negotiating Committee for Higher Education Staff; their guidance on Equal Pay Reviews can be found at: </w:t>
      </w:r>
      <w:r w:rsidRPr="00FD480E">
        <w:rPr>
          <w:rFonts w:cs="DIN-MediumItalicAlt"/>
          <w:i/>
          <w:iCs/>
          <w:sz w:val="18"/>
          <w:szCs w:val="18"/>
        </w:rPr>
        <w:t>www.ucu.org.uk/</w:t>
      </w:r>
    </w:p>
    <w:p w:rsidR="00A55E79" w:rsidRPr="00FD480E" w:rsidRDefault="00A55E79" w:rsidP="00FD480E">
      <w:pPr>
        <w:spacing w:after="0" w:line="240" w:lineRule="auto"/>
        <w:rPr>
          <w:rFonts w:cs="DIN-MediumItalicAlt"/>
          <w:i/>
          <w:iCs/>
          <w:sz w:val="18"/>
          <w:szCs w:val="18"/>
        </w:rPr>
      </w:pPr>
      <w:r w:rsidRPr="00FD480E">
        <w:rPr>
          <w:rFonts w:cs="DIN-MediumItalicAlt"/>
          <w:i/>
          <w:iCs/>
          <w:sz w:val="18"/>
          <w:szCs w:val="18"/>
        </w:rPr>
        <w:t>media/pdf/k/m/jnches_equalpayguidance.pdf</w:t>
      </w:r>
    </w:p>
  </w:footnote>
  <w:footnote w:id="4">
    <w:p w:rsidR="00A55E79" w:rsidRPr="00C766B8" w:rsidRDefault="00A55E79" w:rsidP="00351EAB">
      <w:pPr>
        <w:pStyle w:val="PlainText"/>
        <w:rPr>
          <w:rFonts w:asciiTheme="minorHAnsi" w:hAnsiTheme="minorHAnsi"/>
          <w:sz w:val="18"/>
          <w:szCs w:val="18"/>
        </w:rPr>
      </w:pPr>
      <w:r w:rsidRPr="00FD480E">
        <w:rPr>
          <w:rStyle w:val="FootnoteReference"/>
          <w:rFonts w:asciiTheme="minorHAnsi" w:hAnsiTheme="minorHAnsi"/>
          <w:sz w:val="18"/>
          <w:szCs w:val="18"/>
        </w:rPr>
        <w:footnoteRef/>
      </w:r>
      <w:r w:rsidRPr="00FD480E">
        <w:rPr>
          <w:rFonts w:asciiTheme="minorHAnsi" w:hAnsiTheme="minorHAnsi"/>
          <w:sz w:val="18"/>
          <w:szCs w:val="18"/>
        </w:rPr>
        <w:t xml:space="preserve"> For a summary in related to gender imbalance at senior positions see Fagan C, </w:t>
      </w:r>
      <w:r w:rsidRPr="00FD480E">
        <w:rPr>
          <w:rFonts w:asciiTheme="minorHAnsi" w:hAnsiTheme="minorHAnsi"/>
          <w:sz w:val="18"/>
          <w:szCs w:val="18"/>
          <w:lang w:eastAsia="es-ES"/>
        </w:rPr>
        <w:t>Gonzáléz Menéndez M and Gómez Ansón</w:t>
      </w:r>
      <w:r w:rsidRPr="00C766B8">
        <w:rPr>
          <w:rFonts w:asciiTheme="minorHAnsi" w:hAnsiTheme="minorHAnsi"/>
          <w:sz w:val="18"/>
          <w:szCs w:val="18"/>
          <w:lang w:eastAsia="es-ES"/>
        </w:rPr>
        <w:t xml:space="preserve"> S</w:t>
      </w:r>
      <w:r w:rsidRPr="00C766B8">
        <w:rPr>
          <w:rFonts w:asciiTheme="minorHAnsi" w:hAnsiTheme="minorHAnsi"/>
          <w:b/>
          <w:sz w:val="18"/>
          <w:szCs w:val="18"/>
          <w:lang w:eastAsia="es-ES"/>
        </w:rPr>
        <w:t xml:space="preserve"> </w:t>
      </w:r>
      <w:r w:rsidRPr="00C766B8">
        <w:rPr>
          <w:rFonts w:asciiTheme="minorHAnsi" w:hAnsiTheme="minorHAnsi"/>
          <w:sz w:val="18"/>
          <w:szCs w:val="18"/>
        </w:rPr>
        <w:t xml:space="preserve">(Eds.) (2012) </w:t>
      </w:r>
      <w:r w:rsidRPr="00C766B8">
        <w:rPr>
          <w:rFonts w:asciiTheme="minorHAnsi" w:hAnsiTheme="minorHAnsi"/>
          <w:i/>
          <w:color w:val="000000"/>
          <w:sz w:val="18"/>
          <w:szCs w:val="18"/>
          <w:u w:val="single"/>
          <w:lang w:eastAsia="en-GB"/>
        </w:rPr>
        <w:t>Women on corporate boards and in top management: European trends and policy</w:t>
      </w:r>
      <w:r w:rsidRPr="00C766B8">
        <w:rPr>
          <w:rFonts w:asciiTheme="minorHAnsi" w:hAnsiTheme="minorHAnsi"/>
          <w:color w:val="000000"/>
          <w:sz w:val="18"/>
          <w:szCs w:val="18"/>
          <w:lang w:eastAsia="en-GB"/>
        </w:rPr>
        <w:t xml:space="preserve"> </w:t>
      </w:r>
      <w:r w:rsidRPr="00C766B8">
        <w:rPr>
          <w:rFonts w:asciiTheme="minorHAnsi" w:hAnsiTheme="minorHAnsi"/>
          <w:sz w:val="18"/>
          <w:szCs w:val="18"/>
        </w:rPr>
        <w:t>Palgrave</w:t>
      </w:r>
    </w:p>
  </w:footnote>
  <w:footnote w:id="5">
    <w:p w:rsidR="00A55E79" w:rsidRPr="00FD480E" w:rsidRDefault="00A55E79" w:rsidP="00A937B3">
      <w:pPr>
        <w:autoSpaceDE w:val="0"/>
        <w:autoSpaceDN w:val="0"/>
        <w:adjustRightInd w:val="0"/>
        <w:spacing w:after="0" w:line="240" w:lineRule="auto"/>
        <w:rPr>
          <w:rFonts w:cs="DIN-MediumAlternate"/>
          <w:sz w:val="18"/>
          <w:szCs w:val="18"/>
        </w:rPr>
      </w:pPr>
      <w:r w:rsidRPr="00FD480E">
        <w:rPr>
          <w:rStyle w:val="FootnoteReference"/>
          <w:sz w:val="18"/>
          <w:szCs w:val="18"/>
        </w:rPr>
        <w:footnoteRef/>
      </w:r>
      <w:r w:rsidRPr="00FD480E">
        <w:rPr>
          <w:sz w:val="18"/>
          <w:szCs w:val="18"/>
        </w:rPr>
        <w:t xml:space="preserve"> </w:t>
      </w:r>
      <w:r w:rsidRPr="00FD480E">
        <w:rPr>
          <w:rFonts w:cs="DIN-MediumAlternate"/>
          <w:sz w:val="18"/>
          <w:szCs w:val="18"/>
        </w:rPr>
        <w:t xml:space="preserve">JNCHES is the Joint Negotiating Committee for Higher Education Staff; their guidance on Equal Pay Reviews can be found at: </w:t>
      </w:r>
      <w:r w:rsidRPr="00FD480E">
        <w:rPr>
          <w:rFonts w:cs="DIN-MediumItalicAlt"/>
          <w:i/>
          <w:iCs/>
          <w:sz w:val="18"/>
          <w:szCs w:val="18"/>
        </w:rPr>
        <w:t>www.ucu.org.uk/</w:t>
      </w:r>
    </w:p>
    <w:p w:rsidR="00A55E79" w:rsidRPr="00FD480E" w:rsidRDefault="00A55E79" w:rsidP="00A937B3">
      <w:pPr>
        <w:spacing w:after="0" w:line="240" w:lineRule="auto"/>
        <w:rPr>
          <w:rFonts w:cs="DIN-MediumItalicAlt"/>
          <w:i/>
          <w:iCs/>
          <w:sz w:val="18"/>
          <w:szCs w:val="18"/>
        </w:rPr>
      </w:pPr>
      <w:r w:rsidRPr="00FD480E">
        <w:rPr>
          <w:rFonts w:cs="DIN-MediumItalicAlt"/>
          <w:i/>
          <w:iCs/>
          <w:sz w:val="18"/>
          <w:szCs w:val="18"/>
        </w:rPr>
        <w:t>media/pdf/k/m/jnches_equalpayguidance.pdf</w:t>
      </w:r>
    </w:p>
  </w:footnote>
  <w:footnote w:id="6">
    <w:p w:rsidR="00A55E79" w:rsidRDefault="00A55E79" w:rsidP="00351EAB">
      <w:pPr>
        <w:pStyle w:val="FootnoteText"/>
        <w:rPr>
          <w:sz w:val="18"/>
          <w:szCs w:val="18"/>
        </w:rPr>
      </w:pPr>
      <w:r>
        <w:rPr>
          <w:rStyle w:val="FootnoteReference"/>
        </w:rPr>
        <w:footnoteRef/>
      </w:r>
      <w:r w:rsidRPr="00C766B8">
        <w:rPr>
          <w:sz w:val="18"/>
          <w:szCs w:val="18"/>
        </w:rPr>
        <w:t xml:space="preserve"> Pay gap calculation is:</w:t>
      </w:r>
    </w:p>
    <w:p w:rsidR="00A55E79" w:rsidRPr="006E544B" w:rsidRDefault="00A55E79" w:rsidP="00351EAB">
      <w:pPr>
        <w:pStyle w:val="FootnoteText"/>
        <w:rPr>
          <w:sz w:val="18"/>
          <w:szCs w:val="18"/>
        </w:rPr>
      </w:pPr>
      <w:r w:rsidRPr="00C766B8">
        <w:rPr>
          <w:sz w:val="18"/>
          <w:szCs w:val="18"/>
          <w:u w:val="single"/>
        </w:rPr>
        <w:t xml:space="preserve">Average Female Pay </w:t>
      </w:r>
      <w:r w:rsidRPr="00C766B8">
        <w:rPr>
          <w:sz w:val="18"/>
          <w:szCs w:val="18"/>
        </w:rPr>
        <w:t xml:space="preserve">  X 100 – 100 = Pay Gap%</w:t>
      </w:r>
    </w:p>
    <w:p w:rsidR="00A55E79" w:rsidRPr="00C766B8" w:rsidRDefault="00A55E79" w:rsidP="00351EAB">
      <w:pPr>
        <w:pStyle w:val="FootnoteText"/>
        <w:rPr>
          <w:sz w:val="18"/>
          <w:szCs w:val="18"/>
        </w:rPr>
      </w:pPr>
      <w:r>
        <w:rPr>
          <w:sz w:val="18"/>
          <w:szCs w:val="18"/>
        </w:rPr>
        <w:t>Average Male Pay</w:t>
      </w:r>
    </w:p>
  </w:footnote>
  <w:footnote w:id="7">
    <w:p w:rsidR="00A55E79" w:rsidRPr="00C766B8" w:rsidRDefault="00A55E79" w:rsidP="00351EAB">
      <w:pPr>
        <w:pStyle w:val="FootnoteText"/>
        <w:rPr>
          <w:sz w:val="18"/>
          <w:szCs w:val="18"/>
        </w:rPr>
      </w:pPr>
      <w:r w:rsidRPr="00C766B8">
        <w:rPr>
          <w:rStyle w:val="FootnoteReference"/>
          <w:sz w:val="18"/>
          <w:szCs w:val="18"/>
        </w:rPr>
        <w:footnoteRef/>
      </w:r>
      <w:r w:rsidRPr="00C766B8">
        <w:rPr>
          <w:sz w:val="18"/>
          <w:szCs w:val="18"/>
        </w:rPr>
        <w:t xml:space="preserve"> Pay gap calculation is:</w:t>
      </w:r>
    </w:p>
    <w:p w:rsidR="00A55E79" w:rsidRPr="00C766B8" w:rsidRDefault="00A55E79" w:rsidP="00351EAB">
      <w:pPr>
        <w:pStyle w:val="FootnoteText"/>
        <w:rPr>
          <w:sz w:val="18"/>
          <w:szCs w:val="18"/>
          <w:u w:val="single"/>
        </w:rPr>
      </w:pPr>
      <w:r w:rsidRPr="00C766B8">
        <w:rPr>
          <w:sz w:val="18"/>
          <w:szCs w:val="18"/>
          <w:u w:val="single"/>
        </w:rPr>
        <w:t xml:space="preserve">Average BME Pay </w:t>
      </w:r>
      <w:r w:rsidRPr="00C766B8">
        <w:rPr>
          <w:sz w:val="18"/>
          <w:szCs w:val="18"/>
        </w:rPr>
        <w:t xml:space="preserve">  X 100 – 100 = Pay Gap%</w:t>
      </w:r>
    </w:p>
    <w:p w:rsidR="00A55E79" w:rsidRPr="00C766B8" w:rsidRDefault="00A55E79" w:rsidP="00351EAB">
      <w:pPr>
        <w:pStyle w:val="FootnoteText"/>
        <w:rPr>
          <w:sz w:val="18"/>
          <w:szCs w:val="18"/>
        </w:rPr>
      </w:pPr>
      <w:r>
        <w:rPr>
          <w:sz w:val="18"/>
          <w:szCs w:val="18"/>
        </w:rPr>
        <w:t>Average White Pay</w:t>
      </w:r>
    </w:p>
  </w:footnote>
  <w:footnote w:id="8">
    <w:p w:rsidR="00A55E79" w:rsidRDefault="00A55E79" w:rsidP="00351EAB">
      <w:pPr>
        <w:pStyle w:val="FootnoteText"/>
      </w:pPr>
      <w:r>
        <w:rPr>
          <w:rStyle w:val="FootnoteReference"/>
        </w:rPr>
        <w:footnoteRef/>
      </w:r>
      <w:r>
        <w:t xml:space="preserve"> </w:t>
      </w:r>
      <w:r w:rsidRPr="008A0A84">
        <w:rPr>
          <w:sz w:val="18"/>
          <w:szCs w:val="18"/>
        </w:rPr>
        <w:t xml:space="preserve">For an overview of the literature on men’s career progression in female-dominated occupations see Fagan and Norman (2013) “Men and gender equality: tackling gender segregation in family roles and in social care jobs” in F. Bettio et al. (ed) </w:t>
      </w:r>
      <w:r w:rsidRPr="008A0A84">
        <w:rPr>
          <w:sz w:val="18"/>
          <w:szCs w:val="18"/>
          <w:u w:val="single"/>
        </w:rPr>
        <w:t>Gender and the European Labour Market</w:t>
      </w:r>
      <w:r w:rsidRPr="008A0A84">
        <w:rPr>
          <w:sz w:val="18"/>
          <w:szCs w:val="18"/>
        </w:rPr>
        <w:t>, Routlegde.</w:t>
      </w:r>
    </w:p>
  </w:footnote>
  <w:footnote w:id="9">
    <w:p w:rsidR="00A55E79" w:rsidRPr="006172D9" w:rsidRDefault="00A55E79" w:rsidP="00A55E79">
      <w:pPr>
        <w:pStyle w:val="FootnoteText"/>
        <w:jc w:val="both"/>
        <w:rPr>
          <w:sz w:val="18"/>
          <w:szCs w:val="18"/>
        </w:rPr>
      </w:pPr>
      <w:r w:rsidRPr="006172D9">
        <w:rPr>
          <w:rStyle w:val="FootnoteReference"/>
          <w:sz w:val="18"/>
          <w:szCs w:val="18"/>
        </w:rPr>
        <w:footnoteRef/>
      </w:r>
      <w:r>
        <w:rPr>
          <w:sz w:val="18"/>
          <w:szCs w:val="18"/>
        </w:rPr>
        <w:t xml:space="preserve"> These barriers</w:t>
      </w:r>
      <w:r w:rsidRPr="006172D9">
        <w:rPr>
          <w:sz w:val="18"/>
          <w:szCs w:val="18"/>
        </w:rPr>
        <w:t xml:space="preserve"> include </w:t>
      </w:r>
      <w:r w:rsidRPr="007055BE">
        <w:rPr>
          <w:sz w:val="18"/>
          <w:szCs w:val="18"/>
        </w:rPr>
        <w:t>unlawful</w:t>
      </w:r>
      <w:r w:rsidRPr="006172D9">
        <w:rPr>
          <w:sz w:val="18"/>
          <w:szCs w:val="18"/>
        </w:rPr>
        <w:t xml:space="preserve"> discrimination, </w:t>
      </w:r>
      <w:r>
        <w:rPr>
          <w:sz w:val="18"/>
          <w:szCs w:val="18"/>
        </w:rPr>
        <w:t xml:space="preserve">as well as bullying/harassment </w:t>
      </w:r>
      <w:r w:rsidRPr="006172D9">
        <w:rPr>
          <w:sz w:val="18"/>
          <w:szCs w:val="18"/>
        </w:rPr>
        <w:t>as well as the wider aspects of social relationships and interactions</w:t>
      </w:r>
      <w:r>
        <w:rPr>
          <w:sz w:val="18"/>
          <w:szCs w:val="18"/>
        </w:rPr>
        <w:t xml:space="preserve"> </w:t>
      </w:r>
      <w:r w:rsidRPr="006172D9">
        <w:rPr>
          <w:rFonts w:eastAsia="Times New Roman" w:cs="Tahoma"/>
          <w:color w:val="000000"/>
          <w:sz w:val="18"/>
          <w:szCs w:val="18"/>
          <w:lang w:eastAsia="en-GB"/>
        </w:rPr>
        <w:t>(</w:t>
      </w:r>
      <w:r>
        <w:rPr>
          <w:rFonts w:eastAsia="Times New Roman" w:cs="Tahoma"/>
          <w:color w:val="000000"/>
          <w:sz w:val="18"/>
          <w:szCs w:val="18"/>
          <w:lang w:eastAsia="en-GB"/>
        </w:rPr>
        <w:t>discriminatory attitudes and unconscious bias among staff and students;  the way that work is arranged and workplace interactions take place due to our practices, habits and</w:t>
      </w:r>
      <w:r w:rsidRPr="006172D9">
        <w:rPr>
          <w:rFonts w:eastAsia="Times New Roman" w:cs="Tahoma"/>
          <w:color w:val="000000"/>
          <w:sz w:val="18"/>
          <w:szCs w:val="18"/>
          <w:lang w:eastAsia="en-GB"/>
        </w:rPr>
        <w:t xml:space="preserve"> norms</w:t>
      </w:r>
      <w:r>
        <w:rPr>
          <w:rFonts w:eastAsia="Times New Roman" w:cs="Tahoma"/>
          <w:color w:val="000000"/>
          <w:sz w:val="18"/>
          <w:szCs w:val="18"/>
          <w:lang w:eastAsia="en-GB"/>
        </w:rPr>
        <w:t xml:space="preserve"> or ‘ways of doing things’</w:t>
      </w:r>
      <w:r w:rsidRPr="006172D9">
        <w:rPr>
          <w:rFonts w:eastAsia="Times New Roman" w:cs="Tahoma"/>
          <w:color w:val="000000"/>
          <w:sz w:val="18"/>
          <w:szCs w:val="18"/>
          <w:lang w:eastAsia="en-GB"/>
        </w:rPr>
        <w:t>).</w:t>
      </w:r>
      <w:r>
        <w:rPr>
          <w:rFonts w:eastAsia="Times New Roman" w:cs="Tahoma"/>
          <w:color w:val="000000"/>
          <w:sz w:val="18"/>
          <w:szCs w:val="18"/>
          <w:lang w:eastAsia="en-GB"/>
        </w:rPr>
        <w:t xml:space="preserve"> Some indicators are available from t</w:t>
      </w:r>
      <w:r>
        <w:rPr>
          <w:sz w:val="18"/>
          <w:szCs w:val="18"/>
        </w:rPr>
        <w:t>he</w:t>
      </w:r>
      <w:r w:rsidRPr="006172D9">
        <w:rPr>
          <w:sz w:val="18"/>
          <w:szCs w:val="18"/>
        </w:rPr>
        <w:t xml:space="preserve"> </w:t>
      </w:r>
      <w:r>
        <w:rPr>
          <w:sz w:val="18"/>
          <w:szCs w:val="18"/>
        </w:rPr>
        <w:t>University Staff S</w:t>
      </w:r>
      <w:r w:rsidRPr="006172D9">
        <w:rPr>
          <w:sz w:val="18"/>
          <w:szCs w:val="18"/>
        </w:rPr>
        <w:t>urvey</w:t>
      </w:r>
      <w:r>
        <w:rPr>
          <w:sz w:val="18"/>
          <w:szCs w:val="18"/>
        </w:rPr>
        <w:t xml:space="preserve"> 2013. This survey</w:t>
      </w:r>
      <w:r w:rsidRPr="006172D9">
        <w:rPr>
          <w:sz w:val="18"/>
          <w:szCs w:val="18"/>
        </w:rPr>
        <w:t xml:space="preserve"> </w:t>
      </w:r>
      <w:r>
        <w:rPr>
          <w:sz w:val="18"/>
          <w:szCs w:val="18"/>
        </w:rPr>
        <w:t>recorded that 5</w:t>
      </w:r>
      <w:r w:rsidRPr="006172D9">
        <w:rPr>
          <w:sz w:val="18"/>
          <w:szCs w:val="18"/>
        </w:rPr>
        <w:t xml:space="preserve">% of staff </w:t>
      </w:r>
      <w:r>
        <w:rPr>
          <w:sz w:val="18"/>
          <w:szCs w:val="18"/>
        </w:rPr>
        <w:t xml:space="preserve">in Humanities (4% in the University overall) believe they are currently being bullied or harassed at work </w:t>
      </w:r>
      <w:r w:rsidRPr="006172D9">
        <w:rPr>
          <w:sz w:val="18"/>
          <w:szCs w:val="18"/>
        </w:rPr>
        <w:t>(which is on a par with the rate recorded in other surveys)</w:t>
      </w:r>
      <w:r>
        <w:rPr>
          <w:sz w:val="18"/>
          <w:szCs w:val="18"/>
        </w:rPr>
        <w:t xml:space="preserve">; and 14% (12% in the University overall) do </w:t>
      </w:r>
      <w:r w:rsidRPr="00D016DB">
        <w:rPr>
          <w:sz w:val="18"/>
          <w:szCs w:val="18"/>
          <w:u w:val="single"/>
        </w:rPr>
        <w:t>not</w:t>
      </w:r>
      <w:r>
        <w:rPr>
          <w:sz w:val="18"/>
          <w:szCs w:val="18"/>
        </w:rPr>
        <w:t xml:space="preserve"> believe that the University is committed to equality of opportunity for all staff.</w:t>
      </w:r>
    </w:p>
  </w:footnote>
  <w:footnote w:id="10">
    <w:p w:rsidR="00A55E79" w:rsidRDefault="00A55E79" w:rsidP="00A3500C">
      <w:pPr>
        <w:pStyle w:val="FootnoteText"/>
      </w:pPr>
      <w:r>
        <w:rPr>
          <w:rStyle w:val="FootnoteReference"/>
        </w:rPr>
        <w:footnoteRef/>
      </w:r>
      <w:r>
        <w:t xml:space="preserve"> For PSS staff and Faculty Admin. aspects of the data collection and analysis are not relevant.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62A" w:rsidRPr="00E6762A" w:rsidRDefault="00E6762A" w:rsidP="00E6762A">
    <w:pPr>
      <w:pStyle w:val="Header"/>
      <w:rPr>
        <w:b/>
      </w:rPr>
    </w:pPr>
    <w:r w:rsidRPr="00E6762A">
      <w:rPr>
        <w:b/>
      </w:rPr>
      <w:t>Appendix 1</w:t>
    </w:r>
  </w:p>
  <w:p w:rsidR="00A55E79" w:rsidRDefault="00A55E79" w:rsidP="00C966E7">
    <w:pPr>
      <w:pStyle w:val="Header"/>
      <w:jc w:val="right"/>
    </w:pPr>
    <w:r>
      <w:t>26 November 2014 AM/CF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B34"/>
    <w:multiLevelType w:val="hybridMultilevel"/>
    <w:tmpl w:val="14EE64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E55A60"/>
    <w:multiLevelType w:val="hybridMultilevel"/>
    <w:tmpl w:val="D032BF6A"/>
    <w:lvl w:ilvl="0" w:tplc="282098D6">
      <w:start w:val="4"/>
      <w:numFmt w:val="bullet"/>
      <w:lvlText w:val="•"/>
      <w:lvlJc w:val="left"/>
      <w:pPr>
        <w:ind w:left="360" w:hanging="360"/>
      </w:pPr>
      <w:rPr>
        <w:rFonts w:ascii="Calibri" w:eastAsia="Times New Roman" w:hAnsi="Calibri"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1B3A7C"/>
    <w:multiLevelType w:val="hybridMultilevel"/>
    <w:tmpl w:val="6F406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3B201B"/>
    <w:multiLevelType w:val="hybridMultilevel"/>
    <w:tmpl w:val="E32A84FA"/>
    <w:lvl w:ilvl="0" w:tplc="6A48ED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9A7938"/>
    <w:multiLevelType w:val="hybridMultilevel"/>
    <w:tmpl w:val="67963D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C3F0360"/>
    <w:multiLevelType w:val="hybridMultilevel"/>
    <w:tmpl w:val="64407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254378"/>
    <w:multiLevelType w:val="hybridMultilevel"/>
    <w:tmpl w:val="41502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941EF5"/>
    <w:multiLevelType w:val="hybridMultilevel"/>
    <w:tmpl w:val="065E81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904896"/>
    <w:multiLevelType w:val="hybridMultilevel"/>
    <w:tmpl w:val="439E97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B0412F9"/>
    <w:multiLevelType w:val="hybridMultilevel"/>
    <w:tmpl w:val="072EC57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35814"/>
    <w:multiLevelType w:val="hybridMultilevel"/>
    <w:tmpl w:val="635E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635CF7"/>
    <w:multiLevelType w:val="hybridMultilevel"/>
    <w:tmpl w:val="F25EC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4A63CB9"/>
    <w:multiLevelType w:val="hybridMultilevel"/>
    <w:tmpl w:val="AC3C2B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B76B81"/>
    <w:multiLevelType w:val="hybridMultilevel"/>
    <w:tmpl w:val="1FD8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150CDD"/>
    <w:multiLevelType w:val="multilevel"/>
    <w:tmpl w:val="F8544D2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7009FC"/>
    <w:multiLevelType w:val="hybridMultilevel"/>
    <w:tmpl w:val="94923E6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8E13DAE"/>
    <w:multiLevelType w:val="hybridMultilevel"/>
    <w:tmpl w:val="77020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1445C2"/>
    <w:multiLevelType w:val="hybridMultilevel"/>
    <w:tmpl w:val="720821EC"/>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8">
    <w:nsid w:val="3EB61F1E"/>
    <w:multiLevelType w:val="hybridMultilevel"/>
    <w:tmpl w:val="1A36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700AB9"/>
    <w:multiLevelType w:val="hybridMultilevel"/>
    <w:tmpl w:val="FBFA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D739B8"/>
    <w:multiLevelType w:val="hybridMultilevel"/>
    <w:tmpl w:val="02B075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6822A9C"/>
    <w:multiLevelType w:val="hybridMultilevel"/>
    <w:tmpl w:val="DD3E4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78D20C5"/>
    <w:multiLevelType w:val="hybridMultilevel"/>
    <w:tmpl w:val="A4028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A107B4A"/>
    <w:multiLevelType w:val="hybridMultilevel"/>
    <w:tmpl w:val="1C3E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182386"/>
    <w:multiLevelType w:val="hybridMultilevel"/>
    <w:tmpl w:val="02967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6B478A"/>
    <w:multiLevelType w:val="hybridMultilevel"/>
    <w:tmpl w:val="7DBAB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1F151B"/>
    <w:multiLevelType w:val="multilevel"/>
    <w:tmpl w:val="E578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C621EF"/>
    <w:multiLevelType w:val="hybridMultilevel"/>
    <w:tmpl w:val="108C4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EF1EDD"/>
    <w:multiLevelType w:val="hybridMultilevel"/>
    <w:tmpl w:val="E5EC4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B06942"/>
    <w:multiLevelType w:val="hybridMultilevel"/>
    <w:tmpl w:val="CC7A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792544A"/>
    <w:multiLevelType w:val="hybridMultilevel"/>
    <w:tmpl w:val="D0F6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8406504"/>
    <w:multiLevelType w:val="hybridMultilevel"/>
    <w:tmpl w:val="30EE62A8"/>
    <w:lvl w:ilvl="0" w:tplc="08090001">
      <w:start w:val="1"/>
      <w:numFmt w:val="bullet"/>
      <w:lvlText w:val=""/>
      <w:lvlJc w:val="left"/>
      <w:pPr>
        <w:ind w:left="375" w:hanging="360"/>
      </w:pPr>
      <w:rPr>
        <w:rFonts w:ascii="Symbol" w:hAnsi="Symbol" w:hint="default"/>
      </w:rPr>
    </w:lvl>
    <w:lvl w:ilvl="1" w:tplc="08090003">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32">
    <w:nsid w:val="627C683C"/>
    <w:multiLevelType w:val="hybridMultilevel"/>
    <w:tmpl w:val="ADA6250E"/>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4556D11"/>
    <w:multiLevelType w:val="hybridMultilevel"/>
    <w:tmpl w:val="0B9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48D5426"/>
    <w:multiLevelType w:val="hybridMultilevel"/>
    <w:tmpl w:val="7ABAD5CE"/>
    <w:lvl w:ilvl="0" w:tplc="08090001">
      <w:start w:val="1"/>
      <w:numFmt w:val="bullet"/>
      <w:lvlText w:val=""/>
      <w:lvlJc w:val="left"/>
      <w:pPr>
        <w:ind w:left="393" w:hanging="360"/>
      </w:pPr>
      <w:rPr>
        <w:rFonts w:ascii="Symbol" w:hAnsi="Symbol" w:hint="default"/>
      </w:rPr>
    </w:lvl>
    <w:lvl w:ilvl="1" w:tplc="08090003">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35">
    <w:nsid w:val="683B7474"/>
    <w:multiLevelType w:val="multilevel"/>
    <w:tmpl w:val="59E6451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6EAE65F9"/>
    <w:multiLevelType w:val="hybridMultilevel"/>
    <w:tmpl w:val="96FE2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9328CC"/>
    <w:multiLevelType w:val="hybridMultilevel"/>
    <w:tmpl w:val="AC1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485B8E"/>
    <w:multiLevelType w:val="hybridMultilevel"/>
    <w:tmpl w:val="4E520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2905E9B"/>
    <w:multiLevelType w:val="multilevel"/>
    <w:tmpl w:val="7AC696F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74471923"/>
    <w:multiLevelType w:val="multilevel"/>
    <w:tmpl w:val="F5A687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12618F"/>
    <w:multiLevelType w:val="hybridMultilevel"/>
    <w:tmpl w:val="8418F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95927CC"/>
    <w:multiLevelType w:val="hybridMultilevel"/>
    <w:tmpl w:val="0C5A2D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3">
    <w:nsid w:val="7C50647D"/>
    <w:multiLevelType w:val="hybridMultilevel"/>
    <w:tmpl w:val="D14C063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44">
    <w:nsid w:val="7EDE6FD7"/>
    <w:multiLevelType w:val="hybridMultilevel"/>
    <w:tmpl w:val="96249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9"/>
  </w:num>
  <w:num w:numId="2">
    <w:abstractNumId w:val="22"/>
  </w:num>
  <w:num w:numId="3">
    <w:abstractNumId w:val="4"/>
  </w:num>
  <w:num w:numId="4">
    <w:abstractNumId w:val="37"/>
  </w:num>
  <w:num w:numId="5">
    <w:abstractNumId w:val="2"/>
  </w:num>
  <w:num w:numId="6">
    <w:abstractNumId w:val="9"/>
  </w:num>
  <w:num w:numId="7">
    <w:abstractNumId w:val="15"/>
  </w:num>
  <w:num w:numId="8">
    <w:abstractNumId w:val="24"/>
  </w:num>
  <w:num w:numId="9">
    <w:abstractNumId w:val="32"/>
  </w:num>
  <w:num w:numId="10">
    <w:abstractNumId w:val="31"/>
  </w:num>
  <w:num w:numId="11">
    <w:abstractNumId w:val="30"/>
  </w:num>
  <w:num w:numId="12">
    <w:abstractNumId w:val="13"/>
  </w:num>
  <w:num w:numId="13">
    <w:abstractNumId w:val="11"/>
  </w:num>
  <w:num w:numId="14">
    <w:abstractNumId w:val="35"/>
  </w:num>
  <w:num w:numId="15">
    <w:abstractNumId w:val="23"/>
  </w:num>
  <w:num w:numId="16">
    <w:abstractNumId w:val="25"/>
  </w:num>
  <w:num w:numId="17">
    <w:abstractNumId w:val="14"/>
  </w:num>
  <w:num w:numId="18">
    <w:abstractNumId w:val="38"/>
  </w:num>
  <w:num w:numId="19">
    <w:abstractNumId w:val="26"/>
  </w:num>
  <w:num w:numId="20">
    <w:abstractNumId w:val="19"/>
  </w:num>
  <w:num w:numId="21">
    <w:abstractNumId w:val="0"/>
  </w:num>
  <w:num w:numId="22">
    <w:abstractNumId w:val="10"/>
  </w:num>
  <w:num w:numId="23">
    <w:abstractNumId w:val="43"/>
  </w:num>
  <w:num w:numId="24">
    <w:abstractNumId w:val="17"/>
  </w:num>
  <w:num w:numId="25">
    <w:abstractNumId w:val="34"/>
  </w:num>
  <w:num w:numId="26">
    <w:abstractNumId w:val="36"/>
  </w:num>
  <w:num w:numId="27">
    <w:abstractNumId w:val="16"/>
  </w:num>
  <w:num w:numId="28">
    <w:abstractNumId w:val="7"/>
  </w:num>
  <w:num w:numId="29">
    <w:abstractNumId w:val="27"/>
  </w:num>
  <w:num w:numId="30">
    <w:abstractNumId w:val="3"/>
  </w:num>
  <w:num w:numId="31">
    <w:abstractNumId w:val="1"/>
  </w:num>
  <w:num w:numId="32">
    <w:abstractNumId w:val="8"/>
  </w:num>
  <w:num w:numId="33">
    <w:abstractNumId w:val="21"/>
  </w:num>
  <w:num w:numId="34">
    <w:abstractNumId w:val="6"/>
  </w:num>
  <w:num w:numId="35">
    <w:abstractNumId w:val="44"/>
  </w:num>
  <w:num w:numId="36">
    <w:abstractNumId w:val="5"/>
  </w:num>
  <w:num w:numId="37">
    <w:abstractNumId w:val="40"/>
  </w:num>
  <w:num w:numId="38">
    <w:abstractNumId w:val="28"/>
  </w:num>
  <w:num w:numId="39">
    <w:abstractNumId w:val="42"/>
  </w:num>
  <w:num w:numId="40">
    <w:abstractNumId w:val="33"/>
  </w:num>
  <w:num w:numId="41">
    <w:abstractNumId w:val="41"/>
  </w:num>
  <w:num w:numId="42">
    <w:abstractNumId w:val="29"/>
  </w:num>
  <w:num w:numId="43">
    <w:abstractNumId w:val="12"/>
  </w:num>
  <w:num w:numId="44">
    <w:abstractNumId w:val="20"/>
  </w:num>
  <w:num w:numId="45">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AB"/>
    <w:rsid w:val="00010A2A"/>
    <w:rsid w:val="0005179F"/>
    <w:rsid w:val="000726D6"/>
    <w:rsid w:val="000751CC"/>
    <w:rsid w:val="000852D0"/>
    <w:rsid w:val="00087694"/>
    <w:rsid w:val="00091365"/>
    <w:rsid w:val="000B043B"/>
    <w:rsid w:val="000B3E74"/>
    <w:rsid w:val="000C737D"/>
    <w:rsid w:val="000E0A13"/>
    <w:rsid w:val="000F52A6"/>
    <w:rsid w:val="001106ED"/>
    <w:rsid w:val="00114F7E"/>
    <w:rsid w:val="00142989"/>
    <w:rsid w:val="00143347"/>
    <w:rsid w:val="00152562"/>
    <w:rsid w:val="00171A58"/>
    <w:rsid w:val="00193798"/>
    <w:rsid w:val="001A2859"/>
    <w:rsid w:val="001B70EF"/>
    <w:rsid w:val="001E186C"/>
    <w:rsid w:val="0024298D"/>
    <w:rsid w:val="00246EC4"/>
    <w:rsid w:val="00252D3E"/>
    <w:rsid w:val="0026716F"/>
    <w:rsid w:val="002B0182"/>
    <w:rsid w:val="002D2A46"/>
    <w:rsid w:val="00310F8B"/>
    <w:rsid w:val="00311D1B"/>
    <w:rsid w:val="0033323E"/>
    <w:rsid w:val="00351EAB"/>
    <w:rsid w:val="00371EFA"/>
    <w:rsid w:val="00374D6E"/>
    <w:rsid w:val="00377853"/>
    <w:rsid w:val="003A1CD7"/>
    <w:rsid w:val="003A22D9"/>
    <w:rsid w:val="003C3212"/>
    <w:rsid w:val="003C47C7"/>
    <w:rsid w:val="003D0B72"/>
    <w:rsid w:val="003E3CFE"/>
    <w:rsid w:val="003E620D"/>
    <w:rsid w:val="003F4E27"/>
    <w:rsid w:val="00402899"/>
    <w:rsid w:val="00426DA1"/>
    <w:rsid w:val="0043685C"/>
    <w:rsid w:val="004A71A0"/>
    <w:rsid w:val="004C38AB"/>
    <w:rsid w:val="004F2862"/>
    <w:rsid w:val="00511AB2"/>
    <w:rsid w:val="005474BC"/>
    <w:rsid w:val="005977D1"/>
    <w:rsid w:val="005B4E56"/>
    <w:rsid w:val="005B6EEC"/>
    <w:rsid w:val="005D067E"/>
    <w:rsid w:val="005E5412"/>
    <w:rsid w:val="005F4C4A"/>
    <w:rsid w:val="00601762"/>
    <w:rsid w:val="00602496"/>
    <w:rsid w:val="006043FC"/>
    <w:rsid w:val="00640EB3"/>
    <w:rsid w:val="006601FD"/>
    <w:rsid w:val="006A4212"/>
    <w:rsid w:val="006B7A3D"/>
    <w:rsid w:val="006D0E56"/>
    <w:rsid w:val="006E2934"/>
    <w:rsid w:val="006E544B"/>
    <w:rsid w:val="006F7668"/>
    <w:rsid w:val="00700442"/>
    <w:rsid w:val="0072780E"/>
    <w:rsid w:val="00744B05"/>
    <w:rsid w:val="007506B2"/>
    <w:rsid w:val="007A0F07"/>
    <w:rsid w:val="007D432D"/>
    <w:rsid w:val="007E5391"/>
    <w:rsid w:val="007E5B6F"/>
    <w:rsid w:val="00800B9A"/>
    <w:rsid w:val="00835AF9"/>
    <w:rsid w:val="0083630F"/>
    <w:rsid w:val="008A22C6"/>
    <w:rsid w:val="008B42A2"/>
    <w:rsid w:val="008C3D25"/>
    <w:rsid w:val="008E37BF"/>
    <w:rsid w:val="008E5EF8"/>
    <w:rsid w:val="009051CF"/>
    <w:rsid w:val="0091209B"/>
    <w:rsid w:val="00926A7B"/>
    <w:rsid w:val="009630DB"/>
    <w:rsid w:val="00980C91"/>
    <w:rsid w:val="00991DAD"/>
    <w:rsid w:val="009D181F"/>
    <w:rsid w:val="009E240C"/>
    <w:rsid w:val="009F3534"/>
    <w:rsid w:val="00A1544D"/>
    <w:rsid w:val="00A1726B"/>
    <w:rsid w:val="00A2403D"/>
    <w:rsid w:val="00A32100"/>
    <w:rsid w:val="00A32616"/>
    <w:rsid w:val="00A32750"/>
    <w:rsid w:val="00A33B15"/>
    <w:rsid w:val="00A3500C"/>
    <w:rsid w:val="00A35121"/>
    <w:rsid w:val="00A3691C"/>
    <w:rsid w:val="00A40116"/>
    <w:rsid w:val="00A40C6F"/>
    <w:rsid w:val="00A43934"/>
    <w:rsid w:val="00A53F81"/>
    <w:rsid w:val="00A55E79"/>
    <w:rsid w:val="00A56235"/>
    <w:rsid w:val="00A6779B"/>
    <w:rsid w:val="00A937B3"/>
    <w:rsid w:val="00AA7CA9"/>
    <w:rsid w:val="00AC49FB"/>
    <w:rsid w:val="00AF71A8"/>
    <w:rsid w:val="00B0156B"/>
    <w:rsid w:val="00B03C23"/>
    <w:rsid w:val="00B03F1A"/>
    <w:rsid w:val="00B254A7"/>
    <w:rsid w:val="00B27B49"/>
    <w:rsid w:val="00B402FC"/>
    <w:rsid w:val="00B56CA1"/>
    <w:rsid w:val="00B66054"/>
    <w:rsid w:val="00B77F51"/>
    <w:rsid w:val="00B93FDA"/>
    <w:rsid w:val="00B95A49"/>
    <w:rsid w:val="00BC468A"/>
    <w:rsid w:val="00BC67B8"/>
    <w:rsid w:val="00BF0884"/>
    <w:rsid w:val="00BF1DBD"/>
    <w:rsid w:val="00C1379D"/>
    <w:rsid w:val="00C1793D"/>
    <w:rsid w:val="00C22675"/>
    <w:rsid w:val="00C228FA"/>
    <w:rsid w:val="00C62D5B"/>
    <w:rsid w:val="00C718D5"/>
    <w:rsid w:val="00C94088"/>
    <w:rsid w:val="00C966E7"/>
    <w:rsid w:val="00CD1809"/>
    <w:rsid w:val="00CD2A9C"/>
    <w:rsid w:val="00CE19B4"/>
    <w:rsid w:val="00D037EA"/>
    <w:rsid w:val="00D057ED"/>
    <w:rsid w:val="00D0741E"/>
    <w:rsid w:val="00D2326E"/>
    <w:rsid w:val="00D36247"/>
    <w:rsid w:val="00D630E6"/>
    <w:rsid w:val="00DA5377"/>
    <w:rsid w:val="00DB2ED5"/>
    <w:rsid w:val="00DB671D"/>
    <w:rsid w:val="00DE5A30"/>
    <w:rsid w:val="00DF5F30"/>
    <w:rsid w:val="00E06CED"/>
    <w:rsid w:val="00E1301A"/>
    <w:rsid w:val="00E34120"/>
    <w:rsid w:val="00E3644F"/>
    <w:rsid w:val="00E3656F"/>
    <w:rsid w:val="00E40CB7"/>
    <w:rsid w:val="00E445FA"/>
    <w:rsid w:val="00E60686"/>
    <w:rsid w:val="00E6762A"/>
    <w:rsid w:val="00E83BF3"/>
    <w:rsid w:val="00E87F48"/>
    <w:rsid w:val="00E93A70"/>
    <w:rsid w:val="00EA0050"/>
    <w:rsid w:val="00EB6826"/>
    <w:rsid w:val="00F26411"/>
    <w:rsid w:val="00F52596"/>
    <w:rsid w:val="00F56086"/>
    <w:rsid w:val="00F75C19"/>
    <w:rsid w:val="00F84414"/>
    <w:rsid w:val="00FA6B87"/>
    <w:rsid w:val="00FC4BEA"/>
    <w:rsid w:val="00FD480E"/>
    <w:rsid w:val="00FD55BB"/>
    <w:rsid w:val="00FE3696"/>
    <w:rsid w:val="00FF0029"/>
    <w:rsid w:val="00FF009A"/>
    <w:rsid w:val="00FF1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EAB"/>
  </w:style>
  <w:style w:type="paragraph" w:styleId="Footer">
    <w:name w:val="footer"/>
    <w:basedOn w:val="Normal"/>
    <w:link w:val="FooterChar"/>
    <w:uiPriority w:val="99"/>
    <w:unhideWhenUsed/>
    <w:rsid w:val="0035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EAB"/>
  </w:style>
  <w:style w:type="numbering" w:customStyle="1" w:styleId="NoList1">
    <w:name w:val="No List1"/>
    <w:next w:val="NoList"/>
    <w:uiPriority w:val="99"/>
    <w:semiHidden/>
    <w:unhideWhenUsed/>
    <w:rsid w:val="00351EAB"/>
  </w:style>
  <w:style w:type="paragraph" w:styleId="ListParagraph">
    <w:name w:val="List Paragraph"/>
    <w:basedOn w:val="Normal"/>
    <w:uiPriority w:val="34"/>
    <w:qFormat/>
    <w:rsid w:val="00351EAB"/>
    <w:pPr>
      <w:ind w:left="720"/>
      <w:contextualSpacing/>
    </w:pPr>
  </w:style>
  <w:style w:type="character" w:customStyle="1" w:styleId="apple-converted-space">
    <w:name w:val="apple-converted-space"/>
    <w:basedOn w:val="DefaultParagraphFont"/>
    <w:rsid w:val="00351EAB"/>
  </w:style>
  <w:style w:type="character" w:styleId="Hyperlink">
    <w:name w:val="Hyperlink"/>
    <w:basedOn w:val="DefaultParagraphFont"/>
    <w:uiPriority w:val="99"/>
    <w:unhideWhenUsed/>
    <w:rsid w:val="00351EAB"/>
    <w:rPr>
      <w:color w:val="0000FF"/>
      <w:u w:val="single"/>
    </w:rPr>
  </w:style>
  <w:style w:type="paragraph" w:styleId="FootnoteText">
    <w:name w:val="footnote text"/>
    <w:basedOn w:val="Normal"/>
    <w:link w:val="FootnoteTextChar"/>
    <w:uiPriority w:val="99"/>
    <w:semiHidden/>
    <w:unhideWhenUsed/>
    <w:rsid w:val="00351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EAB"/>
    <w:rPr>
      <w:sz w:val="20"/>
      <w:szCs w:val="20"/>
    </w:rPr>
  </w:style>
  <w:style w:type="character" w:styleId="FootnoteReference">
    <w:name w:val="footnote reference"/>
    <w:basedOn w:val="DefaultParagraphFont"/>
    <w:uiPriority w:val="99"/>
    <w:semiHidden/>
    <w:unhideWhenUsed/>
    <w:rsid w:val="00351EAB"/>
    <w:rPr>
      <w:vertAlign w:val="superscript"/>
    </w:rPr>
  </w:style>
  <w:style w:type="paragraph" w:styleId="NoSpacing">
    <w:name w:val="No Spacing"/>
    <w:uiPriority w:val="1"/>
    <w:qFormat/>
    <w:rsid w:val="00351EAB"/>
    <w:pPr>
      <w:spacing w:after="0" w:line="240" w:lineRule="auto"/>
    </w:pPr>
  </w:style>
  <w:style w:type="table" w:styleId="TableGrid">
    <w:name w:val="Table Grid"/>
    <w:basedOn w:val="TableNormal"/>
    <w:uiPriority w:val="99"/>
    <w:rsid w:val="00351E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EAB"/>
    <w:rPr>
      <w:sz w:val="16"/>
      <w:szCs w:val="16"/>
    </w:rPr>
  </w:style>
  <w:style w:type="paragraph" w:styleId="CommentText">
    <w:name w:val="annotation text"/>
    <w:basedOn w:val="Normal"/>
    <w:link w:val="CommentTextChar"/>
    <w:uiPriority w:val="99"/>
    <w:semiHidden/>
    <w:unhideWhenUsed/>
    <w:rsid w:val="00351EAB"/>
    <w:pPr>
      <w:spacing w:line="240" w:lineRule="auto"/>
    </w:pPr>
    <w:rPr>
      <w:sz w:val="20"/>
      <w:szCs w:val="20"/>
    </w:rPr>
  </w:style>
  <w:style w:type="character" w:customStyle="1" w:styleId="CommentTextChar">
    <w:name w:val="Comment Text Char"/>
    <w:basedOn w:val="DefaultParagraphFont"/>
    <w:link w:val="CommentText"/>
    <w:uiPriority w:val="99"/>
    <w:semiHidden/>
    <w:rsid w:val="00351EAB"/>
    <w:rPr>
      <w:sz w:val="20"/>
      <w:szCs w:val="20"/>
    </w:rPr>
  </w:style>
  <w:style w:type="paragraph" w:styleId="CommentSubject">
    <w:name w:val="annotation subject"/>
    <w:basedOn w:val="CommentText"/>
    <w:next w:val="CommentText"/>
    <w:link w:val="CommentSubjectChar"/>
    <w:uiPriority w:val="99"/>
    <w:semiHidden/>
    <w:unhideWhenUsed/>
    <w:rsid w:val="00351EAB"/>
    <w:rPr>
      <w:b/>
      <w:bCs/>
    </w:rPr>
  </w:style>
  <w:style w:type="character" w:customStyle="1" w:styleId="CommentSubjectChar">
    <w:name w:val="Comment Subject Char"/>
    <w:basedOn w:val="CommentTextChar"/>
    <w:link w:val="CommentSubject"/>
    <w:uiPriority w:val="99"/>
    <w:semiHidden/>
    <w:rsid w:val="00351EAB"/>
    <w:rPr>
      <w:b/>
      <w:bCs/>
      <w:sz w:val="20"/>
      <w:szCs w:val="20"/>
    </w:rPr>
  </w:style>
  <w:style w:type="paragraph" w:styleId="BalloonText">
    <w:name w:val="Balloon Text"/>
    <w:basedOn w:val="Normal"/>
    <w:link w:val="BalloonTextChar"/>
    <w:uiPriority w:val="99"/>
    <w:semiHidden/>
    <w:unhideWhenUsed/>
    <w:rsid w:val="0035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AB"/>
    <w:rPr>
      <w:rFonts w:ascii="Tahoma" w:hAnsi="Tahoma" w:cs="Tahoma"/>
      <w:sz w:val="16"/>
      <w:szCs w:val="16"/>
    </w:rPr>
  </w:style>
  <w:style w:type="paragraph" w:styleId="PlainText">
    <w:name w:val="Plain Text"/>
    <w:basedOn w:val="Normal"/>
    <w:link w:val="PlainTextChar"/>
    <w:uiPriority w:val="99"/>
    <w:unhideWhenUsed/>
    <w:rsid w:val="00351EAB"/>
    <w:pPr>
      <w:spacing w:after="0" w:line="240" w:lineRule="auto"/>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351EAB"/>
    <w:rPr>
      <w:rFonts w:ascii="Consolas" w:eastAsia="SimSun" w:hAnsi="Consolas" w:cs="Arial"/>
      <w:sz w:val="21"/>
      <w:szCs w:val="21"/>
      <w:lang w:eastAsia="zh-CN"/>
    </w:rPr>
  </w:style>
  <w:style w:type="character" w:styleId="FollowedHyperlink">
    <w:name w:val="FollowedHyperlink"/>
    <w:basedOn w:val="DefaultParagraphFont"/>
    <w:uiPriority w:val="99"/>
    <w:semiHidden/>
    <w:unhideWhenUsed/>
    <w:rsid w:val="00351EAB"/>
    <w:rPr>
      <w:color w:val="800080" w:themeColor="followedHyperlink"/>
      <w:u w:val="single"/>
    </w:rPr>
  </w:style>
  <w:style w:type="character" w:customStyle="1" w:styleId="Heading1Char">
    <w:name w:val="Heading 1 Char"/>
    <w:basedOn w:val="DefaultParagraphFont"/>
    <w:link w:val="Heading1"/>
    <w:uiPriority w:val="9"/>
    <w:rsid w:val="00A1726B"/>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A3500C"/>
  </w:style>
  <w:style w:type="paragraph" w:styleId="TOCHeading">
    <w:name w:val="TOC Heading"/>
    <w:basedOn w:val="Heading1"/>
    <w:next w:val="Normal"/>
    <w:uiPriority w:val="39"/>
    <w:semiHidden/>
    <w:unhideWhenUsed/>
    <w:qFormat/>
    <w:rsid w:val="000F52A6"/>
    <w:pPr>
      <w:outlineLvl w:val="9"/>
    </w:pPr>
    <w:rPr>
      <w:lang w:val="en-US" w:eastAsia="ja-JP"/>
    </w:rPr>
  </w:style>
  <w:style w:type="paragraph" w:styleId="TOC2">
    <w:name w:val="toc 2"/>
    <w:basedOn w:val="Normal"/>
    <w:next w:val="Normal"/>
    <w:autoRedefine/>
    <w:uiPriority w:val="39"/>
    <w:unhideWhenUsed/>
    <w:qFormat/>
    <w:rsid w:val="000F52A6"/>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0F52A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0F52A6"/>
    <w:pPr>
      <w:spacing w:after="100"/>
      <w:ind w:left="440"/>
    </w:pPr>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7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EAB"/>
  </w:style>
  <w:style w:type="paragraph" w:styleId="Footer">
    <w:name w:val="footer"/>
    <w:basedOn w:val="Normal"/>
    <w:link w:val="FooterChar"/>
    <w:uiPriority w:val="99"/>
    <w:unhideWhenUsed/>
    <w:rsid w:val="0035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EAB"/>
  </w:style>
  <w:style w:type="numbering" w:customStyle="1" w:styleId="NoList1">
    <w:name w:val="No List1"/>
    <w:next w:val="NoList"/>
    <w:uiPriority w:val="99"/>
    <w:semiHidden/>
    <w:unhideWhenUsed/>
    <w:rsid w:val="00351EAB"/>
  </w:style>
  <w:style w:type="paragraph" w:styleId="ListParagraph">
    <w:name w:val="List Paragraph"/>
    <w:basedOn w:val="Normal"/>
    <w:uiPriority w:val="34"/>
    <w:qFormat/>
    <w:rsid w:val="00351EAB"/>
    <w:pPr>
      <w:ind w:left="720"/>
      <w:contextualSpacing/>
    </w:pPr>
  </w:style>
  <w:style w:type="character" w:customStyle="1" w:styleId="apple-converted-space">
    <w:name w:val="apple-converted-space"/>
    <w:basedOn w:val="DefaultParagraphFont"/>
    <w:rsid w:val="00351EAB"/>
  </w:style>
  <w:style w:type="character" w:styleId="Hyperlink">
    <w:name w:val="Hyperlink"/>
    <w:basedOn w:val="DefaultParagraphFont"/>
    <w:uiPriority w:val="99"/>
    <w:unhideWhenUsed/>
    <w:rsid w:val="00351EAB"/>
    <w:rPr>
      <w:color w:val="0000FF"/>
      <w:u w:val="single"/>
    </w:rPr>
  </w:style>
  <w:style w:type="paragraph" w:styleId="FootnoteText">
    <w:name w:val="footnote text"/>
    <w:basedOn w:val="Normal"/>
    <w:link w:val="FootnoteTextChar"/>
    <w:uiPriority w:val="99"/>
    <w:semiHidden/>
    <w:unhideWhenUsed/>
    <w:rsid w:val="00351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EAB"/>
    <w:rPr>
      <w:sz w:val="20"/>
      <w:szCs w:val="20"/>
    </w:rPr>
  </w:style>
  <w:style w:type="character" w:styleId="FootnoteReference">
    <w:name w:val="footnote reference"/>
    <w:basedOn w:val="DefaultParagraphFont"/>
    <w:uiPriority w:val="99"/>
    <w:semiHidden/>
    <w:unhideWhenUsed/>
    <w:rsid w:val="00351EAB"/>
    <w:rPr>
      <w:vertAlign w:val="superscript"/>
    </w:rPr>
  </w:style>
  <w:style w:type="paragraph" w:styleId="NoSpacing">
    <w:name w:val="No Spacing"/>
    <w:uiPriority w:val="1"/>
    <w:qFormat/>
    <w:rsid w:val="00351EAB"/>
    <w:pPr>
      <w:spacing w:after="0" w:line="240" w:lineRule="auto"/>
    </w:pPr>
  </w:style>
  <w:style w:type="table" w:styleId="TableGrid">
    <w:name w:val="Table Grid"/>
    <w:basedOn w:val="TableNormal"/>
    <w:uiPriority w:val="99"/>
    <w:rsid w:val="00351E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51EAB"/>
    <w:rPr>
      <w:sz w:val="16"/>
      <w:szCs w:val="16"/>
    </w:rPr>
  </w:style>
  <w:style w:type="paragraph" w:styleId="CommentText">
    <w:name w:val="annotation text"/>
    <w:basedOn w:val="Normal"/>
    <w:link w:val="CommentTextChar"/>
    <w:uiPriority w:val="99"/>
    <w:semiHidden/>
    <w:unhideWhenUsed/>
    <w:rsid w:val="00351EAB"/>
    <w:pPr>
      <w:spacing w:line="240" w:lineRule="auto"/>
    </w:pPr>
    <w:rPr>
      <w:sz w:val="20"/>
      <w:szCs w:val="20"/>
    </w:rPr>
  </w:style>
  <w:style w:type="character" w:customStyle="1" w:styleId="CommentTextChar">
    <w:name w:val="Comment Text Char"/>
    <w:basedOn w:val="DefaultParagraphFont"/>
    <w:link w:val="CommentText"/>
    <w:uiPriority w:val="99"/>
    <w:semiHidden/>
    <w:rsid w:val="00351EAB"/>
    <w:rPr>
      <w:sz w:val="20"/>
      <w:szCs w:val="20"/>
    </w:rPr>
  </w:style>
  <w:style w:type="paragraph" w:styleId="CommentSubject">
    <w:name w:val="annotation subject"/>
    <w:basedOn w:val="CommentText"/>
    <w:next w:val="CommentText"/>
    <w:link w:val="CommentSubjectChar"/>
    <w:uiPriority w:val="99"/>
    <w:semiHidden/>
    <w:unhideWhenUsed/>
    <w:rsid w:val="00351EAB"/>
    <w:rPr>
      <w:b/>
      <w:bCs/>
    </w:rPr>
  </w:style>
  <w:style w:type="character" w:customStyle="1" w:styleId="CommentSubjectChar">
    <w:name w:val="Comment Subject Char"/>
    <w:basedOn w:val="CommentTextChar"/>
    <w:link w:val="CommentSubject"/>
    <w:uiPriority w:val="99"/>
    <w:semiHidden/>
    <w:rsid w:val="00351EAB"/>
    <w:rPr>
      <w:b/>
      <w:bCs/>
      <w:sz w:val="20"/>
      <w:szCs w:val="20"/>
    </w:rPr>
  </w:style>
  <w:style w:type="paragraph" w:styleId="BalloonText">
    <w:name w:val="Balloon Text"/>
    <w:basedOn w:val="Normal"/>
    <w:link w:val="BalloonTextChar"/>
    <w:uiPriority w:val="99"/>
    <w:semiHidden/>
    <w:unhideWhenUsed/>
    <w:rsid w:val="00351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EAB"/>
    <w:rPr>
      <w:rFonts w:ascii="Tahoma" w:hAnsi="Tahoma" w:cs="Tahoma"/>
      <w:sz w:val="16"/>
      <w:szCs w:val="16"/>
    </w:rPr>
  </w:style>
  <w:style w:type="paragraph" w:styleId="PlainText">
    <w:name w:val="Plain Text"/>
    <w:basedOn w:val="Normal"/>
    <w:link w:val="PlainTextChar"/>
    <w:uiPriority w:val="99"/>
    <w:unhideWhenUsed/>
    <w:rsid w:val="00351EAB"/>
    <w:pPr>
      <w:spacing w:after="0" w:line="240" w:lineRule="auto"/>
    </w:pPr>
    <w:rPr>
      <w:rFonts w:ascii="Consolas" w:eastAsia="SimSun" w:hAnsi="Consolas" w:cs="Arial"/>
      <w:sz w:val="21"/>
      <w:szCs w:val="21"/>
      <w:lang w:eastAsia="zh-CN"/>
    </w:rPr>
  </w:style>
  <w:style w:type="character" w:customStyle="1" w:styleId="PlainTextChar">
    <w:name w:val="Plain Text Char"/>
    <w:basedOn w:val="DefaultParagraphFont"/>
    <w:link w:val="PlainText"/>
    <w:uiPriority w:val="99"/>
    <w:rsid w:val="00351EAB"/>
    <w:rPr>
      <w:rFonts w:ascii="Consolas" w:eastAsia="SimSun" w:hAnsi="Consolas" w:cs="Arial"/>
      <w:sz w:val="21"/>
      <w:szCs w:val="21"/>
      <w:lang w:eastAsia="zh-CN"/>
    </w:rPr>
  </w:style>
  <w:style w:type="character" w:styleId="FollowedHyperlink">
    <w:name w:val="FollowedHyperlink"/>
    <w:basedOn w:val="DefaultParagraphFont"/>
    <w:uiPriority w:val="99"/>
    <w:semiHidden/>
    <w:unhideWhenUsed/>
    <w:rsid w:val="00351EAB"/>
    <w:rPr>
      <w:color w:val="800080" w:themeColor="followedHyperlink"/>
      <w:u w:val="single"/>
    </w:rPr>
  </w:style>
  <w:style w:type="character" w:customStyle="1" w:styleId="Heading1Char">
    <w:name w:val="Heading 1 Char"/>
    <w:basedOn w:val="DefaultParagraphFont"/>
    <w:link w:val="Heading1"/>
    <w:uiPriority w:val="9"/>
    <w:rsid w:val="00A1726B"/>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A3500C"/>
  </w:style>
  <w:style w:type="paragraph" w:styleId="TOCHeading">
    <w:name w:val="TOC Heading"/>
    <w:basedOn w:val="Heading1"/>
    <w:next w:val="Normal"/>
    <w:uiPriority w:val="39"/>
    <w:semiHidden/>
    <w:unhideWhenUsed/>
    <w:qFormat/>
    <w:rsid w:val="000F52A6"/>
    <w:pPr>
      <w:outlineLvl w:val="9"/>
    </w:pPr>
    <w:rPr>
      <w:lang w:val="en-US" w:eastAsia="ja-JP"/>
    </w:rPr>
  </w:style>
  <w:style w:type="paragraph" w:styleId="TOC2">
    <w:name w:val="toc 2"/>
    <w:basedOn w:val="Normal"/>
    <w:next w:val="Normal"/>
    <w:autoRedefine/>
    <w:uiPriority w:val="39"/>
    <w:unhideWhenUsed/>
    <w:qFormat/>
    <w:rsid w:val="000F52A6"/>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0F52A6"/>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0F52A6"/>
    <w:pPr>
      <w:spacing w:after="100"/>
      <w:ind w:left="44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8396">
      <w:bodyDiv w:val="1"/>
      <w:marLeft w:val="0"/>
      <w:marRight w:val="0"/>
      <w:marTop w:val="0"/>
      <w:marBottom w:val="0"/>
      <w:divBdr>
        <w:top w:val="none" w:sz="0" w:space="0" w:color="auto"/>
        <w:left w:val="none" w:sz="0" w:space="0" w:color="auto"/>
        <w:bottom w:val="none" w:sz="0" w:space="0" w:color="auto"/>
        <w:right w:val="none" w:sz="0" w:space="0" w:color="auto"/>
      </w:divBdr>
    </w:div>
    <w:div w:id="954407623">
      <w:bodyDiv w:val="1"/>
      <w:marLeft w:val="0"/>
      <w:marRight w:val="0"/>
      <w:marTop w:val="0"/>
      <w:marBottom w:val="0"/>
      <w:divBdr>
        <w:top w:val="none" w:sz="0" w:space="0" w:color="auto"/>
        <w:left w:val="none" w:sz="0" w:space="0" w:color="auto"/>
        <w:bottom w:val="none" w:sz="0" w:space="0" w:color="auto"/>
        <w:right w:val="none" w:sz="0" w:space="0" w:color="auto"/>
      </w:divBdr>
    </w:div>
    <w:div w:id="1534152304">
      <w:bodyDiv w:val="1"/>
      <w:marLeft w:val="0"/>
      <w:marRight w:val="0"/>
      <w:marTop w:val="0"/>
      <w:marBottom w:val="0"/>
      <w:divBdr>
        <w:top w:val="none" w:sz="0" w:space="0" w:color="auto"/>
        <w:left w:val="none" w:sz="0" w:space="0" w:color="auto"/>
        <w:bottom w:val="none" w:sz="0" w:space="0" w:color="auto"/>
        <w:right w:val="none" w:sz="0" w:space="0" w:color="auto"/>
      </w:divBdr>
    </w:div>
    <w:div w:id="1778216330">
      <w:bodyDiv w:val="1"/>
      <w:marLeft w:val="0"/>
      <w:marRight w:val="0"/>
      <w:marTop w:val="0"/>
      <w:marBottom w:val="0"/>
      <w:divBdr>
        <w:top w:val="none" w:sz="0" w:space="0" w:color="auto"/>
        <w:left w:val="none" w:sz="0" w:space="0" w:color="auto"/>
        <w:bottom w:val="none" w:sz="0" w:space="0" w:color="auto"/>
        <w:right w:val="none" w:sz="0" w:space="0" w:color="auto"/>
      </w:divBdr>
    </w:div>
    <w:div w:id="200238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manchester.ac.uk/DocuInfo.aspx?DocID=11" TargetMode="External"/><Relationship Id="rId18" Type="http://schemas.openxmlformats.org/officeDocument/2006/relationships/hyperlink" Target="http://documents.manchester.ac.uk/DocuInfo.aspx?DocID=477" TargetMode="External"/><Relationship Id="rId26" Type="http://schemas.openxmlformats.org/officeDocument/2006/relationships/hyperlink" Target="http://documents.manchester.ac.uk/DocuInfo.aspx?DocID=481" TargetMode="External"/><Relationship Id="rId39" Type="http://schemas.openxmlformats.org/officeDocument/2006/relationships/hyperlink" Target="http://documents.manchester.ac.uk/DocuInfo.aspx?DocID=7929" TargetMode="External"/><Relationship Id="rId21" Type="http://schemas.openxmlformats.org/officeDocument/2006/relationships/hyperlink" Target="http://documents.manchester.ac.uk/DocuInfo.aspx?DocID=9623" TargetMode="External"/><Relationship Id="rId34" Type="http://schemas.openxmlformats.org/officeDocument/2006/relationships/hyperlink" Target="http://documents.manchester.ac.uk/DocuInfo.aspx?DocID=17858" TargetMode="External"/><Relationship Id="rId42" Type="http://schemas.openxmlformats.org/officeDocument/2006/relationships/hyperlink" Target="http://documents.manchester.ac.uk/DocuInfo.aspx?DocID=8493" TargetMode="External"/><Relationship Id="rId47" Type="http://schemas.openxmlformats.org/officeDocument/2006/relationships/hyperlink" Target="http://documents.manchester.ac.uk/DocuInfo.aspx?DocID=39" TargetMode="External"/><Relationship Id="rId50" Type="http://schemas.openxmlformats.org/officeDocument/2006/relationships/hyperlink" Target="http://documents.manchester.ac.uk/DocuInfo.aspx?DocID=37" TargetMode="External"/><Relationship Id="rId55" Type="http://schemas.openxmlformats.org/officeDocument/2006/relationships/hyperlink" Target="http://documents.manchester.ac.uk/DocuInfo.aspx?DocID=33" TargetMode="External"/><Relationship Id="rId63" Type="http://schemas.openxmlformats.org/officeDocument/2006/relationships/hyperlink" Target="http://documents.manchester.ac.uk/DocuInfo.aspx?DocID=29"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uments.manchester.ac.uk/DocuInfo.aspx?DocID=8464" TargetMode="External"/><Relationship Id="rId29" Type="http://schemas.openxmlformats.org/officeDocument/2006/relationships/hyperlink" Target="http://documents.manchester.ac.uk/DocuInfo.aspx?DocID=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uments.manchester.ac.uk/DocuInfo.aspx?DocID=7" TargetMode="External"/><Relationship Id="rId24" Type="http://schemas.openxmlformats.org/officeDocument/2006/relationships/hyperlink" Target="http://documents.manchester.ac.uk/display.aspx?DocID=2753" TargetMode="External"/><Relationship Id="rId32" Type="http://schemas.openxmlformats.org/officeDocument/2006/relationships/hyperlink" Target="http://documents.manchester.ac.uk/DocuInfo.aspx?DocID=485" TargetMode="External"/><Relationship Id="rId37" Type="http://schemas.openxmlformats.org/officeDocument/2006/relationships/hyperlink" Target="http://documents.manchester.ac.uk/DocuInfo.aspx?DocID=17960" TargetMode="External"/><Relationship Id="rId40" Type="http://schemas.openxmlformats.org/officeDocument/2006/relationships/hyperlink" Target="http://documents.manchester.ac.uk/DocuInfo.aspx?DocID=491" TargetMode="External"/><Relationship Id="rId45" Type="http://schemas.openxmlformats.org/officeDocument/2006/relationships/hyperlink" Target="http://documents.manchester.ac.uk/DocuInfo.aspx?DocID=19054" TargetMode="External"/><Relationship Id="rId53" Type="http://schemas.openxmlformats.org/officeDocument/2006/relationships/hyperlink" Target="http://documents.manchester.ac.uk/DocuInfo.aspx?DocID=8494" TargetMode="External"/><Relationship Id="rId58" Type="http://schemas.openxmlformats.org/officeDocument/2006/relationships/hyperlink" Target="http://documents.manchester.ac.uk/DocuInfo.aspx?DocID=7616" TargetMode="External"/><Relationship Id="rId66" Type="http://schemas.openxmlformats.org/officeDocument/2006/relationships/hyperlink" Target="http://raceforopportunity.bitc.org.uk/tools-case-studies/toolkits/getting-sta" TargetMode="External"/><Relationship Id="rId5" Type="http://schemas.openxmlformats.org/officeDocument/2006/relationships/settings" Target="settings.xml"/><Relationship Id="rId15" Type="http://schemas.openxmlformats.org/officeDocument/2006/relationships/hyperlink" Target="http://documents.manchester.ac.uk/DocuInfo.aspx?DocID=8" TargetMode="External"/><Relationship Id="rId23" Type="http://schemas.openxmlformats.org/officeDocument/2006/relationships/hyperlink" Target="http://documents.manchester.ac.uk/DocuInfo.aspx?DocID=479" TargetMode="External"/><Relationship Id="rId28" Type="http://schemas.openxmlformats.org/officeDocument/2006/relationships/hyperlink" Target="http://documents.manchester.ac.uk/display.aspx?DocID=8361" TargetMode="External"/><Relationship Id="rId36" Type="http://schemas.openxmlformats.org/officeDocument/2006/relationships/hyperlink" Target="http://documents.manchester.ac.uk/DocuInfo.aspx?DocID=10" TargetMode="External"/><Relationship Id="rId49" Type="http://schemas.openxmlformats.org/officeDocument/2006/relationships/hyperlink" Target="http://documents.manchester.ac.uk/DocuInfo.aspx?DocID=13" TargetMode="External"/><Relationship Id="rId57" Type="http://schemas.openxmlformats.org/officeDocument/2006/relationships/hyperlink" Target="http://documents.manchester.ac.uk/DocuInfo.aspx?DocID=10981" TargetMode="External"/><Relationship Id="rId61" Type="http://schemas.openxmlformats.org/officeDocument/2006/relationships/hyperlink" Target="http://documents.manchester.ac.uk/DocuInfo.aspx?DocID=851" TargetMode="External"/><Relationship Id="rId10" Type="http://schemas.openxmlformats.org/officeDocument/2006/relationships/hyperlink" Target="http://www.ethnicity.ac.uk/research/outputs/briefings/" TargetMode="External"/><Relationship Id="rId19" Type="http://schemas.openxmlformats.org/officeDocument/2006/relationships/hyperlink" Target="http://documents.manchester.ac.uk/DocuInfo.aspx?DocID=740" TargetMode="External"/><Relationship Id="rId31" Type="http://schemas.openxmlformats.org/officeDocument/2006/relationships/hyperlink" Target="http://documents.manchester.ac.uk/DocuInfo.aspx?DocID=476" TargetMode="External"/><Relationship Id="rId44" Type="http://schemas.openxmlformats.org/officeDocument/2006/relationships/hyperlink" Target="http://documents.manchester.ac.uk/DocuInfo.aspx?DocID=41" TargetMode="External"/><Relationship Id="rId52" Type="http://schemas.openxmlformats.org/officeDocument/2006/relationships/hyperlink" Target="http://documents.manchester.ac.uk/DocuInfo.aspx?DocID=15719" TargetMode="External"/><Relationship Id="rId60" Type="http://schemas.openxmlformats.org/officeDocument/2006/relationships/hyperlink" Target="http://documents.manchester.ac.uk/DocuInfo.aspx?DocID=32" TargetMode="External"/><Relationship Id="rId65" Type="http://schemas.openxmlformats.org/officeDocument/2006/relationships/hyperlink" Target="http://opportunitynow.bitc.org.uk/tools_case_studies/exemplar_recommendations" TargetMode="External"/><Relationship Id="rId4" Type="http://schemas.microsoft.com/office/2007/relationships/stylesWithEffects" Target="stylesWithEffects.xml"/><Relationship Id="rId9" Type="http://schemas.openxmlformats.org/officeDocument/2006/relationships/hyperlink" Target="http://documents.manchester.ac.uk/DocuInfo.aspx?DocID=19997" TargetMode="External"/><Relationship Id="rId14" Type="http://schemas.openxmlformats.org/officeDocument/2006/relationships/hyperlink" Target="http://documents.manchester.ac.uk/DocuInfo.aspx?DocID=474" TargetMode="External"/><Relationship Id="rId22" Type="http://schemas.openxmlformats.org/officeDocument/2006/relationships/hyperlink" Target="http://documents.manchester.ac.uk/DocuInfo.aspx?DocID=478" TargetMode="External"/><Relationship Id="rId27" Type="http://schemas.openxmlformats.org/officeDocument/2006/relationships/hyperlink" Target="http://documents.manchester.ac.uk/DocuInfo.aspx?DocID=482" TargetMode="External"/><Relationship Id="rId30" Type="http://schemas.openxmlformats.org/officeDocument/2006/relationships/hyperlink" Target="http://documents.manchester.ac.uk/DocuInfo.aspx?DocID=840" TargetMode="External"/><Relationship Id="rId35" Type="http://schemas.openxmlformats.org/officeDocument/2006/relationships/hyperlink" Target="http://documents.manchester.ac.uk/DocuInfo.aspx?DocID=489" TargetMode="External"/><Relationship Id="rId43" Type="http://schemas.openxmlformats.org/officeDocument/2006/relationships/hyperlink" Target="http://documents.manchester.ac.uk/DocuInfo.aspx?DocID=42" TargetMode="External"/><Relationship Id="rId48" Type="http://schemas.openxmlformats.org/officeDocument/2006/relationships/hyperlink" Target="http://documents.manchester.ac.uk/DocuInfo.aspx?DocID=948" TargetMode="External"/><Relationship Id="rId56" Type="http://schemas.openxmlformats.org/officeDocument/2006/relationships/hyperlink" Target="http://documents.manchester.ac.uk/DocuInfo.aspx?DocID=11679" TargetMode="External"/><Relationship Id="rId64" Type="http://schemas.openxmlformats.org/officeDocument/2006/relationships/hyperlink" Target="http://www.equalityhumanrights.com/uploaded_files/publications/an_employer_s_guide_to_creating_an_inclusive_workplace.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documents.manchester.ac.uk/DocuInfo.aspx?DocID=12" TargetMode="External"/><Relationship Id="rId3" Type="http://schemas.openxmlformats.org/officeDocument/2006/relationships/styles" Target="styles.xml"/><Relationship Id="rId12" Type="http://schemas.openxmlformats.org/officeDocument/2006/relationships/hyperlink" Target="http://documents.manchester.ac.uk/DocuInfo.aspx?DocID=472" TargetMode="External"/><Relationship Id="rId17" Type="http://schemas.openxmlformats.org/officeDocument/2006/relationships/hyperlink" Target="http://documents.manchester.ac.uk/DocuInfo.aspx?DocID=797" TargetMode="External"/><Relationship Id="rId25" Type="http://schemas.openxmlformats.org/officeDocument/2006/relationships/hyperlink" Target="http://documents.manchester.ac.uk/DocuInfo.aspx?DocID=480" TargetMode="External"/><Relationship Id="rId33" Type="http://schemas.openxmlformats.org/officeDocument/2006/relationships/hyperlink" Target="http://documents.manchester.ac.uk/DocuInfo.aspx?DocID=9798" TargetMode="External"/><Relationship Id="rId38" Type="http://schemas.openxmlformats.org/officeDocument/2006/relationships/hyperlink" Target="http://documents.manchester.ac.uk/DocuInfo.aspx?DocID=839" TargetMode="External"/><Relationship Id="rId46" Type="http://schemas.openxmlformats.org/officeDocument/2006/relationships/hyperlink" Target="http://documents.manchester.ac.uk/DocuInfo.aspx?DocID=40" TargetMode="External"/><Relationship Id="rId59" Type="http://schemas.openxmlformats.org/officeDocument/2006/relationships/hyperlink" Target="http://documents.manchester.ac.uk/DocuInfo.aspx?DocID=14" TargetMode="External"/><Relationship Id="rId67" Type="http://schemas.openxmlformats.org/officeDocument/2006/relationships/hyperlink" Target="http://www.ecu.ac.uk/our-projects/ecus-charter-marks" TargetMode="External"/><Relationship Id="rId20" Type="http://schemas.openxmlformats.org/officeDocument/2006/relationships/hyperlink" Target="http://documents.manchester.ac.uk/DocuInfo.aspx?DocID=2752" TargetMode="External"/><Relationship Id="rId41" Type="http://schemas.openxmlformats.org/officeDocument/2006/relationships/hyperlink" Target="http://documents.manchester.ac.uk/DocuInfo.aspx?DocID=796" TargetMode="External"/><Relationship Id="rId54" Type="http://schemas.openxmlformats.org/officeDocument/2006/relationships/hyperlink" Target="http://documents.manchester.ac.uk/DocuInfo.aspx?DocID=34" TargetMode="External"/><Relationship Id="rId62" Type="http://schemas.openxmlformats.org/officeDocument/2006/relationships/hyperlink" Target="http://documents.manchester.ac.uk/DocuInfo.aspx?DocID=3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8FE33-E602-4E68-81A3-31433BFA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11964</Words>
  <Characters>68199</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Mullen</dc:creator>
  <cp:lastModifiedBy>Andrew Mullen</cp:lastModifiedBy>
  <cp:revision>4</cp:revision>
  <cp:lastPrinted>2014-11-29T16:30:00Z</cp:lastPrinted>
  <dcterms:created xsi:type="dcterms:W3CDTF">2015-05-08T14:35:00Z</dcterms:created>
  <dcterms:modified xsi:type="dcterms:W3CDTF">2015-05-08T14:37:00Z</dcterms:modified>
</cp:coreProperties>
</file>