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E20" w:rsidRPr="00C85B26" w:rsidRDefault="00F90E20" w:rsidP="00F90E20">
      <w:pPr>
        <w:jc w:val="center"/>
        <w:rPr>
          <w:b/>
        </w:rPr>
      </w:pPr>
      <w:bookmarkStart w:id="0" w:name="_GoBack"/>
      <w:bookmarkEnd w:id="0"/>
      <w:r w:rsidRPr="00C85B26">
        <w:rPr>
          <w:b/>
        </w:rPr>
        <w:t>THE UNIVERSITY OF MANCHESTER</w:t>
      </w:r>
    </w:p>
    <w:p w:rsidR="00F90E20" w:rsidRPr="00C85B26" w:rsidRDefault="00F90E20" w:rsidP="00F90E20">
      <w:pPr>
        <w:rPr>
          <w:b/>
        </w:rPr>
      </w:pPr>
      <w:r>
        <w:rPr>
          <w:b/>
        </w:rPr>
        <w:t xml:space="preserve">Faculty of </w:t>
      </w:r>
      <w:r w:rsidRPr="00C85B26">
        <w:rPr>
          <w:b/>
        </w:rPr>
        <w:t>Humanities Staff Equality and Diversity Working Group</w:t>
      </w:r>
    </w:p>
    <w:p w:rsidR="00F90E20" w:rsidRPr="00C85B26" w:rsidRDefault="00F90E20" w:rsidP="00F90E20">
      <w:r w:rsidRPr="00C85B26">
        <w:t xml:space="preserve">Minutes of the meeting held on </w:t>
      </w:r>
      <w:r w:rsidR="0068427F">
        <w:t xml:space="preserve">Monday </w:t>
      </w:r>
      <w:r w:rsidR="00D97665">
        <w:t>20</w:t>
      </w:r>
      <w:r w:rsidR="00944811">
        <w:t xml:space="preserve"> October </w:t>
      </w:r>
      <w:r w:rsidRPr="00C85B26">
        <w:t>2014</w:t>
      </w:r>
    </w:p>
    <w:tbl>
      <w:tblPr>
        <w:tblStyle w:val="TableGrid"/>
        <w:tblW w:w="486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5"/>
        <w:gridCol w:w="2286"/>
        <w:gridCol w:w="592"/>
        <w:gridCol w:w="4078"/>
      </w:tblGrid>
      <w:tr w:rsidR="00D97665" w:rsidRPr="00C85B26" w:rsidTr="00D97665">
        <w:trPr>
          <w:trHeight w:val="178"/>
        </w:trPr>
        <w:tc>
          <w:tcPr>
            <w:tcW w:w="1132" w:type="pct"/>
          </w:tcPr>
          <w:p w:rsidR="00D97665" w:rsidRPr="00C85B26" w:rsidRDefault="00D97665" w:rsidP="002C194A">
            <w:pPr>
              <w:rPr>
                <w:b/>
              </w:rPr>
            </w:pPr>
            <w:r w:rsidRPr="00C85B26">
              <w:rPr>
                <w:b/>
              </w:rPr>
              <w:t>Present</w:t>
            </w:r>
          </w:p>
        </w:tc>
        <w:tc>
          <w:tcPr>
            <w:tcW w:w="1271" w:type="pct"/>
          </w:tcPr>
          <w:p w:rsidR="00D97665" w:rsidRPr="00C85B26" w:rsidRDefault="00D97665" w:rsidP="00F9513A">
            <w:r w:rsidRPr="00C85B26">
              <w:t>Andrew Mullen</w:t>
            </w:r>
          </w:p>
        </w:tc>
        <w:tc>
          <w:tcPr>
            <w:tcW w:w="329" w:type="pct"/>
          </w:tcPr>
          <w:p w:rsidR="00D97665" w:rsidRPr="00C85B26" w:rsidRDefault="00D97665" w:rsidP="00F9513A">
            <w:r w:rsidRPr="00C85B26">
              <w:t>AM</w:t>
            </w:r>
          </w:p>
        </w:tc>
        <w:tc>
          <w:tcPr>
            <w:tcW w:w="2268" w:type="pct"/>
          </w:tcPr>
          <w:p w:rsidR="00D97665" w:rsidRPr="00C85B26" w:rsidRDefault="00D97665" w:rsidP="00F9513A">
            <w:r w:rsidRPr="00C85B26">
              <w:t>Deputy Director of HR &amp; Head of Faculty HR</w:t>
            </w:r>
            <w:r>
              <w:t xml:space="preserve"> </w:t>
            </w:r>
            <w:r w:rsidRPr="00C85B26">
              <w:t>(in the Chair)</w:t>
            </w:r>
          </w:p>
        </w:tc>
      </w:tr>
      <w:tr w:rsidR="00D97665" w:rsidRPr="00C85B26" w:rsidTr="00D97665">
        <w:trPr>
          <w:trHeight w:val="178"/>
        </w:trPr>
        <w:tc>
          <w:tcPr>
            <w:tcW w:w="1132" w:type="pct"/>
          </w:tcPr>
          <w:p w:rsidR="00D97665" w:rsidRPr="00C85B26" w:rsidRDefault="00D97665" w:rsidP="002C194A">
            <w:pPr>
              <w:rPr>
                <w:b/>
              </w:rPr>
            </w:pPr>
          </w:p>
        </w:tc>
        <w:tc>
          <w:tcPr>
            <w:tcW w:w="1271" w:type="pct"/>
          </w:tcPr>
          <w:p w:rsidR="00D97665" w:rsidRPr="00C85B26" w:rsidRDefault="00D97665" w:rsidP="004A52D7">
            <w:r w:rsidRPr="00C85B26">
              <w:t>Professor Colette Fagan</w:t>
            </w:r>
          </w:p>
        </w:tc>
        <w:tc>
          <w:tcPr>
            <w:tcW w:w="329" w:type="pct"/>
          </w:tcPr>
          <w:p w:rsidR="00D97665" w:rsidRPr="00C85B26" w:rsidRDefault="00D97665" w:rsidP="004A52D7">
            <w:r w:rsidRPr="00C85B26">
              <w:t>CF</w:t>
            </w:r>
          </w:p>
        </w:tc>
        <w:tc>
          <w:tcPr>
            <w:tcW w:w="2268" w:type="pct"/>
          </w:tcPr>
          <w:p w:rsidR="00D97665" w:rsidRPr="00C85B26" w:rsidRDefault="00D97665" w:rsidP="004A52D7">
            <w:r w:rsidRPr="00C85B26">
              <w:t xml:space="preserve">Deputy Dean – Research </w:t>
            </w:r>
          </w:p>
        </w:tc>
      </w:tr>
      <w:tr w:rsidR="00D97665" w:rsidRPr="00C85B26" w:rsidTr="00D97665">
        <w:trPr>
          <w:trHeight w:val="178"/>
        </w:trPr>
        <w:tc>
          <w:tcPr>
            <w:tcW w:w="1132" w:type="pct"/>
          </w:tcPr>
          <w:p w:rsidR="00D97665" w:rsidRPr="00C85B26" w:rsidRDefault="00D97665" w:rsidP="002C194A">
            <w:pPr>
              <w:rPr>
                <w:b/>
              </w:rPr>
            </w:pPr>
          </w:p>
        </w:tc>
        <w:tc>
          <w:tcPr>
            <w:tcW w:w="1271" w:type="pct"/>
          </w:tcPr>
          <w:p w:rsidR="00D97665" w:rsidRPr="00C85B26" w:rsidRDefault="00D97665" w:rsidP="00034FB7">
            <w:r w:rsidRPr="00C85B26">
              <w:t>Dr Carolyn Abbot</w:t>
            </w:r>
          </w:p>
        </w:tc>
        <w:tc>
          <w:tcPr>
            <w:tcW w:w="329" w:type="pct"/>
          </w:tcPr>
          <w:p w:rsidR="00D97665" w:rsidRPr="00C85B26" w:rsidRDefault="00D97665" w:rsidP="00034FB7">
            <w:r w:rsidRPr="00C85B26">
              <w:t>CA</w:t>
            </w:r>
          </w:p>
        </w:tc>
        <w:tc>
          <w:tcPr>
            <w:tcW w:w="2268" w:type="pct"/>
          </w:tcPr>
          <w:p w:rsidR="00D97665" w:rsidRPr="00C85B26" w:rsidRDefault="00D97665" w:rsidP="00034FB7">
            <w:r w:rsidRPr="00C85B26">
              <w:t>Senior Lecturer, School of Law</w:t>
            </w:r>
          </w:p>
        </w:tc>
      </w:tr>
      <w:tr w:rsidR="00D97665" w:rsidRPr="00C85B26" w:rsidTr="00D97665">
        <w:trPr>
          <w:trHeight w:val="80"/>
        </w:trPr>
        <w:tc>
          <w:tcPr>
            <w:tcW w:w="1132" w:type="pct"/>
          </w:tcPr>
          <w:p w:rsidR="00D97665" w:rsidRPr="00C85B26" w:rsidRDefault="00D97665" w:rsidP="002C194A"/>
        </w:tc>
        <w:tc>
          <w:tcPr>
            <w:tcW w:w="1271" w:type="pct"/>
          </w:tcPr>
          <w:p w:rsidR="00D97665" w:rsidRPr="00C85B26" w:rsidRDefault="00D97665" w:rsidP="00BC3902">
            <w:r>
              <w:t>Dr Helen Ryder</w:t>
            </w:r>
          </w:p>
        </w:tc>
        <w:tc>
          <w:tcPr>
            <w:tcW w:w="329" w:type="pct"/>
          </w:tcPr>
          <w:p w:rsidR="00D97665" w:rsidRPr="00C85B26" w:rsidRDefault="00D97665" w:rsidP="00BC3902">
            <w:r>
              <w:t>HRy</w:t>
            </w:r>
          </w:p>
        </w:tc>
        <w:tc>
          <w:tcPr>
            <w:tcW w:w="2268" w:type="pct"/>
          </w:tcPr>
          <w:p w:rsidR="00D97665" w:rsidRPr="00C85B26" w:rsidRDefault="00D97665" w:rsidP="00BC3902">
            <w:r w:rsidRPr="00C85B26">
              <w:t>Athena SWAN Coordinator</w:t>
            </w:r>
          </w:p>
        </w:tc>
      </w:tr>
      <w:tr w:rsidR="00D97665" w:rsidRPr="00C85B26" w:rsidTr="00D97665">
        <w:tc>
          <w:tcPr>
            <w:tcW w:w="1132" w:type="pct"/>
          </w:tcPr>
          <w:p w:rsidR="00D97665" w:rsidRPr="00C85B26" w:rsidRDefault="00D97665" w:rsidP="002C194A"/>
        </w:tc>
        <w:tc>
          <w:tcPr>
            <w:tcW w:w="1271" w:type="pct"/>
          </w:tcPr>
          <w:p w:rsidR="00D97665" w:rsidRPr="00C85B26" w:rsidRDefault="00D97665" w:rsidP="00A32CAD">
            <w:r>
              <w:t>Dil Sidhu</w:t>
            </w:r>
          </w:p>
        </w:tc>
        <w:tc>
          <w:tcPr>
            <w:tcW w:w="329" w:type="pct"/>
          </w:tcPr>
          <w:p w:rsidR="00D97665" w:rsidRPr="00C85B26" w:rsidRDefault="00D97665" w:rsidP="00A32CAD">
            <w:r>
              <w:t>DS</w:t>
            </w:r>
          </w:p>
        </w:tc>
        <w:tc>
          <w:tcPr>
            <w:tcW w:w="2268" w:type="pct"/>
          </w:tcPr>
          <w:p w:rsidR="00D97665" w:rsidRPr="00C85B26" w:rsidRDefault="00D97665" w:rsidP="00A32CAD">
            <w:r>
              <w:t>Chief External Officer, MBS</w:t>
            </w:r>
          </w:p>
        </w:tc>
      </w:tr>
      <w:tr w:rsidR="00D97665" w:rsidRPr="00C85B26" w:rsidTr="00D97665">
        <w:tc>
          <w:tcPr>
            <w:tcW w:w="1132" w:type="pct"/>
          </w:tcPr>
          <w:p w:rsidR="00D97665" w:rsidRPr="00C85B26" w:rsidRDefault="00D97665" w:rsidP="002C194A"/>
        </w:tc>
        <w:tc>
          <w:tcPr>
            <w:tcW w:w="1271" w:type="pct"/>
          </w:tcPr>
          <w:p w:rsidR="00D97665" w:rsidRPr="00C85B26" w:rsidRDefault="00D97665" w:rsidP="002C194A">
            <w:r>
              <w:t>Professor Claire Annesley</w:t>
            </w:r>
          </w:p>
        </w:tc>
        <w:tc>
          <w:tcPr>
            <w:tcW w:w="329" w:type="pct"/>
          </w:tcPr>
          <w:p w:rsidR="00D97665" w:rsidRPr="00C85B26" w:rsidRDefault="00D97665" w:rsidP="002C194A">
            <w:r>
              <w:t>CAn</w:t>
            </w:r>
          </w:p>
        </w:tc>
        <w:tc>
          <w:tcPr>
            <w:tcW w:w="2268" w:type="pct"/>
          </w:tcPr>
          <w:p w:rsidR="00D97665" w:rsidRPr="00C85B26" w:rsidRDefault="00D97665" w:rsidP="002C194A">
            <w:r>
              <w:t>School of Social Sciences (Politics)</w:t>
            </w:r>
          </w:p>
        </w:tc>
      </w:tr>
      <w:tr w:rsidR="00D97665" w:rsidRPr="00C85B26" w:rsidTr="00D97665">
        <w:tc>
          <w:tcPr>
            <w:tcW w:w="1132" w:type="pct"/>
          </w:tcPr>
          <w:p w:rsidR="00D97665" w:rsidRPr="00C85B26" w:rsidRDefault="00D97665" w:rsidP="002C194A"/>
        </w:tc>
        <w:tc>
          <w:tcPr>
            <w:tcW w:w="1271" w:type="pct"/>
          </w:tcPr>
          <w:p w:rsidR="00D97665" w:rsidRPr="00C85B26" w:rsidRDefault="00D97665" w:rsidP="003B319E">
            <w:r>
              <w:t>Professor Claire Alexander</w:t>
            </w:r>
          </w:p>
        </w:tc>
        <w:tc>
          <w:tcPr>
            <w:tcW w:w="329" w:type="pct"/>
          </w:tcPr>
          <w:p w:rsidR="00D97665" w:rsidRPr="00C85B26" w:rsidRDefault="00D97665" w:rsidP="003B319E">
            <w:r>
              <w:t>CAl</w:t>
            </w:r>
          </w:p>
        </w:tc>
        <w:tc>
          <w:tcPr>
            <w:tcW w:w="2268" w:type="pct"/>
          </w:tcPr>
          <w:p w:rsidR="00D97665" w:rsidRPr="00C85B26" w:rsidRDefault="00D97665" w:rsidP="003B319E">
            <w:r>
              <w:t>School of Social Sciences (Sociology)</w:t>
            </w:r>
          </w:p>
        </w:tc>
      </w:tr>
      <w:tr w:rsidR="00D97665" w:rsidRPr="00C85B26" w:rsidTr="00D97665">
        <w:tc>
          <w:tcPr>
            <w:tcW w:w="1132" w:type="pct"/>
          </w:tcPr>
          <w:p w:rsidR="00D97665" w:rsidRPr="00C85B26" w:rsidRDefault="00D97665" w:rsidP="002C194A"/>
        </w:tc>
        <w:tc>
          <w:tcPr>
            <w:tcW w:w="1271" w:type="pct"/>
          </w:tcPr>
          <w:p w:rsidR="00D97665" w:rsidRPr="00C85B26" w:rsidRDefault="00D97665" w:rsidP="00EB6300"/>
        </w:tc>
        <w:tc>
          <w:tcPr>
            <w:tcW w:w="329" w:type="pct"/>
          </w:tcPr>
          <w:p w:rsidR="00D97665" w:rsidRPr="00C85B26" w:rsidRDefault="00D97665" w:rsidP="00EB6300"/>
        </w:tc>
        <w:tc>
          <w:tcPr>
            <w:tcW w:w="2268" w:type="pct"/>
          </w:tcPr>
          <w:p w:rsidR="00D97665" w:rsidRPr="00C85B26" w:rsidRDefault="00D97665" w:rsidP="00EB6300"/>
        </w:tc>
      </w:tr>
      <w:tr w:rsidR="00D97665" w:rsidRPr="00C85B26" w:rsidTr="00D97665">
        <w:tc>
          <w:tcPr>
            <w:tcW w:w="1132" w:type="pct"/>
          </w:tcPr>
          <w:p w:rsidR="00D97665" w:rsidRPr="002C49D9" w:rsidRDefault="00D97665" w:rsidP="002C194A">
            <w:pPr>
              <w:rPr>
                <w:b/>
              </w:rPr>
            </w:pPr>
            <w:r>
              <w:rPr>
                <w:b/>
              </w:rPr>
              <w:t>Ap</w:t>
            </w:r>
            <w:r w:rsidRPr="002C49D9">
              <w:rPr>
                <w:b/>
              </w:rPr>
              <w:t>ologies</w:t>
            </w:r>
            <w:r>
              <w:rPr>
                <w:b/>
              </w:rPr>
              <w:t xml:space="preserve"> received </w:t>
            </w:r>
          </w:p>
        </w:tc>
        <w:tc>
          <w:tcPr>
            <w:tcW w:w="1271" w:type="pct"/>
          </w:tcPr>
          <w:p w:rsidR="00D97665" w:rsidRPr="00C85B26" w:rsidRDefault="00D97665" w:rsidP="001038CD">
            <w:r w:rsidRPr="00C85B26">
              <w:t>Professor Helen Gunter</w:t>
            </w:r>
          </w:p>
        </w:tc>
        <w:tc>
          <w:tcPr>
            <w:tcW w:w="329" w:type="pct"/>
          </w:tcPr>
          <w:p w:rsidR="00D97665" w:rsidRPr="00C85B26" w:rsidRDefault="00D97665" w:rsidP="001038CD">
            <w:r w:rsidRPr="00C85B26">
              <w:t>HG</w:t>
            </w:r>
          </w:p>
        </w:tc>
        <w:tc>
          <w:tcPr>
            <w:tcW w:w="2268" w:type="pct"/>
          </w:tcPr>
          <w:p w:rsidR="00D97665" w:rsidRPr="00C85B26" w:rsidRDefault="00D97665" w:rsidP="001038CD">
            <w:r w:rsidRPr="00C85B26">
              <w:t xml:space="preserve">School of Environment, Education &amp; Development </w:t>
            </w:r>
          </w:p>
        </w:tc>
      </w:tr>
      <w:tr w:rsidR="00D97665" w:rsidRPr="00C85B26" w:rsidTr="00D97665">
        <w:tc>
          <w:tcPr>
            <w:tcW w:w="1132" w:type="pct"/>
          </w:tcPr>
          <w:p w:rsidR="00D97665" w:rsidRDefault="00D97665" w:rsidP="002C194A">
            <w:pPr>
              <w:rPr>
                <w:b/>
              </w:rPr>
            </w:pPr>
          </w:p>
        </w:tc>
        <w:tc>
          <w:tcPr>
            <w:tcW w:w="1271" w:type="pct"/>
          </w:tcPr>
          <w:p w:rsidR="00D97665" w:rsidRPr="00C85B26" w:rsidRDefault="00D97665" w:rsidP="003135E4">
            <w:r w:rsidRPr="00C85B26">
              <w:t>Jayne Hindle</w:t>
            </w:r>
          </w:p>
        </w:tc>
        <w:tc>
          <w:tcPr>
            <w:tcW w:w="329" w:type="pct"/>
          </w:tcPr>
          <w:p w:rsidR="00D97665" w:rsidRPr="00C85B26" w:rsidRDefault="00D97665" w:rsidP="003135E4">
            <w:r w:rsidRPr="00C85B26">
              <w:t>JH</w:t>
            </w:r>
          </w:p>
        </w:tc>
        <w:tc>
          <w:tcPr>
            <w:tcW w:w="2268" w:type="pct"/>
          </w:tcPr>
          <w:p w:rsidR="00D97665" w:rsidRPr="00C85B26" w:rsidRDefault="00D97665" w:rsidP="003135E4">
            <w:r w:rsidRPr="00C85B26">
              <w:t>Head of School Administration for Arts, Languages &amp; Cultures</w:t>
            </w:r>
          </w:p>
        </w:tc>
      </w:tr>
      <w:tr w:rsidR="00D97665" w:rsidRPr="00C85B26" w:rsidTr="00D97665">
        <w:tc>
          <w:tcPr>
            <w:tcW w:w="1132" w:type="pct"/>
          </w:tcPr>
          <w:p w:rsidR="00D97665" w:rsidRDefault="00D97665" w:rsidP="002C194A">
            <w:pPr>
              <w:rPr>
                <w:b/>
              </w:rPr>
            </w:pPr>
          </w:p>
        </w:tc>
        <w:tc>
          <w:tcPr>
            <w:tcW w:w="1271" w:type="pct"/>
          </w:tcPr>
          <w:p w:rsidR="00D97665" w:rsidRPr="00C85B26" w:rsidRDefault="00D97665" w:rsidP="00670A62">
            <w:r w:rsidRPr="00C85B26">
              <w:t>Professor Helge Hoel</w:t>
            </w:r>
          </w:p>
        </w:tc>
        <w:tc>
          <w:tcPr>
            <w:tcW w:w="329" w:type="pct"/>
          </w:tcPr>
          <w:p w:rsidR="00D97665" w:rsidRPr="00C85B26" w:rsidRDefault="00D97665" w:rsidP="00670A62">
            <w:r w:rsidRPr="00C85B26">
              <w:t>HH</w:t>
            </w:r>
          </w:p>
        </w:tc>
        <w:tc>
          <w:tcPr>
            <w:tcW w:w="2268" w:type="pct"/>
          </w:tcPr>
          <w:p w:rsidR="00D97665" w:rsidRPr="00C85B26" w:rsidRDefault="00D97665" w:rsidP="00670A62">
            <w:r w:rsidRPr="00C85B26">
              <w:t>Manchester Business School (People Management and Organisations Division)</w:t>
            </w:r>
          </w:p>
        </w:tc>
      </w:tr>
      <w:tr w:rsidR="00D97665" w:rsidRPr="00C85B26" w:rsidTr="00D97665">
        <w:tc>
          <w:tcPr>
            <w:tcW w:w="1132" w:type="pct"/>
          </w:tcPr>
          <w:p w:rsidR="00D97665" w:rsidRDefault="00D97665" w:rsidP="002C194A">
            <w:pPr>
              <w:rPr>
                <w:b/>
              </w:rPr>
            </w:pPr>
          </w:p>
        </w:tc>
        <w:tc>
          <w:tcPr>
            <w:tcW w:w="1271" w:type="pct"/>
          </w:tcPr>
          <w:p w:rsidR="00D97665" w:rsidRPr="00C85B26" w:rsidRDefault="00D97665" w:rsidP="001038CD">
            <w:r>
              <w:t>Jared Ruff</w:t>
            </w:r>
          </w:p>
        </w:tc>
        <w:tc>
          <w:tcPr>
            <w:tcW w:w="329" w:type="pct"/>
          </w:tcPr>
          <w:p w:rsidR="00D97665" w:rsidRPr="00C85B26" w:rsidRDefault="00D97665" w:rsidP="001038CD">
            <w:r>
              <w:t>JR</w:t>
            </w:r>
          </w:p>
        </w:tc>
        <w:tc>
          <w:tcPr>
            <w:tcW w:w="2268" w:type="pct"/>
          </w:tcPr>
          <w:p w:rsidR="00D97665" w:rsidRPr="00C85B26" w:rsidRDefault="00D97665" w:rsidP="001038CD">
            <w:r>
              <w:t>Senior Faculty Research Manager</w:t>
            </w:r>
          </w:p>
        </w:tc>
      </w:tr>
      <w:tr w:rsidR="00D97665" w:rsidRPr="00C85B26" w:rsidTr="00D97665">
        <w:tc>
          <w:tcPr>
            <w:tcW w:w="1132" w:type="pct"/>
          </w:tcPr>
          <w:p w:rsidR="00D97665" w:rsidRDefault="00D97665" w:rsidP="002C194A">
            <w:pPr>
              <w:rPr>
                <w:b/>
              </w:rPr>
            </w:pPr>
          </w:p>
        </w:tc>
        <w:tc>
          <w:tcPr>
            <w:tcW w:w="1271" w:type="pct"/>
          </w:tcPr>
          <w:p w:rsidR="00D97665" w:rsidRPr="00C85B26" w:rsidRDefault="00D97665" w:rsidP="0096005E"/>
        </w:tc>
        <w:tc>
          <w:tcPr>
            <w:tcW w:w="329" w:type="pct"/>
          </w:tcPr>
          <w:p w:rsidR="00D97665" w:rsidRPr="00C85B26" w:rsidRDefault="00D97665" w:rsidP="0096005E"/>
        </w:tc>
        <w:tc>
          <w:tcPr>
            <w:tcW w:w="2268" w:type="pct"/>
          </w:tcPr>
          <w:p w:rsidR="00D97665" w:rsidRPr="00C85B26" w:rsidRDefault="00D97665" w:rsidP="0096005E"/>
        </w:tc>
      </w:tr>
      <w:tr w:rsidR="00D97665" w:rsidRPr="00C85B26" w:rsidTr="00D97665">
        <w:tc>
          <w:tcPr>
            <w:tcW w:w="1132" w:type="pct"/>
          </w:tcPr>
          <w:p w:rsidR="00D97665" w:rsidRPr="00C85B26" w:rsidRDefault="00D97665" w:rsidP="002C194A">
            <w:pPr>
              <w:rPr>
                <w:b/>
              </w:rPr>
            </w:pPr>
            <w:r w:rsidRPr="00C85B26">
              <w:rPr>
                <w:b/>
              </w:rPr>
              <w:t>In attendance</w:t>
            </w:r>
          </w:p>
        </w:tc>
        <w:tc>
          <w:tcPr>
            <w:tcW w:w="1271" w:type="pct"/>
          </w:tcPr>
          <w:p w:rsidR="00D97665" w:rsidRPr="00C85B26" w:rsidRDefault="00D97665" w:rsidP="00134653">
            <w:r w:rsidRPr="00C85B26">
              <w:t>Natalie Thompson-Vassel</w:t>
            </w:r>
          </w:p>
        </w:tc>
        <w:tc>
          <w:tcPr>
            <w:tcW w:w="329" w:type="pct"/>
          </w:tcPr>
          <w:p w:rsidR="00D97665" w:rsidRPr="00C85B26" w:rsidRDefault="00D97665" w:rsidP="00134653">
            <w:r>
              <w:t>NT</w:t>
            </w:r>
            <w:r w:rsidRPr="00C85B26">
              <w:t>V</w:t>
            </w:r>
          </w:p>
        </w:tc>
        <w:tc>
          <w:tcPr>
            <w:tcW w:w="2268" w:type="pct"/>
          </w:tcPr>
          <w:p w:rsidR="00D97665" w:rsidRPr="00C85B26" w:rsidRDefault="00D97665" w:rsidP="00134653">
            <w:r w:rsidRPr="00C85B26">
              <w:t>Human Resources</w:t>
            </w:r>
          </w:p>
        </w:tc>
      </w:tr>
    </w:tbl>
    <w:p w:rsidR="00F90E20" w:rsidRDefault="00F90E20" w:rsidP="00F90E2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567"/>
        <w:gridCol w:w="6662"/>
        <w:gridCol w:w="1479"/>
      </w:tblGrid>
      <w:tr w:rsidR="00975F7D" w:rsidTr="00F90E20">
        <w:tc>
          <w:tcPr>
            <w:tcW w:w="534" w:type="dxa"/>
          </w:tcPr>
          <w:p w:rsidR="00975F7D" w:rsidRDefault="00944811" w:rsidP="00944811">
            <w:pPr>
              <w:rPr>
                <w:b/>
              </w:rPr>
            </w:pPr>
            <w:r>
              <w:rPr>
                <w:b/>
              </w:rPr>
              <w:t>1</w:t>
            </w:r>
          </w:p>
        </w:tc>
        <w:tc>
          <w:tcPr>
            <w:tcW w:w="567" w:type="dxa"/>
          </w:tcPr>
          <w:p w:rsidR="00975F7D" w:rsidRPr="00F90E20" w:rsidRDefault="00975F7D" w:rsidP="00F90E20">
            <w:pPr>
              <w:rPr>
                <w:b/>
              </w:rPr>
            </w:pPr>
          </w:p>
        </w:tc>
        <w:tc>
          <w:tcPr>
            <w:tcW w:w="6662" w:type="dxa"/>
          </w:tcPr>
          <w:p w:rsidR="00975F7D" w:rsidRPr="00F90E20" w:rsidRDefault="00975F7D" w:rsidP="00C65209">
            <w:pPr>
              <w:rPr>
                <w:b/>
              </w:rPr>
            </w:pPr>
            <w:r w:rsidRPr="00F90E20">
              <w:rPr>
                <w:b/>
              </w:rPr>
              <w:t xml:space="preserve">Minutes of the meeting held on </w:t>
            </w:r>
            <w:r w:rsidR="00C65209">
              <w:rPr>
                <w:b/>
              </w:rPr>
              <w:t>24 September</w:t>
            </w:r>
            <w:r>
              <w:rPr>
                <w:b/>
              </w:rPr>
              <w:t xml:space="preserve"> </w:t>
            </w:r>
            <w:r w:rsidRPr="00F90E20">
              <w:rPr>
                <w:b/>
              </w:rPr>
              <w:t>2014</w:t>
            </w:r>
          </w:p>
        </w:tc>
        <w:tc>
          <w:tcPr>
            <w:tcW w:w="1479" w:type="dxa"/>
          </w:tcPr>
          <w:p w:rsidR="00975F7D" w:rsidRDefault="00975F7D" w:rsidP="00F90E20"/>
        </w:tc>
      </w:tr>
      <w:tr w:rsidR="00975F7D" w:rsidTr="00F90E20">
        <w:tc>
          <w:tcPr>
            <w:tcW w:w="534" w:type="dxa"/>
          </w:tcPr>
          <w:p w:rsidR="00975F7D" w:rsidRDefault="00975F7D" w:rsidP="00F90E20">
            <w:pPr>
              <w:rPr>
                <w:b/>
              </w:rPr>
            </w:pPr>
          </w:p>
        </w:tc>
        <w:tc>
          <w:tcPr>
            <w:tcW w:w="567" w:type="dxa"/>
          </w:tcPr>
          <w:p w:rsidR="00975F7D" w:rsidRPr="00F90E20" w:rsidRDefault="00975F7D" w:rsidP="00F90E20">
            <w:pPr>
              <w:rPr>
                <w:b/>
              </w:rPr>
            </w:pPr>
          </w:p>
        </w:tc>
        <w:tc>
          <w:tcPr>
            <w:tcW w:w="6662" w:type="dxa"/>
          </w:tcPr>
          <w:p w:rsidR="00975F7D" w:rsidRDefault="00975F7D" w:rsidP="00A851A0">
            <w:r>
              <w:t>The minutes were accepted as an accurate record.</w:t>
            </w:r>
          </w:p>
        </w:tc>
        <w:tc>
          <w:tcPr>
            <w:tcW w:w="1479" w:type="dxa"/>
          </w:tcPr>
          <w:p w:rsidR="00975F7D" w:rsidRDefault="00975F7D" w:rsidP="00F90E20"/>
        </w:tc>
      </w:tr>
      <w:tr w:rsidR="00975F7D" w:rsidTr="00F90E20">
        <w:tc>
          <w:tcPr>
            <w:tcW w:w="534" w:type="dxa"/>
          </w:tcPr>
          <w:p w:rsidR="00975F7D" w:rsidRDefault="00975F7D" w:rsidP="00F90E20">
            <w:pPr>
              <w:rPr>
                <w:b/>
              </w:rPr>
            </w:pPr>
          </w:p>
        </w:tc>
        <w:tc>
          <w:tcPr>
            <w:tcW w:w="567" w:type="dxa"/>
          </w:tcPr>
          <w:p w:rsidR="00975F7D" w:rsidRPr="00F90E20" w:rsidRDefault="00975F7D" w:rsidP="00F90E20">
            <w:pPr>
              <w:rPr>
                <w:b/>
              </w:rPr>
            </w:pPr>
          </w:p>
        </w:tc>
        <w:tc>
          <w:tcPr>
            <w:tcW w:w="6662" w:type="dxa"/>
          </w:tcPr>
          <w:p w:rsidR="00975F7D" w:rsidRDefault="00975F7D" w:rsidP="00A851A0"/>
        </w:tc>
        <w:tc>
          <w:tcPr>
            <w:tcW w:w="1479" w:type="dxa"/>
          </w:tcPr>
          <w:p w:rsidR="00975F7D" w:rsidRDefault="00975F7D" w:rsidP="00F90E20"/>
        </w:tc>
      </w:tr>
      <w:tr w:rsidR="00975F7D" w:rsidTr="00F90E20">
        <w:tc>
          <w:tcPr>
            <w:tcW w:w="534" w:type="dxa"/>
          </w:tcPr>
          <w:p w:rsidR="00975F7D" w:rsidRPr="00F90E20" w:rsidRDefault="00944811" w:rsidP="00944811">
            <w:pPr>
              <w:rPr>
                <w:b/>
              </w:rPr>
            </w:pPr>
            <w:r>
              <w:rPr>
                <w:b/>
              </w:rPr>
              <w:t>2</w:t>
            </w:r>
          </w:p>
        </w:tc>
        <w:tc>
          <w:tcPr>
            <w:tcW w:w="567" w:type="dxa"/>
          </w:tcPr>
          <w:p w:rsidR="00975F7D" w:rsidRPr="00F90E20" w:rsidRDefault="00975F7D" w:rsidP="00F90E20">
            <w:pPr>
              <w:rPr>
                <w:b/>
              </w:rPr>
            </w:pPr>
          </w:p>
        </w:tc>
        <w:tc>
          <w:tcPr>
            <w:tcW w:w="6662" w:type="dxa"/>
          </w:tcPr>
          <w:p w:rsidR="00975F7D" w:rsidRPr="00F90E20" w:rsidRDefault="00C65209" w:rsidP="00D51704">
            <w:pPr>
              <w:rPr>
                <w:b/>
              </w:rPr>
            </w:pPr>
            <w:r>
              <w:rPr>
                <w:b/>
              </w:rPr>
              <w:t>Matters arising</w:t>
            </w:r>
          </w:p>
        </w:tc>
        <w:tc>
          <w:tcPr>
            <w:tcW w:w="1479" w:type="dxa"/>
          </w:tcPr>
          <w:p w:rsidR="00975F7D" w:rsidRDefault="00975F7D" w:rsidP="00F90E20"/>
        </w:tc>
      </w:tr>
      <w:tr w:rsidR="000E737E" w:rsidTr="00F90E20">
        <w:tc>
          <w:tcPr>
            <w:tcW w:w="534" w:type="dxa"/>
          </w:tcPr>
          <w:p w:rsidR="000E737E" w:rsidRDefault="000E737E" w:rsidP="00F90E20"/>
        </w:tc>
        <w:tc>
          <w:tcPr>
            <w:tcW w:w="567" w:type="dxa"/>
          </w:tcPr>
          <w:p w:rsidR="000E737E" w:rsidRDefault="00944811" w:rsidP="00944811">
            <w:r>
              <w:t>2</w:t>
            </w:r>
            <w:r w:rsidR="0068427F">
              <w:t>.1</w:t>
            </w:r>
          </w:p>
        </w:tc>
        <w:tc>
          <w:tcPr>
            <w:tcW w:w="6662" w:type="dxa"/>
          </w:tcPr>
          <w:p w:rsidR="00DC16ED" w:rsidRPr="00DC16ED" w:rsidRDefault="00DC16ED" w:rsidP="005A3D55">
            <w:pPr>
              <w:rPr>
                <w:u w:val="single"/>
              </w:rPr>
            </w:pPr>
            <w:r w:rsidRPr="00DC16ED">
              <w:rPr>
                <w:u w:val="single"/>
              </w:rPr>
              <w:t>Children on Campus</w:t>
            </w:r>
          </w:p>
        </w:tc>
        <w:tc>
          <w:tcPr>
            <w:tcW w:w="1479" w:type="dxa"/>
          </w:tcPr>
          <w:p w:rsidR="000E737E" w:rsidRDefault="000E737E" w:rsidP="005A3D55"/>
        </w:tc>
      </w:tr>
      <w:tr w:rsidR="00DC16ED" w:rsidTr="00F90E20">
        <w:tc>
          <w:tcPr>
            <w:tcW w:w="534" w:type="dxa"/>
          </w:tcPr>
          <w:p w:rsidR="00DC16ED" w:rsidRDefault="00DC16ED" w:rsidP="00F90E20"/>
        </w:tc>
        <w:tc>
          <w:tcPr>
            <w:tcW w:w="567" w:type="dxa"/>
          </w:tcPr>
          <w:p w:rsidR="00DC16ED" w:rsidRDefault="00DC16ED" w:rsidP="005A3D55"/>
        </w:tc>
        <w:tc>
          <w:tcPr>
            <w:tcW w:w="6662" w:type="dxa"/>
          </w:tcPr>
          <w:p w:rsidR="00BA3121" w:rsidRDefault="00300114" w:rsidP="00BA3121">
            <w:r>
              <w:t xml:space="preserve">It was noted that the policy as outlined at the last meeting treated the presence of children on campus as being primarily a matter of risk.  </w:t>
            </w:r>
            <w:r w:rsidR="00BA3121">
              <w:t xml:space="preserve">This was considered </w:t>
            </w:r>
            <w:r w:rsidR="00975AE2">
              <w:t xml:space="preserve">by the Group </w:t>
            </w:r>
            <w:r w:rsidR="00BA3121">
              <w:t xml:space="preserve">to be an inappropriate tone given the University’s stated position as a family friendly organisation.   Given this and as it is evident that the </w:t>
            </w:r>
            <w:r w:rsidR="004F7363">
              <w:t>policy is unevenly</w:t>
            </w:r>
            <w:r w:rsidR="00DC16ED">
              <w:t xml:space="preserve"> communicated and implemented across the University</w:t>
            </w:r>
            <w:r w:rsidR="00BA3121">
              <w:t>, it was agreed that the matter should be highlighted in the WG’s final report and raised with the Head of Compliance and Risk.</w:t>
            </w:r>
          </w:p>
          <w:p w:rsidR="00BA3121" w:rsidRDefault="00BA3121" w:rsidP="00BA3121"/>
          <w:p w:rsidR="00DC16ED" w:rsidRDefault="00DC16ED" w:rsidP="00975AE2">
            <w:r>
              <w:t xml:space="preserve">HR </w:t>
            </w:r>
            <w:r w:rsidR="00BA3121">
              <w:t xml:space="preserve">highlighted that the </w:t>
            </w:r>
            <w:r w:rsidR="00BA3121" w:rsidRPr="00975AE2">
              <w:rPr>
                <w:i/>
              </w:rPr>
              <w:t>Returning from maternity, paternity or adoption leave support group</w:t>
            </w:r>
            <w:r w:rsidR="00BA3121">
              <w:t xml:space="preserve"> was </w:t>
            </w:r>
            <w:r w:rsidR="001B526F">
              <w:t xml:space="preserve">the most appropriate of the existing </w:t>
            </w:r>
            <w:r w:rsidR="00BA3121">
              <w:t>sta</w:t>
            </w:r>
            <w:r w:rsidR="001B526F">
              <w:t>ff</w:t>
            </w:r>
            <w:r w:rsidR="00BA3121">
              <w:t xml:space="preserve"> network </w:t>
            </w:r>
            <w:r w:rsidR="001B526F">
              <w:t xml:space="preserve">groups </w:t>
            </w:r>
            <w:r w:rsidR="00975AE2">
              <w:t xml:space="preserve">to </w:t>
            </w:r>
            <w:r w:rsidR="00BA3121">
              <w:t>consult</w:t>
            </w:r>
            <w:r w:rsidR="00975AE2">
              <w:t xml:space="preserve"> </w:t>
            </w:r>
            <w:r w:rsidR="001B526F">
              <w:t>on the subject.  AM undertook to discuss the question of consulting with parents with Patrick Johnson, Head of Equality and Diversity.</w:t>
            </w:r>
          </w:p>
        </w:tc>
        <w:tc>
          <w:tcPr>
            <w:tcW w:w="1479" w:type="dxa"/>
          </w:tcPr>
          <w:p w:rsidR="00DC16ED" w:rsidRDefault="00DC16ED" w:rsidP="005A3D55">
            <w:pPr>
              <w:rPr>
                <w:b/>
              </w:rPr>
            </w:pPr>
          </w:p>
          <w:p w:rsidR="00DC16ED" w:rsidRDefault="00DC16ED" w:rsidP="005A3D55">
            <w:pPr>
              <w:rPr>
                <w:b/>
              </w:rPr>
            </w:pPr>
          </w:p>
          <w:p w:rsidR="00DC16ED" w:rsidRDefault="00DC16ED" w:rsidP="005A3D55">
            <w:pPr>
              <w:rPr>
                <w:b/>
              </w:rPr>
            </w:pPr>
          </w:p>
          <w:p w:rsidR="00DC16ED" w:rsidRDefault="00DC16ED" w:rsidP="005A3D55">
            <w:pPr>
              <w:rPr>
                <w:b/>
              </w:rPr>
            </w:pPr>
          </w:p>
          <w:p w:rsidR="00DC16ED" w:rsidRDefault="00DC16ED" w:rsidP="005A3D55">
            <w:pPr>
              <w:rPr>
                <w:b/>
              </w:rPr>
            </w:pPr>
          </w:p>
          <w:p w:rsidR="00BA3121" w:rsidRDefault="00BA3121" w:rsidP="005A3D55">
            <w:pPr>
              <w:rPr>
                <w:b/>
              </w:rPr>
            </w:pPr>
          </w:p>
          <w:p w:rsidR="00BA3121" w:rsidRDefault="00BA3121" w:rsidP="005A3D55">
            <w:pPr>
              <w:rPr>
                <w:b/>
              </w:rPr>
            </w:pPr>
          </w:p>
          <w:p w:rsidR="00DC16ED" w:rsidRDefault="00DC16ED" w:rsidP="005A3D55">
            <w:r w:rsidRPr="00DC16ED">
              <w:rPr>
                <w:b/>
              </w:rPr>
              <w:t>Action:</w:t>
            </w:r>
            <w:r>
              <w:t xml:space="preserve">  AM</w:t>
            </w:r>
          </w:p>
          <w:p w:rsidR="001B526F" w:rsidRDefault="001B526F" w:rsidP="005A3D55"/>
          <w:p w:rsidR="001B526F" w:rsidRDefault="001B526F" w:rsidP="005A3D55"/>
          <w:p w:rsidR="001B526F" w:rsidRDefault="001B526F" w:rsidP="005A3D55"/>
          <w:p w:rsidR="001B526F" w:rsidRDefault="001B526F" w:rsidP="005A3D55"/>
          <w:p w:rsidR="001B526F" w:rsidRDefault="001B526F" w:rsidP="005A3D55"/>
          <w:p w:rsidR="001B526F" w:rsidRDefault="001B526F" w:rsidP="005A3D55">
            <w:r w:rsidRPr="00DC16ED">
              <w:rPr>
                <w:b/>
              </w:rPr>
              <w:t>Action:</w:t>
            </w:r>
            <w:r>
              <w:t xml:space="preserve">  AM</w:t>
            </w:r>
          </w:p>
        </w:tc>
      </w:tr>
      <w:tr w:rsidR="000E737E" w:rsidTr="00F90E20">
        <w:tc>
          <w:tcPr>
            <w:tcW w:w="534" w:type="dxa"/>
          </w:tcPr>
          <w:p w:rsidR="000E737E" w:rsidRDefault="000E737E" w:rsidP="00F90E20"/>
        </w:tc>
        <w:tc>
          <w:tcPr>
            <w:tcW w:w="567" w:type="dxa"/>
          </w:tcPr>
          <w:p w:rsidR="000E737E" w:rsidRDefault="000E737E" w:rsidP="005A3D55"/>
        </w:tc>
        <w:tc>
          <w:tcPr>
            <w:tcW w:w="6662" w:type="dxa"/>
          </w:tcPr>
          <w:p w:rsidR="000E737E" w:rsidRPr="00146761" w:rsidRDefault="000E737E" w:rsidP="005A3D55">
            <w:pPr>
              <w:rPr>
                <w:u w:val="single"/>
              </w:rPr>
            </w:pPr>
          </w:p>
        </w:tc>
        <w:tc>
          <w:tcPr>
            <w:tcW w:w="1479" w:type="dxa"/>
          </w:tcPr>
          <w:p w:rsidR="000E737E" w:rsidRDefault="000E737E" w:rsidP="005A3D55"/>
        </w:tc>
      </w:tr>
      <w:tr w:rsidR="000E737E" w:rsidTr="00F90E20">
        <w:tc>
          <w:tcPr>
            <w:tcW w:w="534" w:type="dxa"/>
          </w:tcPr>
          <w:p w:rsidR="000E737E" w:rsidRDefault="000E737E" w:rsidP="00F90E20"/>
        </w:tc>
        <w:tc>
          <w:tcPr>
            <w:tcW w:w="567" w:type="dxa"/>
          </w:tcPr>
          <w:p w:rsidR="000E737E" w:rsidRPr="008C24D1" w:rsidRDefault="00944811" w:rsidP="007F6945">
            <w:r>
              <w:t>2</w:t>
            </w:r>
            <w:r w:rsidR="0068427F">
              <w:t>.</w:t>
            </w:r>
            <w:r w:rsidR="007F6945">
              <w:t>2</w:t>
            </w:r>
          </w:p>
        </w:tc>
        <w:tc>
          <w:tcPr>
            <w:tcW w:w="6662" w:type="dxa"/>
          </w:tcPr>
          <w:p w:rsidR="000E737E" w:rsidRPr="008C24D1" w:rsidRDefault="000E737E" w:rsidP="00FE5ACD">
            <w:pPr>
              <w:pStyle w:val="PlainText"/>
              <w:tabs>
                <w:tab w:val="left" w:pos="2595"/>
              </w:tabs>
              <w:rPr>
                <w:u w:val="single"/>
              </w:rPr>
            </w:pPr>
            <w:r w:rsidRPr="008C24D1">
              <w:rPr>
                <w:u w:val="single"/>
              </w:rPr>
              <w:t>Unconscious bias training</w:t>
            </w:r>
            <w:r w:rsidRPr="008C24D1">
              <w:tab/>
            </w:r>
          </w:p>
        </w:tc>
        <w:tc>
          <w:tcPr>
            <w:tcW w:w="1479" w:type="dxa"/>
          </w:tcPr>
          <w:p w:rsidR="000E737E" w:rsidRPr="00964ED4" w:rsidRDefault="000E737E" w:rsidP="00FE5ACD">
            <w:pPr>
              <w:rPr>
                <w:b/>
              </w:rPr>
            </w:pPr>
          </w:p>
        </w:tc>
      </w:tr>
      <w:tr w:rsidR="000E737E" w:rsidTr="00F90E20">
        <w:tc>
          <w:tcPr>
            <w:tcW w:w="534" w:type="dxa"/>
          </w:tcPr>
          <w:p w:rsidR="000E737E" w:rsidRDefault="000E737E" w:rsidP="00F90E20"/>
        </w:tc>
        <w:tc>
          <w:tcPr>
            <w:tcW w:w="567" w:type="dxa"/>
          </w:tcPr>
          <w:p w:rsidR="000E737E" w:rsidRDefault="000E737E" w:rsidP="00FE5ACD"/>
        </w:tc>
        <w:tc>
          <w:tcPr>
            <w:tcW w:w="6662" w:type="dxa"/>
          </w:tcPr>
          <w:p w:rsidR="000E737E" w:rsidRDefault="00DC16ED" w:rsidP="001B526F">
            <w:pPr>
              <w:pStyle w:val="PlainText"/>
            </w:pPr>
            <w:r>
              <w:t xml:space="preserve">AM </w:t>
            </w:r>
            <w:r w:rsidR="001B526F">
              <w:t xml:space="preserve">noted that he was due to meet with </w:t>
            </w:r>
            <w:r>
              <w:t xml:space="preserve">Patrick Johnson </w:t>
            </w:r>
            <w:r w:rsidR="001B526F">
              <w:t xml:space="preserve">on the </w:t>
            </w:r>
            <w:r w:rsidR="001B526F">
              <w:lastRenderedPageBreak/>
              <w:t xml:space="preserve">possibility of the Group receiving pilot training on unconscious bias and would report back on the outcome. </w:t>
            </w:r>
          </w:p>
        </w:tc>
        <w:tc>
          <w:tcPr>
            <w:tcW w:w="1479" w:type="dxa"/>
          </w:tcPr>
          <w:p w:rsidR="000E737E" w:rsidRDefault="000E737E" w:rsidP="00FE5ACD">
            <w:r w:rsidRPr="00964ED4">
              <w:rPr>
                <w:b/>
              </w:rPr>
              <w:lastRenderedPageBreak/>
              <w:t>Action:</w:t>
            </w:r>
            <w:r w:rsidR="00DC16ED">
              <w:t xml:space="preserve"> AM</w:t>
            </w:r>
          </w:p>
        </w:tc>
      </w:tr>
      <w:tr w:rsidR="000E737E" w:rsidTr="00F90E20">
        <w:tc>
          <w:tcPr>
            <w:tcW w:w="534" w:type="dxa"/>
          </w:tcPr>
          <w:p w:rsidR="000E737E" w:rsidRDefault="000E737E" w:rsidP="00F90E20"/>
        </w:tc>
        <w:tc>
          <w:tcPr>
            <w:tcW w:w="567" w:type="dxa"/>
          </w:tcPr>
          <w:p w:rsidR="000E737E" w:rsidRDefault="000E737E" w:rsidP="00FE5ACD"/>
        </w:tc>
        <w:tc>
          <w:tcPr>
            <w:tcW w:w="6662" w:type="dxa"/>
          </w:tcPr>
          <w:p w:rsidR="000E737E" w:rsidRDefault="000E737E" w:rsidP="00FE5ACD">
            <w:pPr>
              <w:pStyle w:val="PlainText"/>
            </w:pPr>
          </w:p>
        </w:tc>
        <w:tc>
          <w:tcPr>
            <w:tcW w:w="1479" w:type="dxa"/>
          </w:tcPr>
          <w:p w:rsidR="000E737E" w:rsidRPr="00964ED4" w:rsidRDefault="000E737E" w:rsidP="00FE5ACD">
            <w:pPr>
              <w:rPr>
                <w:b/>
              </w:rPr>
            </w:pPr>
          </w:p>
        </w:tc>
      </w:tr>
      <w:tr w:rsidR="000E737E" w:rsidTr="00A851A0">
        <w:tc>
          <w:tcPr>
            <w:tcW w:w="534" w:type="dxa"/>
          </w:tcPr>
          <w:p w:rsidR="000E737E" w:rsidRDefault="00944811" w:rsidP="00944811">
            <w:r>
              <w:rPr>
                <w:b/>
              </w:rPr>
              <w:t>3</w:t>
            </w:r>
          </w:p>
        </w:tc>
        <w:tc>
          <w:tcPr>
            <w:tcW w:w="567" w:type="dxa"/>
          </w:tcPr>
          <w:p w:rsidR="000E737E" w:rsidRDefault="000E737E" w:rsidP="00A851A0"/>
        </w:tc>
        <w:tc>
          <w:tcPr>
            <w:tcW w:w="6662" w:type="dxa"/>
          </w:tcPr>
          <w:p w:rsidR="000E737E" w:rsidRDefault="000E737E" w:rsidP="00A851A0">
            <w:r>
              <w:rPr>
                <w:b/>
              </w:rPr>
              <w:t>Policy Review Update</w:t>
            </w:r>
          </w:p>
        </w:tc>
        <w:tc>
          <w:tcPr>
            <w:tcW w:w="1479" w:type="dxa"/>
          </w:tcPr>
          <w:p w:rsidR="000E737E" w:rsidRDefault="000E737E" w:rsidP="00A851A0"/>
        </w:tc>
      </w:tr>
      <w:tr w:rsidR="000E737E" w:rsidTr="00A851A0">
        <w:tc>
          <w:tcPr>
            <w:tcW w:w="534" w:type="dxa"/>
          </w:tcPr>
          <w:p w:rsidR="000E737E" w:rsidRDefault="000E737E" w:rsidP="00A851A0"/>
        </w:tc>
        <w:tc>
          <w:tcPr>
            <w:tcW w:w="567" w:type="dxa"/>
          </w:tcPr>
          <w:p w:rsidR="000E737E" w:rsidRDefault="000E737E" w:rsidP="00944811"/>
        </w:tc>
        <w:tc>
          <w:tcPr>
            <w:tcW w:w="6662" w:type="dxa"/>
          </w:tcPr>
          <w:p w:rsidR="000E737E" w:rsidRDefault="000E737E" w:rsidP="00975AE2">
            <w:r>
              <w:t xml:space="preserve">AM informed </w:t>
            </w:r>
            <w:r w:rsidR="00D97665">
              <w:t xml:space="preserve">colleagues </w:t>
            </w:r>
            <w:r>
              <w:t xml:space="preserve">that there were still some policy reviews that were outstanding </w:t>
            </w:r>
            <w:r w:rsidR="00975AE2">
              <w:t xml:space="preserve"> and that these would have to be submitted by </w:t>
            </w:r>
            <w:r>
              <w:t xml:space="preserve">no later than 5 November </w:t>
            </w:r>
            <w:r w:rsidR="00975AE2">
              <w:t xml:space="preserve">to be incorporated into the final report to go to HPRC  on </w:t>
            </w:r>
            <w:r>
              <w:t>13 November.</w:t>
            </w:r>
          </w:p>
          <w:p w:rsidR="00975AE2" w:rsidRDefault="00975AE2" w:rsidP="00975AE2"/>
          <w:p w:rsidR="00975AE2" w:rsidRDefault="00975AE2" w:rsidP="00975AE2">
            <w:r>
              <w:t>As reported at the last meeting, reviews had been received as follows:</w:t>
            </w:r>
          </w:p>
          <w:p w:rsidR="00975AE2" w:rsidRDefault="00975AE2" w:rsidP="00975AE2"/>
          <w:p w:rsidR="00975AE2" w:rsidRPr="0062725B" w:rsidRDefault="00975AE2" w:rsidP="00975AE2">
            <w:pPr>
              <w:pStyle w:val="ListParagraph"/>
              <w:numPr>
                <w:ilvl w:val="0"/>
                <w:numId w:val="13"/>
              </w:numPr>
            </w:pPr>
            <w:r>
              <w:t xml:space="preserve">Promotions polices, </w:t>
            </w:r>
            <w:r w:rsidRPr="0062725B">
              <w:t>guidelines</w:t>
            </w:r>
            <w:r>
              <w:t xml:space="preserve"> and procedures</w:t>
            </w:r>
            <w:r w:rsidRPr="0062725B">
              <w:t xml:space="preserve"> </w:t>
            </w:r>
            <w:r w:rsidRPr="00975AE2">
              <w:t>(Helen Gunter)</w:t>
            </w:r>
          </w:p>
          <w:p w:rsidR="00975AE2" w:rsidRDefault="00975AE2" w:rsidP="00975AE2">
            <w:pPr>
              <w:pStyle w:val="ListParagraph"/>
              <w:numPr>
                <w:ilvl w:val="0"/>
                <w:numId w:val="13"/>
              </w:numPr>
            </w:pPr>
            <w:r w:rsidRPr="00975AE2">
              <w:t>Recruitment and appointments policy and procedures including honorary appointments and internal appointments to academic management roles (Jayne Hindle/Carolyn Abbot)</w:t>
            </w:r>
          </w:p>
          <w:p w:rsidR="00975AE2" w:rsidRDefault="00975AE2" w:rsidP="00975AE2">
            <w:pPr>
              <w:pStyle w:val="ListParagraph"/>
              <w:numPr>
                <w:ilvl w:val="0"/>
                <w:numId w:val="13"/>
              </w:numPr>
            </w:pPr>
            <w:r w:rsidRPr="00975AE2">
              <w:t>Working conditions including Dignity at work, Consensual relationships and Stress at Work (Helge Hoel)</w:t>
            </w:r>
          </w:p>
          <w:p w:rsidR="00975AE2" w:rsidRDefault="00975AE2" w:rsidP="00975AE2"/>
          <w:p w:rsidR="00975AE2" w:rsidRDefault="00975AE2" w:rsidP="00975AE2">
            <w:r>
              <w:t>The outstanding reviews were:</w:t>
            </w:r>
          </w:p>
          <w:p w:rsidR="00975AE2" w:rsidRPr="0062725B" w:rsidRDefault="00975AE2" w:rsidP="00975AE2"/>
          <w:p w:rsidR="00975AE2" w:rsidRPr="00975AE2" w:rsidRDefault="00975AE2" w:rsidP="00975AE2">
            <w:pPr>
              <w:pStyle w:val="ListParagraph"/>
              <w:numPr>
                <w:ilvl w:val="0"/>
                <w:numId w:val="14"/>
              </w:numPr>
              <w:ind w:left="360"/>
            </w:pPr>
            <w:r w:rsidRPr="00975AE2">
              <w:t>Pay including equal pay audit data and market pay policy (Claire Annesley)</w:t>
            </w:r>
          </w:p>
          <w:p w:rsidR="00975AE2" w:rsidRPr="00975AE2" w:rsidRDefault="00975AE2" w:rsidP="00975AE2">
            <w:pPr>
              <w:pStyle w:val="ListParagraph"/>
              <w:numPr>
                <w:ilvl w:val="0"/>
                <w:numId w:val="14"/>
              </w:numPr>
              <w:ind w:left="360"/>
            </w:pPr>
            <w:r w:rsidRPr="00975AE2">
              <w:t>Probation and training including HNAP (Colette Fagan)</w:t>
            </w:r>
          </w:p>
          <w:p w:rsidR="00975AE2" w:rsidRPr="00975AE2" w:rsidRDefault="00975AE2" w:rsidP="00975AE2">
            <w:pPr>
              <w:pStyle w:val="ListParagraph"/>
              <w:numPr>
                <w:ilvl w:val="0"/>
                <w:numId w:val="14"/>
              </w:numPr>
              <w:ind w:left="360"/>
            </w:pPr>
            <w:r w:rsidRPr="00975AE2">
              <w:t>Equality and diversity policy and practice (Claire Alexander)</w:t>
            </w:r>
          </w:p>
          <w:p w:rsidR="00975AE2" w:rsidRPr="00975AE2" w:rsidRDefault="00975AE2" w:rsidP="00975AE2"/>
          <w:p w:rsidR="00975AE2" w:rsidRDefault="00975AE2" w:rsidP="00975AE2">
            <w:r>
              <w:t xml:space="preserve">In reviewing policies, colleagues had been asked to consider their effectiveness, levels of awareness within the Faculty and the need for any additional measures.   CF had sent guidance </w:t>
            </w:r>
            <w:r w:rsidR="00D97665">
              <w:t xml:space="preserve">to Group members </w:t>
            </w:r>
            <w:r>
              <w:t>in the summer and it was agreed that this should be recirculated.</w:t>
            </w:r>
          </w:p>
          <w:p w:rsidR="00975AE2" w:rsidRDefault="00975AE2" w:rsidP="00975AE2"/>
          <w:p w:rsidR="00975AE2" w:rsidRDefault="00975AE2" w:rsidP="00D62FA5">
            <w:r>
              <w:t>Once all revi</w:t>
            </w:r>
            <w:r w:rsidR="00D62FA5">
              <w:t>ews had been received, AM would discuss with the relevant “owners” within HR, so that the feedback could be considered as part of the regular reviews of the content and operation of the policies.</w:t>
            </w:r>
          </w:p>
        </w:tc>
        <w:tc>
          <w:tcPr>
            <w:tcW w:w="1479" w:type="dxa"/>
          </w:tcPr>
          <w:p w:rsidR="000E737E" w:rsidRDefault="00D01F14" w:rsidP="001B526F">
            <w:r w:rsidRPr="00D01F14">
              <w:rPr>
                <w:b/>
              </w:rPr>
              <w:t>Action:</w:t>
            </w:r>
            <w:r>
              <w:t xml:space="preserve">  </w:t>
            </w:r>
          </w:p>
          <w:p w:rsidR="001B526F" w:rsidRDefault="001B526F" w:rsidP="001B526F">
            <w:r>
              <w:t>CAn/Cal/CF</w:t>
            </w:r>
          </w:p>
          <w:p w:rsidR="00975AE2" w:rsidRDefault="00975AE2" w:rsidP="001B526F"/>
          <w:p w:rsidR="00975AE2" w:rsidRDefault="00975AE2" w:rsidP="001B526F"/>
          <w:p w:rsidR="00975AE2" w:rsidRDefault="00975AE2" w:rsidP="001B526F"/>
          <w:p w:rsidR="00975AE2" w:rsidRDefault="00975AE2" w:rsidP="001B526F"/>
          <w:p w:rsidR="00975AE2" w:rsidRDefault="00975AE2" w:rsidP="001B526F"/>
          <w:p w:rsidR="00975AE2" w:rsidRDefault="00975AE2" w:rsidP="001B526F"/>
          <w:p w:rsidR="00975AE2" w:rsidRDefault="00975AE2" w:rsidP="001B526F"/>
          <w:p w:rsidR="00975AE2" w:rsidRDefault="00975AE2" w:rsidP="001B526F"/>
          <w:p w:rsidR="00975AE2" w:rsidRDefault="00975AE2" w:rsidP="001B526F"/>
          <w:p w:rsidR="00975AE2" w:rsidRDefault="00975AE2" w:rsidP="001B526F"/>
          <w:p w:rsidR="00975AE2" w:rsidRDefault="00975AE2" w:rsidP="001B526F"/>
          <w:p w:rsidR="00975AE2" w:rsidRDefault="00975AE2" w:rsidP="001B526F"/>
          <w:p w:rsidR="00975AE2" w:rsidRDefault="00975AE2" w:rsidP="001B526F"/>
          <w:p w:rsidR="00975AE2" w:rsidRDefault="00975AE2" w:rsidP="001B526F"/>
          <w:p w:rsidR="00975AE2" w:rsidRDefault="00975AE2" w:rsidP="001B526F"/>
          <w:p w:rsidR="00975AE2" w:rsidRDefault="00975AE2" w:rsidP="001B526F"/>
          <w:p w:rsidR="00975AE2" w:rsidRDefault="00975AE2" w:rsidP="001B526F"/>
          <w:p w:rsidR="00975AE2" w:rsidRDefault="00975AE2" w:rsidP="001B526F"/>
          <w:p w:rsidR="00975AE2" w:rsidRDefault="00975AE2" w:rsidP="001B526F"/>
          <w:p w:rsidR="00975AE2" w:rsidRDefault="00975AE2" w:rsidP="001B526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3"/>
            </w:tblGrid>
            <w:tr w:rsidR="00975AE2" w:rsidRPr="00B42655" w:rsidTr="0041709E">
              <w:tc>
                <w:tcPr>
                  <w:tcW w:w="1479" w:type="dxa"/>
                </w:tcPr>
                <w:p w:rsidR="00975AE2" w:rsidRDefault="00975AE2" w:rsidP="0041709E">
                  <w:pPr>
                    <w:rPr>
                      <w:b/>
                    </w:rPr>
                  </w:pPr>
                </w:p>
                <w:p w:rsidR="00975AE2" w:rsidRPr="00B42655" w:rsidRDefault="00975AE2" w:rsidP="0041709E">
                  <w:r w:rsidRPr="007E214B">
                    <w:rPr>
                      <w:b/>
                    </w:rPr>
                    <w:t>Action:</w:t>
                  </w:r>
                  <w:r>
                    <w:t xml:space="preserve">  NTV</w:t>
                  </w:r>
                </w:p>
              </w:tc>
            </w:tr>
          </w:tbl>
          <w:p w:rsidR="00975AE2" w:rsidRDefault="00975AE2" w:rsidP="001B526F"/>
          <w:p w:rsidR="00D62FA5" w:rsidRDefault="00D62FA5" w:rsidP="001B526F"/>
          <w:p w:rsidR="00D62FA5" w:rsidRPr="00D62FA5" w:rsidRDefault="00D62FA5" w:rsidP="001B526F">
            <w:pPr>
              <w:rPr>
                <w:b/>
              </w:rPr>
            </w:pPr>
            <w:r w:rsidRPr="00D62FA5">
              <w:rPr>
                <w:b/>
              </w:rPr>
              <w:t>Action:</w:t>
            </w:r>
          </w:p>
          <w:p w:rsidR="00D62FA5" w:rsidRDefault="00D62FA5" w:rsidP="001B526F">
            <w:r>
              <w:t>AM</w:t>
            </w:r>
          </w:p>
        </w:tc>
      </w:tr>
      <w:tr w:rsidR="000E737E" w:rsidTr="00A851A0">
        <w:tc>
          <w:tcPr>
            <w:tcW w:w="534" w:type="dxa"/>
          </w:tcPr>
          <w:p w:rsidR="000E737E" w:rsidRDefault="000E737E" w:rsidP="00A851A0"/>
        </w:tc>
        <w:tc>
          <w:tcPr>
            <w:tcW w:w="567" w:type="dxa"/>
          </w:tcPr>
          <w:p w:rsidR="000E737E" w:rsidRDefault="000E737E" w:rsidP="00A851A0"/>
        </w:tc>
        <w:tc>
          <w:tcPr>
            <w:tcW w:w="6662" w:type="dxa"/>
          </w:tcPr>
          <w:p w:rsidR="000E737E" w:rsidRDefault="000E737E" w:rsidP="00367E62"/>
        </w:tc>
        <w:tc>
          <w:tcPr>
            <w:tcW w:w="1479" w:type="dxa"/>
          </w:tcPr>
          <w:p w:rsidR="000E737E" w:rsidRDefault="000E737E" w:rsidP="00A851A0"/>
        </w:tc>
      </w:tr>
      <w:tr w:rsidR="000E737E" w:rsidTr="00F90E20">
        <w:tc>
          <w:tcPr>
            <w:tcW w:w="534" w:type="dxa"/>
          </w:tcPr>
          <w:p w:rsidR="000E737E" w:rsidRPr="00005877" w:rsidRDefault="00944811" w:rsidP="007F0880">
            <w:pPr>
              <w:rPr>
                <w:b/>
              </w:rPr>
            </w:pPr>
            <w:r>
              <w:rPr>
                <w:b/>
              </w:rPr>
              <w:t>4</w:t>
            </w:r>
          </w:p>
        </w:tc>
        <w:tc>
          <w:tcPr>
            <w:tcW w:w="567" w:type="dxa"/>
          </w:tcPr>
          <w:p w:rsidR="000E737E" w:rsidRDefault="000E737E" w:rsidP="007F0880"/>
        </w:tc>
        <w:tc>
          <w:tcPr>
            <w:tcW w:w="6662" w:type="dxa"/>
          </w:tcPr>
          <w:p w:rsidR="000E737E" w:rsidRPr="00005877" w:rsidRDefault="000E737E" w:rsidP="007F0880">
            <w:pPr>
              <w:rPr>
                <w:b/>
              </w:rPr>
            </w:pPr>
            <w:r>
              <w:rPr>
                <w:b/>
              </w:rPr>
              <w:t>School and Faculty Admin – Action plans update</w:t>
            </w:r>
          </w:p>
        </w:tc>
        <w:tc>
          <w:tcPr>
            <w:tcW w:w="1479" w:type="dxa"/>
          </w:tcPr>
          <w:p w:rsidR="000E737E" w:rsidRDefault="000E737E" w:rsidP="00F90E20"/>
        </w:tc>
      </w:tr>
      <w:tr w:rsidR="000E737E" w:rsidTr="00F90E20">
        <w:tc>
          <w:tcPr>
            <w:tcW w:w="534" w:type="dxa"/>
          </w:tcPr>
          <w:p w:rsidR="000E737E" w:rsidRDefault="000E737E" w:rsidP="00F90E20"/>
        </w:tc>
        <w:tc>
          <w:tcPr>
            <w:tcW w:w="567" w:type="dxa"/>
          </w:tcPr>
          <w:p w:rsidR="000E737E" w:rsidRDefault="000E737E" w:rsidP="00F90E20"/>
        </w:tc>
        <w:tc>
          <w:tcPr>
            <w:tcW w:w="6662" w:type="dxa"/>
          </w:tcPr>
          <w:p w:rsidR="000E737E" w:rsidRDefault="00B40C42" w:rsidP="00D62FA5">
            <w:pPr>
              <w:pStyle w:val="PlainText"/>
            </w:pPr>
            <w:r>
              <w:t xml:space="preserve">AM </w:t>
            </w:r>
            <w:r w:rsidR="00D62FA5">
              <w:t>noted that he was meeting with</w:t>
            </w:r>
            <w:r>
              <w:t xml:space="preserve"> Jared Ruff (JR)</w:t>
            </w:r>
            <w:r w:rsidR="00D62FA5">
              <w:t>,</w:t>
            </w:r>
            <w:r>
              <w:t xml:space="preserve"> </w:t>
            </w:r>
            <w:r w:rsidR="00D62FA5">
              <w:t xml:space="preserve">who was </w:t>
            </w:r>
            <w:r>
              <w:t xml:space="preserve">taking over from Jane Hallam </w:t>
            </w:r>
            <w:r w:rsidR="00D62FA5">
              <w:t xml:space="preserve">(JH) as the representative for the Faculty Admin, in order to brief him on the work of the Group to date and the taking forward of measures highlighted  in the earlier report submitted by JH.  </w:t>
            </w:r>
          </w:p>
        </w:tc>
        <w:tc>
          <w:tcPr>
            <w:tcW w:w="1479" w:type="dxa"/>
          </w:tcPr>
          <w:p w:rsidR="000E737E" w:rsidRDefault="0032329F" w:rsidP="00F90E20">
            <w:r w:rsidRPr="0032329F">
              <w:rPr>
                <w:b/>
              </w:rPr>
              <w:t>Action:</w:t>
            </w:r>
            <w:r>
              <w:t xml:space="preserve"> AM</w:t>
            </w:r>
          </w:p>
        </w:tc>
      </w:tr>
      <w:tr w:rsidR="00B40C42" w:rsidTr="00F90E20">
        <w:tc>
          <w:tcPr>
            <w:tcW w:w="534" w:type="dxa"/>
          </w:tcPr>
          <w:p w:rsidR="00B40C42" w:rsidRDefault="00B40C42" w:rsidP="00F90E20"/>
        </w:tc>
        <w:tc>
          <w:tcPr>
            <w:tcW w:w="567" w:type="dxa"/>
          </w:tcPr>
          <w:p w:rsidR="00B40C42" w:rsidRDefault="00B40C42" w:rsidP="00F90E20"/>
        </w:tc>
        <w:tc>
          <w:tcPr>
            <w:tcW w:w="6662" w:type="dxa"/>
          </w:tcPr>
          <w:p w:rsidR="00B40C42" w:rsidRDefault="00B40C42" w:rsidP="00710883">
            <w:pPr>
              <w:pStyle w:val="PlainText"/>
            </w:pPr>
          </w:p>
        </w:tc>
        <w:tc>
          <w:tcPr>
            <w:tcW w:w="1479" w:type="dxa"/>
          </w:tcPr>
          <w:p w:rsidR="00B40C42" w:rsidRDefault="00B40C42" w:rsidP="00F90E20"/>
        </w:tc>
      </w:tr>
      <w:tr w:rsidR="00B40C42" w:rsidTr="00F90E20">
        <w:tc>
          <w:tcPr>
            <w:tcW w:w="534" w:type="dxa"/>
          </w:tcPr>
          <w:p w:rsidR="00B40C42" w:rsidRDefault="00B40C42" w:rsidP="00F90E20"/>
        </w:tc>
        <w:tc>
          <w:tcPr>
            <w:tcW w:w="567" w:type="dxa"/>
          </w:tcPr>
          <w:p w:rsidR="00B40C42" w:rsidRDefault="00B40C42" w:rsidP="00F90E20"/>
        </w:tc>
        <w:tc>
          <w:tcPr>
            <w:tcW w:w="6662" w:type="dxa"/>
          </w:tcPr>
          <w:p w:rsidR="00B40C42" w:rsidRDefault="00B40C42" w:rsidP="00D97665">
            <w:pPr>
              <w:pStyle w:val="PlainText"/>
            </w:pPr>
            <w:r>
              <w:t xml:space="preserve">DS </w:t>
            </w:r>
            <w:r w:rsidR="00D62FA5">
              <w:t xml:space="preserve">reported that </w:t>
            </w:r>
            <w:r>
              <w:t xml:space="preserve">a </w:t>
            </w:r>
            <w:r w:rsidR="00D62FA5">
              <w:t xml:space="preserve">working </w:t>
            </w:r>
            <w:r>
              <w:t xml:space="preserve">group has been set up in MBS </w:t>
            </w:r>
            <w:r w:rsidR="00D62FA5">
              <w:t>to devise and take forward an action plan and that it</w:t>
            </w:r>
            <w:r w:rsidR="00D97665">
              <w:t>s first meeting</w:t>
            </w:r>
            <w:r w:rsidR="00D62FA5">
              <w:t xml:space="preserve"> had</w:t>
            </w:r>
            <w:r w:rsidR="00D97665">
              <w:t xml:space="preserve"> taken place the previous week</w:t>
            </w:r>
            <w:r>
              <w:t xml:space="preserve">.  </w:t>
            </w:r>
          </w:p>
        </w:tc>
        <w:tc>
          <w:tcPr>
            <w:tcW w:w="1479" w:type="dxa"/>
          </w:tcPr>
          <w:p w:rsidR="00B40C42" w:rsidRDefault="00B40C42" w:rsidP="00F90E20"/>
        </w:tc>
      </w:tr>
      <w:tr w:rsidR="00B40C42" w:rsidTr="00F90E20">
        <w:tc>
          <w:tcPr>
            <w:tcW w:w="534" w:type="dxa"/>
          </w:tcPr>
          <w:p w:rsidR="00B40C42" w:rsidRDefault="00B40C42" w:rsidP="00F90E20"/>
        </w:tc>
        <w:tc>
          <w:tcPr>
            <w:tcW w:w="567" w:type="dxa"/>
          </w:tcPr>
          <w:p w:rsidR="00B40C42" w:rsidRDefault="00B40C42" w:rsidP="00F90E20"/>
        </w:tc>
        <w:tc>
          <w:tcPr>
            <w:tcW w:w="6662" w:type="dxa"/>
          </w:tcPr>
          <w:p w:rsidR="00B40C42" w:rsidRDefault="00B40C42" w:rsidP="00710883">
            <w:pPr>
              <w:pStyle w:val="PlainText"/>
            </w:pPr>
          </w:p>
        </w:tc>
        <w:tc>
          <w:tcPr>
            <w:tcW w:w="1479" w:type="dxa"/>
          </w:tcPr>
          <w:p w:rsidR="00B40C42" w:rsidRDefault="00B40C42" w:rsidP="00F90E20"/>
        </w:tc>
      </w:tr>
      <w:tr w:rsidR="00B40C42" w:rsidTr="00F90E20">
        <w:tc>
          <w:tcPr>
            <w:tcW w:w="534" w:type="dxa"/>
          </w:tcPr>
          <w:p w:rsidR="00B40C42" w:rsidRDefault="00B40C42" w:rsidP="00F90E20"/>
        </w:tc>
        <w:tc>
          <w:tcPr>
            <w:tcW w:w="567" w:type="dxa"/>
          </w:tcPr>
          <w:p w:rsidR="00B40C42" w:rsidRDefault="00B40C42" w:rsidP="00944811"/>
        </w:tc>
        <w:tc>
          <w:tcPr>
            <w:tcW w:w="6662" w:type="dxa"/>
          </w:tcPr>
          <w:p w:rsidR="00021B4A" w:rsidRDefault="003D6EDA" w:rsidP="00D62FA5">
            <w:pPr>
              <w:pStyle w:val="PlainText"/>
            </w:pPr>
            <w:r>
              <w:t xml:space="preserve">CA </w:t>
            </w:r>
            <w:r w:rsidR="00D62FA5">
              <w:t xml:space="preserve">reported that in Law </w:t>
            </w:r>
            <w:r>
              <w:t>a</w:t>
            </w:r>
            <w:r w:rsidR="00D62FA5">
              <w:t xml:space="preserve">n initial </w:t>
            </w:r>
            <w:r>
              <w:t>meeting had been held</w:t>
            </w:r>
            <w:r w:rsidR="00D62FA5">
              <w:t xml:space="preserve"> to which all staff had been invited, and a</w:t>
            </w:r>
            <w:r>
              <w:t>pproximately 30</w:t>
            </w:r>
            <w:r w:rsidR="00D62FA5">
              <w:t xml:space="preserve"> staff attended</w:t>
            </w:r>
            <w:r>
              <w:t xml:space="preserve">.  </w:t>
            </w:r>
            <w:r w:rsidR="00D62FA5">
              <w:t xml:space="preserve">  </w:t>
            </w:r>
            <w:r w:rsidR="00021B4A">
              <w:t xml:space="preserve">Specific outcomes/issues arising were as follows: </w:t>
            </w:r>
          </w:p>
          <w:p w:rsidR="00021B4A" w:rsidRDefault="00021B4A" w:rsidP="00D62FA5">
            <w:pPr>
              <w:pStyle w:val="PlainText"/>
            </w:pPr>
          </w:p>
          <w:p w:rsidR="00021B4A" w:rsidRDefault="00D62FA5" w:rsidP="00021B4A">
            <w:pPr>
              <w:pStyle w:val="PlainText"/>
              <w:numPr>
                <w:ilvl w:val="0"/>
                <w:numId w:val="15"/>
              </w:numPr>
            </w:pPr>
            <w:r>
              <w:t xml:space="preserve">Colleagues had asked for legal clarification as to how far colleagues could go in taking positive action to address the </w:t>
            </w:r>
            <w:r>
              <w:lastRenderedPageBreak/>
              <w:t xml:space="preserve">underrepresentation of </w:t>
            </w:r>
            <w:r w:rsidR="003D6EDA">
              <w:t>BME and female staff</w:t>
            </w:r>
            <w:r w:rsidR="0032329F">
              <w:t xml:space="preserve"> or whether there was guidance on what is currently being done</w:t>
            </w:r>
            <w:r w:rsidR="00D97665">
              <w:t xml:space="preserve"> in the University</w:t>
            </w:r>
            <w:r w:rsidR="003D6EDA">
              <w:t>.</w:t>
            </w:r>
            <w:r w:rsidR="00EB7467">
              <w:t xml:space="preserve">  </w:t>
            </w:r>
          </w:p>
          <w:p w:rsidR="00021B4A" w:rsidRDefault="00021B4A" w:rsidP="00021B4A">
            <w:pPr>
              <w:pStyle w:val="PlainText"/>
              <w:numPr>
                <w:ilvl w:val="0"/>
                <w:numId w:val="15"/>
              </w:numPr>
            </w:pPr>
            <w:r>
              <w:t>It was decided that a Committee would be set up in order that they embed E&amp;D considerations into the running of the School.  It was also decided to include disability and LGBT matters as part of the work.</w:t>
            </w:r>
          </w:p>
          <w:p w:rsidR="00021B4A" w:rsidRDefault="00021B4A" w:rsidP="00021B4A">
            <w:pPr>
              <w:pStyle w:val="PlainText"/>
              <w:numPr>
                <w:ilvl w:val="0"/>
                <w:numId w:val="15"/>
              </w:numPr>
            </w:pPr>
            <w:r>
              <w:t>Colleagues had also asked about the impact of targeted appointments made as part of Project Diamond.</w:t>
            </w:r>
          </w:p>
        </w:tc>
        <w:tc>
          <w:tcPr>
            <w:tcW w:w="1479" w:type="dxa"/>
          </w:tcPr>
          <w:p w:rsidR="00B40C42" w:rsidRDefault="00B40C42" w:rsidP="00F90E20"/>
          <w:p w:rsidR="00EB7467" w:rsidRDefault="00EB7467" w:rsidP="00F90E20"/>
          <w:p w:rsidR="00EB7467" w:rsidRDefault="00EB7467" w:rsidP="00F90E20"/>
          <w:p w:rsidR="00EB7467" w:rsidRDefault="00EB7467" w:rsidP="00F90E20"/>
          <w:p w:rsidR="00EB7467" w:rsidRDefault="00EB7467" w:rsidP="00F90E20"/>
          <w:p w:rsidR="0032329F" w:rsidRDefault="0032329F" w:rsidP="0032329F">
            <w:pPr>
              <w:rPr>
                <w:b/>
              </w:rPr>
            </w:pPr>
          </w:p>
          <w:p w:rsidR="00EB7467" w:rsidRDefault="00EB7467" w:rsidP="0032329F"/>
        </w:tc>
      </w:tr>
      <w:tr w:rsidR="0032329F" w:rsidTr="00F90E20">
        <w:tc>
          <w:tcPr>
            <w:tcW w:w="534" w:type="dxa"/>
          </w:tcPr>
          <w:p w:rsidR="0032329F" w:rsidRDefault="0032329F" w:rsidP="00F90E20"/>
        </w:tc>
        <w:tc>
          <w:tcPr>
            <w:tcW w:w="567" w:type="dxa"/>
          </w:tcPr>
          <w:p w:rsidR="0032329F" w:rsidRDefault="0032329F" w:rsidP="00F90E20"/>
        </w:tc>
        <w:tc>
          <w:tcPr>
            <w:tcW w:w="6662" w:type="dxa"/>
          </w:tcPr>
          <w:p w:rsidR="0032329F" w:rsidRDefault="0032329F" w:rsidP="00710883">
            <w:pPr>
              <w:pStyle w:val="PlainText"/>
            </w:pPr>
          </w:p>
        </w:tc>
        <w:tc>
          <w:tcPr>
            <w:tcW w:w="1479" w:type="dxa"/>
          </w:tcPr>
          <w:p w:rsidR="0032329F" w:rsidRDefault="0032329F" w:rsidP="00F90E20"/>
        </w:tc>
      </w:tr>
      <w:tr w:rsidR="0032329F" w:rsidTr="00F90E20">
        <w:tc>
          <w:tcPr>
            <w:tcW w:w="534" w:type="dxa"/>
          </w:tcPr>
          <w:p w:rsidR="0032329F" w:rsidRDefault="0032329F" w:rsidP="00F90E20"/>
        </w:tc>
        <w:tc>
          <w:tcPr>
            <w:tcW w:w="567" w:type="dxa"/>
          </w:tcPr>
          <w:p w:rsidR="0032329F" w:rsidRDefault="0032329F" w:rsidP="00F90E20"/>
        </w:tc>
        <w:tc>
          <w:tcPr>
            <w:tcW w:w="6662" w:type="dxa"/>
          </w:tcPr>
          <w:p w:rsidR="00021B4A" w:rsidRDefault="00021B4A" w:rsidP="00021B4A">
            <w:pPr>
              <w:pStyle w:val="PlainText"/>
            </w:pPr>
            <w:r>
              <w:t>In response</w:t>
            </w:r>
            <w:r w:rsidR="00D97665">
              <w:t xml:space="preserve"> to the positive action query</w:t>
            </w:r>
            <w:r>
              <w:t xml:space="preserve">, it was noted that whilst it is unlawful in the UK to positively discriminate, it would be possible to provide some guidance on and examples of positive action.  This could also highlight examples of positive discrimination that would be unlawful.  </w:t>
            </w:r>
          </w:p>
          <w:p w:rsidR="00021B4A" w:rsidRDefault="00021B4A" w:rsidP="00021B4A">
            <w:pPr>
              <w:pStyle w:val="PlainText"/>
            </w:pPr>
          </w:p>
          <w:p w:rsidR="00021B4A" w:rsidRDefault="00021B4A" w:rsidP="000B332F">
            <w:pPr>
              <w:pStyle w:val="PlainText"/>
            </w:pPr>
            <w:r>
              <w:t xml:space="preserve">AM undertook to check whether there was an </w:t>
            </w:r>
            <w:r w:rsidR="000B332F">
              <w:t xml:space="preserve">equality </w:t>
            </w:r>
            <w:r>
              <w:t xml:space="preserve">impact assessment </w:t>
            </w:r>
            <w:r w:rsidR="000B332F">
              <w:t xml:space="preserve">undertaken </w:t>
            </w:r>
            <w:r>
              <w:t>on Project Diamond campaign and whether or not its outcome was available for circulation.</w:t>
            </w:r>
          </w:p>
        </w:tc>
        <w:tc>
          <w:tcPr>
            <w:tcW w:w="1479" w:type="dxa"/>
          </w:tcPr>
          <w:p w:rsidR="0032329F" w:rsidRDefault="00021B4A" w:rsidP="00F90E20">
            <w:r w:rsidRPr="0032329F">
              <w:rPr>
                <w:b/>
              </w:rPr>
              <w:t>Action:</w:t>
            </w:r>
            <w:r>
              <w:t xml:space="preserve">  CF/AM</w:t>
            </w:r>
          </w:p>
          <w:p w:rsidR="00021B4A" w:rsidRDefault="00021B4A" w:rsidP="00F90E20"/>
          <w:p w:rsidR="00021B4A" w:rsidRDefault="00021B4A" w:rsidP="00F90E20"/>
          <w:p w:rsidR="00021B4A" w:rsidRDefault="00021B4A" w:rsidP="00F90E20"/>
          <w:p w:rsidR="00021B4A" w:rsidRDefault="00021B4A" w:rsidP="00F90E20"/>
          <w:p w:rsidR="00021B4A" w:rsidRDefault="00021B4A" w:rsidP="00F90E20">
            <w:r w:rsidRPr="00021B4A">
              <w:rPr>
                <w:b/>
              </w:rPr>
              <w:t>Action:</w:t>
            </w:r>
            <w:r>
              <w:t xml:space="preserve"> AM</w:t>
            </w:r>
          </w:p>
        </w:tc>
      </w:tr>
      <w:tr w:rsidR="0032329F" w:rsidTr="00F90E20">
        <w:tc>
          <w:tcPr>
            <w:tcW w:w="534" w:type="dxa"/>
          </w:tcPr>
          <w:p w:rsidR="0032329F" w:rsidRDefault="0032329F" w:rsidP="00F90E20"/>
        </w:tc>
        <w:tc>
          <w:tcPr>
            <w:tcW w:w="567" w:type="dxa"/>
          </w:tcPr>
          <w:p w:rsidR="0032329F" w:rsidRDefault="0032329F" w:rsidP="00F90E20"/>
        </w:tc>
        <w:tc>
          <w:tcPr>
            <w:tcW w:w="6662" w:type="dxa"/>
          </w:tcPr>
          <w:p w:rsidR="0032329F" w:rsidRDefault="0032329F" w:rsidP="00710883">
            <w:pPr>
              <w:pStyle w:val="PlainText"/>
            </w:pPr>
          </w:p>
        </w:tc>
        <w:tc>
          <w:tcPr>
            <w:tcW w:w="1479" w:type="dxa"/>
          </w:tcPr>
          <w:p w:rsidR="0032329F" w:rsidRDefault="0032329F" w:rsidP="00F90E20"/>
        </w:tc>
      </w:tr>
      <w:tr w:rsidR="0081630C" w:rsidTr="00F90E20">
        <w:tc>
          <w:tcPr>
            <w:tcW w:w="534" w:type="dxa"/>
          </w:tcPr>
          <w:p w:rsidR="0081630C" w:rsidRDefault="0081630C" w:rsidP="00F90E20"/>
        </w:tc>
        <w:tc>
          <w:tcPr>
            <w:tcW w:w="567" w:type="dxa"/>
          </w:tcPr>
          <w:p w:rsidR="0081630C" w:rsidRDefault="0081630C" w:rsidP="00F90E20"/>
        </w:tc>
        <w:tc>
          <w:tcPr>
            <w:tcW w:w="6662" w:type="dxa"/>
          </w:tcPr>
          <w:p w:rsidR="0081630C" w:rsidRDefault="00021B4A" w:rsidP="0032329F">
            <w:pPr>
              <w:pStyle w:val="PlainText"/>
            </w:pPr>
            <w:r>
              <w:t>Colleagues were reminded that the action plans emerging from the work within Schools would be collated to consider common themes in order that, where appropriate, a Faculty-wide approach could be taken.</w:t>
            </w:r>
          </w:p>
          <w:p w:rsidR="00021B4A" w:rsidRDefault="00021B4A" w:rsidP="0032329F">
            <w:pPr>
              <w:pStyle w:val="PlainText"/>
            </w:pPr>
          </w:p>
          <w:p w:rsidR="00021B4A" w:rsidRDefault="00021B4A" w:rsidP="00D97665">
            <w:pPr>
              <w:pStyle w:val="PlainText"/>
            </w:pPr>
            <w:r>
              <w:t xml:space="preserve">It was also noted that the </w:t>
            </w:r>
            <w:r w:rsidR="000B332F">
              <w:t xml:space="preserve">Group should </w:t>
            </w:r>
            <w:r w:rsidR="009C4160">
              <w:t xml:space="preserve">remain focused on a </w:t>
            </w:r>
            <w:r w:rsidR="00D97665">
              <w:t xml:space="preserve">limited range of focused </w:t>
            </w:r>
            <w:r w:rsidR="009C4160">
              <w:t>tasks</w:t>
            </w:r>
            <w:r w:rsidR="00D97665">
              <w:t>,</w:t>
            </w:r>
            <w:r w:rsidR="009C4160">
              <w:t xml:space="preserve"> as there were risks in failing to deliver if too many actions were initiated.</w:t>
            </w:r>
          </w:p>
        </w:tc>
        <w:tc>
          <w:tcPr>
            <w:tcW w:w="1479" w:type="dxa"/>
          </w:tcPr>
          <w:p w:rsidR="0081630C" w:rsidRDefault="0081630C" w:rsidP="00F90E20">
            <w:pPr>
              <w:rPr>
                <w:b/>
              </w:rPr>
            </w:pPr>
          </w:p>
        </w:tc>
      </w:tr>
      <w:tr w:rsidR="009C4160" w:rsidTr="00F90E20">
        <w:tc>
          <w:tcPr>
            <w:tcW w:w="534" w:type="dxa"/>
          </w:tcPr>
          <w:p w:rsidR="009C4160" w:rsidRDefault="009C4160" w:rsidP="00F90E20"/>
        </w:tc>
        <w:tc>
          <w:tcPr>
            <w:tcW w:w="567" w:type="dxa"/>
          </w:tcPr>
          <w:p w:rsidR="009C4160" w:rsidRDefault="009C4160" w:rsidP="00F90E20"/>
        </w:tc>
        <w:tc>
          <w:tcPr>
            <w:tcW w:w="6662" w:type="dxa"/>
          </w:tcPr>
          <w:p w:rsidR="009C4160" w:rsidRDefault="009C4160" w:rsidP="0032329F">
            <w:pPr>
              <w:pStyle w:val="PlainText"/>
            </w:pPr>
          </w:p>
        </w:tc>
        <w:tc>
          <w:tcPr>
            <w:tcW w:w="1479" w:type="dxa"/>
          </w:tcPr>
          <w:p w:rsidR="009C4160" w:rsidRDefault="009C4160" w:rsidP="00F90E20">
            <w:pPr>
              <w:rPr>
                <w:b/>
              </w:rPr>
            </w:pPr>
          </w:p>
        </w:tc>
      </w:tr>
      <w:tr w:rsidR="000E737E" w:rsidTr="00F90E20">
        <w:tc>
          <w:tcPr>
            <w:tcW w:w="534" w:type="dxa"/>
          </w:tcPr>
          <w:p w:rsidR="000E737E" w:rsidRPr="00995500" w:rsidRDefault="00944811" w:rsidP="00944811">
            <w:pPr>
              <w:rPr>
                <w:b/>
              </w:rPr>
            </w:pPr>
            <w:r>
              <w:rPr>
                <w:b/>
              </w:rPr>
              <w:t>5</w:t>
            </w:r>
          </w:p>
        </w:tc>
        <w:tc>
          <w:tcPr>
            <w:tcW w:w="567" w:type="dxa"/>
          </w:tcPr>
          <w:p w:rsidR="000E737E" w:rsidRPr="00995500" w:rsidRDefault="000E737E" w:rsidP="00F90E20">
            <w:pPr>
              <w:rPr>
                <w:b/>
              </w:rPr>
            </w:pPr>
          </w:p>
        </w:tc>
        <w:tc>
          <w:tcPr>
            <w:tcW w:w="6662" w:type="dxa"/>
          </w:tcPr>
          <w:p w:rsidR="000E737E" w:rsidRPr="00995500" w:rsidRDefault="000E737E" w:rsidP="00995500">
            <w:pPr>
              <w:pStyle w:val="PlainText"/>
              <w:rPr>
                <w:b/>
              </w:rPr>
            </w:pPr>
            <w:r>
              <w:rPr>
                <w:b/>
              </w:rPr>
              <w:t>Finalising the Working Group’s report</w:t>
            </w:r>
          </w:p>
        </w:tc>
        <w:tc>
          <w:tcPr>
            <w:tcW w:w="1479" w:type="dxa"/>
          </w:tcPr>
          <w:p w:rsidR="000E737E" w:rsidRDefault="000E737E" w:rsidP="00F90E20"/>
        </w:tc>
      </w:tr>
      <w:tr w:rsidR="000E737E" w:rsidTr="00F90E20">
        <w:tc>
          <w:tcPr>
            <w:tcW w:w="534" w:type="dxa"/>
          </w:tcPr>
          <w:p w:rsidR="000E737E" w:rsidRPr="008C24D1" w:rsidRDefault="000E737E" w:rsidP="00F90E20">
            <w:pPr>
              <w:rPr>
                <w:b/>
              </w:rPr>
            </w:pPr>
          </w:p>
        </w:tc>
        <w:tc>
          <w:tcPr>
            <w:tcW w:w="567" w:type="dxa"/>
          </w:tcPr>
          <w:p w:rsidR="000E737E" w:rsidRDefault="000E737E" w:rsidP="00F90E20"/>
        </w:tc>
        <w:tc>
          <w:tcPr>
            <w:tcW w:w="6662" w:type="dxa"/>
          </w:tcPr>
          <w:p w:rsidR="000E737E" w:rsidRPr="0032329F" w:rsidRDefault="009C4160" w:rsidP="009C4160">
            <w:pPr>
              <w:pStyle w:val="PlainText"/>
            </w:pPr>
            <w:r>
              <w:t xml:space="preserve">Colleagues were reminded that CF and </w:t>
            </w:r>
            <w:r w:rsidR="0032329F">
              <w:t xml:space="preserve">AM </w:t>
            </w:r>
            <w:r>
              <w:t xml:space="preserve">would be finalising the report </w:t>
            </w:r>
            <w:r w:rsidR="0032329F">
              <w:t>for consi</w:t>
            </w:r>
            <w:r w:rsidR="00DC16ED">
              <w:t>deration by HRPC on 13 November.</w:t>
            </w:r>
            <w:r>
              <w:t xml:space="preserve">   This would build on the interim report produced earlier in the year.  A version of the report will be circulated to the Group by email in week commencing 3 November.</w:t>
            </w:r>
          </w:p>
        </w:tc>
        <w:tc>
          <w:tcPr>
            <w:tcW w:w="1479" w:type="dxa"/>
          </w:tcPr>
          <w:p w:rsidR="000E737E" w:rsidRDefault="000E737E" w:rsidP="00F90E20"/>
          <w:p w:rsidR="009C4160" w:rsidRDefault="009C4160" w:rsidP="00F90E20"/>
          <w:p w:rsidR="009C4160" w:rsidRDefault="009C4160" w:rsidP="00F90E20"/>
          <w:p w:rsidR="009C4160" w:rsidRDefault="009C4160" w:rsidP="00F90E20">
            <w:r w:rsidRPr="00DC16ED">
              <w:rPr>
                <w:b/>
              </w:rPr>
              <w:t>Action:</w:t>
            </w:r>
            <w:r>
              <w:t xml:space="preserve">  CF/AM</w:t>
            </w:r>
          </w:p>
        </w:tc>
      </w:tr>
      <w:tr w:rsidR="000E737E" w:rsidTr="00F90E20">
        <w:tc>
          <w:tcPr>
            <w:tcW w:w="534" w:type="dxa"/>
          </w:tcPr>
          <w:p w:rsidR="000E737E" w:rsidRDefault="000E737E" w:rsidP="00906EAE"/>
        </w:tc>
        <w:tc>
          <w:tcPr>
            <w:tcW w:w="567" w:type="dxa"/>
          </w:tcPr>
          <w:p w:rsidR="000E737E" w:rsidRDefault="000E737E" w:rsidP="00906EAE"/>
        </w:tc>
        <w:tc>
          <w:tcPr>
            <w:tcW w:w="6662" w:type="dxa"/>
          </w:tcPr>
          <w:p w:rsidR="000E737E" w:rsidRPr="00F90E20" w:rsidRDefault="000E737E" w:rsidP="00995500">
            <w:pPr>
              <w:pStyle w:val="PlainText"/>
              <w:rPr>
                <w:b/>
              </w:rPr>
            </w:pPr>
          </w:p>
        </w:tc>
        <w:tc>
          <w:tcPr>
            <w:tcW w:w="1479" w:type="dxa"/>
          </w:tcPr>
          <w:p w:rsidR="000E737E" w:rsidRDefault="000E737E" w:rsidP="00F90E20"/>
        </w:tc>
      </w:tr>
      <w:tr w:rsidR="000E737E" w:rsidTr="00F90E20">
        <w:tc>
          <w:tcPr>
            <w:tcW w:w="534" w:type="dxa"/>
          </w:tcPr>
          <w:p w:rsidR="000E737E" w:rsidRDefault="00944811" w:rsidP="00906EAE">
            <w:r>
              <w:rPr>
                <w:b/>
              </w:rPr>
              <w:t>6</w:t>
            </w:r>
          </w:p>
        </w:tc>
        <w:tc>
          <w:tcPr>
            <w:tcW w:w="567" w:type="dxa"/>
          </w:tcPr>
          <w:p w:rsidR="000E737E" w:rsidRDefault="000E737E" w:rsidP="00906EAE"/>
        </w:tc>
        <w:tc>
          <w:tcPr>
            <w:tcW w:w="6662" w:type="dxa"/>
          </w:tcPr>
          <w:p w:rsidR="000E737E" w:rsidRDefault="000E737E" w:rsidP="00906EAE">
            <w:r>
              <w:rPr>
                <w:b/>
              </w:rPr>
              <w:t>Communications plans</w:t>
            </w:r>
          </w:p>
        </w:tc>
        <w:tc>
          <w:tcPr>
            <w:tcW w:w="1479" w:type="dxa"/>
          </w:tcPr>
          <w:p w:rsidR="000E737E" w:rsidRDefault="000E737E" w:rsidP="00F90E20"/>
        </w:tc>
      </w:tr>
      <w:tr w:rsidR="000E737E" w:rsidTr="00F90E20">
        <w:tc>
          <w:tcPr>
            <w:tcW w:w="534" w:type="dxa"/>
          </w:tcPr>
          <w:p w:rsidR="000E737E" w:rsidRDefault="000E737E" w:rsidP="00906EAE"/>
        </w:tc>
        <w:tc>
          <w:tcPr>
            <w:tcW w:w="567" w:type="dxa"/>
          </w:tcPr>
          <w:p w:rsidR="000E737E" w:rsidRDefault="000E737E" w:rsidP="00906EAE"/>
        </w:tc>
        <w:tc>
          <w:tcPr>
            <w:tcW w:w="6662" w:type="dxa"/>
          </w:tcPr>
          <w:p w:rsidR="00D97665" w:rsidRDefault="009C4160" w:rsidP="002912C2">
            <w:pPr>
              <w:pStyle w:val="PlainText"/>
            </w:pPr>
            <w:r>
              <w:t xml:space="preserve">It was noted that the work of the Group had been communicated in </w:t>
            </w:r>
            <w:r w:rsidR="002912C2">
              <w:t xml:space="preserve">Humanities eNews in April with an interim report being presented to Faculty managers at the </w:t>
            </w:r>
            <w:r w:rsidR="002912C2" w:rsidRPr="002912C2">
              <w:t>Dean and Director of Faculty Operations Core Brief</w:t>
            </w:r>
            <w:r w:rsidR="002912C2">
              <w:t xml:space="preserve"> meeting on 11 June. </w:t>
            </w:r>
          </w:p>
          <w:p w:rsidR="00D97665" w:rsidRDefault="00D97665" w:rsidP="002912C2">
            <w:pPr>
              <w:pStyle w:val="PlainText"/>
            </w:pPr>
          </w:p>
          <w:p w:rsidR="006F392E" w:rsidRDefault="002912C2" w:rsidP="00D97665">
            <w:pPr>
              <w:pStyle w:val="PlainText"/>
            </w:pPr>
            <w:r>
              <w:t xml:space="preserve">It was agreed that it </w:t>
            </w:r>
            <w:r w:rsidR="00D97665">
              <w:t xml:space="preserve">was </w:t>
            </w:r>
            <w:r>
              <w:t xml:space="preserve">important to use communications channels to highlight the additional work undertaken at both School and Faculty level.  Specifically, it was important that work undertaken and work in progress were highlighted such as the policy review work and development of action plans including positive action initiatives.  </w:t>
            </w:r>
            <w:r w:rsidR="00D97665">
              <w:t xml:space="preserve">To this end, </w:t>
            </w:r>
            <w:r>
              <w:t xml:space="preserve">AM and CF would consult with the Faculty’s </w:t>
            </w:r>
            <w:r w:rsidRPr="002912C2">
              <w:t>Head of Communications And Marketing</w:t>
            </w:r>
            <w:r>
              <w:t xml:space="preserve"> after the report was submitted to HPRC.</w:t>
            </w:r>
          </w:p>
        </w:tc>
        <w:tc>
          <w:tcPr>
            <w:tcW w:w="1479" w:type="dxa"/>
          </w:tcPr>
          <w:p w:rsidR="000E737E" w:rsidRDefault="000E737E" w:rsidP="00F90E20"/>
          <w:p w:rsidR="002912C2" w:rsidRDefault="002912C2" w:rsidP="00F90E20"/>
          <w:p w:rsidR="002912C2" w:rsidRDefault="002912C2" w:rsidP="00F90E20"/>
          <w:p w:rsidR="002912C2" w:rsidRDefault="002912C2" w:rsidP="00F90E20"/>
          <w:p w:rsidR="002912C2" w:rsidRDefault="002912C2" w:rsidP="00F90E20"/>
          <w:p w:rsidR="002912C2" w:rsidRDefault="002912C2" w:rsidP="00F90E20"/>
          <w:p w:rsidR="002912C2" w:rsidRDefault="002912C2" w:rsidP="00F90E20"/>
          <w:p w:rsidR="002912C2" w:rsidRDefault="002912C2" w:rsidP="00F90E20"/>
          <w:p w:rsidR="002912C2" w:rsidRDefault="002912C2" w:rsidP="00F90E20">
            <w:r w:rsidRPr="00DC16ED">
              <w:rPr>
                <w:b/>
              </w:rPr>
              <w:t>Action:</w:t>
            </w:r>
            <w:r>
              <w:t xml:space="preserve">  CF/AM</w:t>
            </w:r>
          </w:p>
          <w:p w:rsidR="002912C2" w:rsidRDefault="002912C2" w:rsidP="00F90E20"/>
        </w:tc>
      </w:tr>
      <w:tr w:rsidR="000E737E" w:rsidTr="00F90E20">
        <w:tc>
          <w:tcPr>
            <w:tcW w:w="534" w:type="dxa"/>
          </w:tcPr>
          <w:p w:rsidR="000E737E" w:rsidRDefault="000E737E" w:rsidP="00906EAE"/>
        </w:tc>
        <w:tc>
          <w:tcPr>
            <w:tcW w:w="567" w:type="dxa"/>
          </w:tcPr>
          <w:p w:rsidR="000E737E" w:rsidRDefault="000E737E" w:rsidP="00906EAE"/>
        </w:tc>
        <w:tc>
          <w:tcPr>
            <w:tcW w:w="6662" w:type="dxa"/>
          </w:tcPr>
          <w:p w:rsidR="000E737E" w:rsidRDefault="000E737E" w:rsidP="00906EAE"/>
        </w:tc>
        <w:tc>
          <w:tcPr>
            <w:tcW w:w="1479" w:type="dxa"/>
          </w:tcPr>
          <w:p w:rsidR="000E737E" w:rsidRDefault="000E737E" w:rsidP="00F90E20"/>
        </w:tc>
      </w:tr>
      <w:tr w:rsidR="000E737E" w:rsidTr="00F90E20">
        <w:tc>
          <w:tcPr>
            <w:tcW w:w="534" w:type="dxa"/>
          </w:tcPr>
          <w:p w:rsidR="000E737E" w:rsidRPr="00F90E20" w:rsidRDefault="00944811" w:rsidP="00944811">
            <w:pPr>
              <w:rPr>
                <w:b/>
              </w:rPr>
            </w:pPr>
            <w:r>
              <w:rPr>
                <w:b/>
              </w:rPr>
              <w:t>7</w:t>
            </w:r>
          </w:p>
        </w:tc>
        <w:tc>
          <w:tcPr>
            <w:tcW w:w="567" w:type="dxa"/>
          </w:tcPr>
          <w:p w:rsidR="000E737E" w:rsidRPr="00F90E20" w:rsidRDefault="000E737E" w:rsidP="00F90E20">
            <w:pPr>
              <w:rPr>
                <w:b/>
              </w:rPr>
            </w:pPr>
          </w:p>
        </w:tc>
        <w:tc>
          <w:tcPr>
            <w:tcW w:w="6662" w:type="dxa"/>
          </w:tcPr>
          <w:p w:rsidR="000E737E" w:rsidRPr="00F90E20" w:rsidRDefault="000E737E" w:rsidP="00F90E20">
            <w:pPr>
              <w:rPr>
                <w:b/>
              </w:rPr>
            </w:pPr>
            <w:r>
              <w:rPr>
                <w:b/>
              </w:rPr>
              <w:t>Further work and ongoing role of the Group</w:t>
            </w:r>
          </w:p>
        </w:tc>
        <w:tc>
          <w:tcPr>
            <w:tcW w:w="1479" w:type="dxa"/>
          </w:tcPr>
          <w:p w:rsidR="000E737E" w:rsidRDefault="000E737E" w:rsidP="00F90E20"/>
        </w:tc>
      </w:tr>
      <w:tr w:rsidR="000E737E" w:rsidTr="00F90E20">
        <w:tc>
          <w:tcPr>
            <w:tcW w:w="534" w:type="dxa"/>
          </w:tcPr>
          <w:p w:rsidR="000E737E" w:rsidRDefault="000E737E" w:rsidP="00F90E20"/>
        </w:tc>
        <w:tc>
          <w:tcPr>
            <w:tcW w:w="567" w:type="dxa"/>
          </w:tcPr>
          <w:p w:rsidR="000E737E" w:rsidRDefault="000E737E" w:rsidP="00F90E20"/>
        </w:tc>
        <w:tc>
          <w:tcPr>
            <w:tcW w:w="6662" w:type="dxa"/>
          </w:tcPr>
          <w:p w:rsidR="00C26ED0" w:rsidRDefault="002912C2" w:rsidP="00563A7E">
            <w:pPr>
              <w:pStyle w:val="PlainText"/>
            </w:pPr>
            <w:r>
              <w:t xml:space="preserve">It was agreed that the Group should continue to meet to continue the work it has started and to monitor the impact of the emerging action plans.  </w:t>
            </w:r>
            <w:r w:rsidR="00DC16ED">
              <w:t xml:space="preserve">The </w:t>
            </w:r>
            <w:r w:rsidR="00563A7E">
              <w:t>G</w:t>
            </w:r>
            <w:r w:rsidR="00C26ED0">
              <w:t>roup</w:t>
            </w:r>
            <w:r w:rsidR="00DC16ED">
              <w:t xml:space="preserve"> </w:t>
            </w:r>
            <w:r w:rsidR="00563A7E">
              <w:t xml:space="preserve">provided an excellent forum to share and </w:t>
            </w:r>
            <w:r w:rsidR="00C26ED0">
              <w:t>discuss experience and progress</w:t>
            </w:r>
            <w:r w:rsidR="00563A7E">
              <w:t>, and to help communicate what was happening generally within the University such as in the Race Equality Charter Mark Working Group</w:t>
            </w:r>
            <w:r w:rsidR="00C26ED0">
              <w:t xml:space="preserve">. </w:t>
            </w:r>
          </w:p>
          <w:p w:rsidR="00563A7E" w:rsidRDefault="00563A7E" w:rsidP="00563A7E">
            <w:pPr>
              <w:pStyle w:val="PlainText"/>
            </w:pPr>
          </w:p>
          <w:p w:rsidR="00563A7E" w:rsidRDefault="00563A7E" w:rsidP="00563A7E">
            <w:pPr>
              <w:pStyle w:val="PlainText"/>
            </w:pPr>
            <w:r>
              <w:t>It was agreed that the Group should meet in February, May and October each year.  The May meeting would be in advance of the mid-year APR E&amp;D review and the October meeting in advance of the end of year E&amp;D APR review.</w:t>
            </w:r>
          </w:p>
        </w:tc>
        <w:tc>
          <w:tcPr>
            <w:tcW w:w="1479" w:type="dxa"/>
          </w:tcPr>
          <w:p w:rsidR="000E737E" w:rsidRPr="00B42655" w:rsidRDefault="000E737E" w:rsidP="00F90E20"/>
        </w:tc>
      </w:tr>
      <w:tr w:rsidR="000E737E" w:rsidTr="00F90E20">
        <w:tc>
          <w:tcPr>
            <w:tcW w:w="534" w:type="dxa"/>
          </w:tcPr>
          <w:p w:rsidR="000E737E" w:rsidRDefault="000E737E" w:rsidP="00F90E20"/>
        </w:tc>
        <w:tc>
          <w:tcPr>
            <w:tcW w:w="567" w:type="dxa"/>
          </w:tcPr>
          <w:p w:rsidR="000E737E" w:rsidRDefault="000E737E" w:rsidP="00F90E20"/>
        </w:tc>
        <w:tc>
          <w:tcPr>
            <w:tcW w:w="6662" w:type="dxa"/>
          </w:tcPr>
          <w:p w:rsidR="000E737E" w:rsidRDefault="000E737E" w:rsidP="00314D63">
            <w:pPr>
              <w:pStyle w:val="PlainText"/>
            </w:pPr>
          </w:p>
        </w:tc>
        <w:tc>
          <w:tcPr>
            <w:tcW w:w="1479" w:type="dxa"/>
          </w:tcPr>
          <w:p w:rsidR="000E737E" w:rsidRDefault="000E737E" w:rsidP="00F90E20"/>
        </w:tc>
      </w:tr>
      <w:tr w:rsidR="000E737E" w:rsidTr="00F90E20">
        <w:tc>
          <w:tcPr>
            <w:tcW w:w="534" w:type="dxa"/>
          </w:tcPr>
          <w:p w:rsidR="000E737E" w:rsidRPr="008C24D1" w:rsidRDefault="00944811" w:rsidP="00F90E20">
            <w:pPr>
              <w:rPr>
                <w:b/>
              </w:rPr>
            </w:pPr>
            <w:r>
              <w:rPr>
                <w:b/>
              </w:rPr>
              <w:t>8</w:t>
            </w:r>
          </w:p>
        </w:tc>
        <w:tc>
          <w:tcPr>
            <w:tcW w:w="567" w:type="dxa"/>
          </w:tcPr>
          <w:p w:rsidR="000E737E" w:rsidRPr="008C24D1" w:rsidRDefault="000E737E" w:rsidP="00F90E20">
            <w:pPr>
              <w:rPr>
                <w:b/>
              </w:rPr>
            </w:pPr>
          </w:p>
        </w:tc>
        <w:tc>
          <w:tcPr>
            <w:tcW w:w="6662" w:type="dxa"/>
          </w:tcPr>
          <w:p w:rsidR="000E737E" w:rsidRDefault="000E737E" w:rsidP="00F90E20">
            <w:r>
              <w:rPr>
                <w:b/>
              </w:rPr>
              <w:t>Any other business</w:t>
            </w:r>
          </w:p>
        </w:tc>
        <w:tc>
          <w:tcPr>
            <w:tcW w:w="1479" w:type="dxa"/>
          </w:tcPr>
          <w:p w:rsidR="000E737E" w:rsidRDefault="000E737E" w:rsidP="00F90E20"/>
        </w:tc>
      </w:tr>
      <w:tr w:rsidR="00944811" w:rsidTr="00F90E20">
        <w:tc>
          <w:tcPr>
            <w:tcW w:w="534" w:type="dxa"/>
          </w:tcPr>
          <w:p w:rsidR="00944811" w:rsidRDefault="00944811" w:rsidP="00F90E20">
            <w:pPr>
              <w:rPr>
                <w:b/>
              </w:rPr>
            </w:pPr>
          </w:p>
        </w:tc>
        <w:tc>
          <w:tcPr>
            <w:tcW w:w="567" w:type="dxa"/>
          </w:tcPr>
          <w:p w:rsidR="00944811" w:rsidRPr="00944811" w:rsidRDefault="00944811" w:rsidP="00F90E20">
            <w:r w:rsidRPr="00944811">
              <w:t>8.1</w:t>
            </w:r>
          </w:p>
        </w:tc>
        <w:tc>
          <w:tcPr>
            <w:tcW w:w="6662" w:type="dxa"/>
          </w:tcPr>
          <w:p w:rsidR="00944811" w:rsidRPr="00944811" w:rsidRDefault="00944811" w:rsidP="00F90E20">
            <w:pPr>
              <w:rPr>
                <w:u w:val="single"/>
              </w:rPr>
            </w:pPr>
            <w:r w:rsidRPr="00944811">
              <w:rPr>
                <w:u w:val="single"/>
              </w:rPr>
              <w:t>Academic Promotions</w:t>
            </w:r>
          </w:p>
        </w:tc>
        <w:tc>
          <w:tcPr>
            <w:tcW w:w="1479" w:type="dxa"/>
          </w:tcPr>
          <w:p w:rsidR="00944811" w:rsidRDefault="00944811" w:rsidP="00F90E20"/>
        </w:tc>
      </w:tr>
      <w:tr w:rsidR="000E737E" w:rsidRPr="00563A7E" w:rsidTr="00F90E20">
        <w:tc>
          <w:tcPr>
            <w:tcW w:w="534" w:type="dxa"/>
          </w:tcPr>
          <w:p w:rsidR="000E737E" w:rsidRPr="008C24D1" w:rsidRDefault="000E737E" w:rsidP="00F90E20">
            <w:pPr>
              <w:rPr>
                <w:b/>
              </w:rPr>
            </w:pPr>
          </w:p>
        </w:tc>
        <w:tc>
          <w:tcPr>
            <w:tcW w:w="567" w:type="dxa"/>
          </w:tcPr>
          <w:p w:rsidR="000E737E" w:rsidRPr="008C24D1" w:rsidRDefault="000E737E" w:rsidP="00944811"/>
        </w:tc>
        <w:tc>
          <w:tcPr>
            <w:tcW w:w="6662" w:type="dxa"/>
          </w:tcPr>
          <w:p w:rsidR="006F392E" w:rsidRPr="006F392E" w:rsidRDefault="006F392E" w:rsidP="00563A7E">
            <w:pPr>
              <w:pStyle w:val="PlainText"/>
              <w:tabs>
                <w:tab w:val="left" w:pos="2595"/>
              </w:tabs>
            </w:pPr>
            <w:r w:rsidRPr="006F392E">
              <w:t xml:space="preserve">CAn </w:t>
            </w:r>
            <w:r w:rsidR="00563A7E">
              <w:t xml:space="preserve"> referred to a presentation given by Professor Aneez Esmail, former Associate VP for Social Responsibility </w:t>
            </w:r>
            <w:r w:rsidRPr="006F392E">
              <w:t xml:space="preserve">regarding the role of the Schools Promotion Committee </w:t>
            </w:r>
            <w:r w:rsidR="00563A7E">
              <w:t xml:space="preserve">where he emphasised that SPCs should seek to </w:t>
            </w:r>
            <w:r w:rsidRPr="006F392E">
              <w:t>be supportive and not just gatekeepers</w:t>
            </w:r>
            <w:r w:rsidR="00563A7E">
              <w:t xml:space="preserve">.   </w:t>
            </w:r>
            <w:r w:rsidRPr="006F392E">
              <w:t xml:space="preserve"> CAn </w:t>
            </w:r>
            <w:r w:rsidR="00563A7E">
              <w:t xml:space="preserve">noted that this is </w:t>
            </w:r>
            <w:r w:rsidRPr="006F392E">
              <w:t>an important message to be communicated as there is confusion as to the role.  CF s</w:t>
            </w:r>
            <w:r>
              <w:t xml:space="preserve">tated that the </w:t>
            </w:r>
            <w:r w:rsidR="00D97665">
              <w:t xml:space="preserve">Faculty promotions </w:t>
            </w:r>
            <w:r>
              <w:t>guidelines</w:t>
            </w:r>
            <w:r w:rsidR="00563A7E">
              <w:t xml:space="preserve"> had </w:t>
            </w:r>
            <w:r w:rsidR="00D97665">
              <w:t xml:space="preserve">recently </w:t>
            </w:r>
            <w:r w:rsidR="00563A7E">
              <w:t>been reviewed by AM to include a more prominent and detailed reference to equality and diversity considerations.</w:t>
            </w:r>
          </w:p>
        </w:tc>
        <w:tc>
          <w:tcPr>
            <w:tcW w:w="1479" w:type="dxa"/>
          </w:tcPr>
          <w:p w:rsidR="006F392E" w:rsidRPr="00563A7E" w:rsidRDefault="006F392E" w:rsidP="00F90E20">
            <w:pPr>
              <w:rPr>
                <w:b/>
              </w:rPr>
            </w:pPr>
          </w:p>
          <w:p w:rsidR="006F392E" w:rsidRPr="00563A7E" w:rsidRDefault="006F392E" w:rsidP="00F90E20">
            <w:pPr>
              <w:rPr>
                <w:b/>
              </w:rPr>
            </w:pPr>
          </w:p>
          <w:p w:rsidR="006F392E" w:rsidRPr="00563A7E" w:rsidRDefault="006F392E" w:rsidP="00F90E20">
            <w:pPr>
              <w:rPr>
                <w:b/>
              </w:rPr>
            </w:pPr>
          </w:p>
          <w:p w:rsidR="006F392E" w:rsidRPr="00563A7E" w:rsidRDefault="006F392E" w:rsidP="00F90E20">
            <w:pPr>
              <w:rPr>
                <w:b/>
              </w:rPr>
            </w:pPr>
          </w:p>
          <w:p w:rsidR="006F392E" w:rsidRPr="00563A7E" w:rsidRDefault="006F392E" w:rsidP="00F90E20">
            <w:pPr>
              <w:rPr>
                <w:b/>
              </w:rPr>
            </w:pPr>
          </w:p>
          <w:p w:rsidR="00563A7E" w:rsidRDefault="00563A7E" w:rsidP="00944811">
            <w:pPr>
              <w:rPr>
                <w:b/>
              </w:rPr>
            </w:pPr>
          </w:p>
          <w:p w:rsidR="00563A7E" w:rsidRDefault="00563A7E" w:rsidP="00944811">
            <w:pPr>
              <w:rPr>
                <w:b/>
              </w:rPr>
            </w:pPr>
          </w:p>
          <w:p w:rsidR="000E737E" w:rsidRPr="00563A7E" w:rsidRDefault="006F392E" w:rsidP="00944811">
            <w:pPr>
              <w:rPr>
                <w:b/>
              </w:rPr>
            </w:pPr>
            <w:r w:rsidRPr="00563A7E">
              <w:rPr>
                <w:b/>
              </w:rPr>
              <w:t xml:space="preserve">Action: </w:t>
            </w:r>
            <w:r w:rsidR="00563A7E" w:rsidRPr="00563A7E">
              <w:t>AM</w:t>
            </w:r>
          </w:p>
        </w:tc>
      </w:tr>
      <w:tr w:rsidR="000E737E" w:rsidTr="00F90E20">
        <w:tc>
          <w:tcPr>
            <w:tcW w:w="534" w:type="dxa"/>
          </w:tcPr>
          <w:p w:rsidR="000E737E" w:rsidRDefault="000E737E" w:rsidP="00F90E20"/>
        </w:tc>
        <w:tc>
          <w:tcPr>
            <w:tcW w:w="567" w:type="dxa"/>
          </w:tcPr>
          <w:p w:rsidR="000E737E" w:rsidRDefault="000E737E" w:rsidP="00F90E20"/>
        </w:tc>
        <w:tc>
          <w:tcPr>
            <w:tcW w:w="6662" w:type="dxa"/>
          </w:tcPr>
          <w:p w:rsidR="000E737E" w:rsidRPr="008C24D1" w:rsidRDefault="000E737E" w:rsidP="008C24D1">
            <w:pPr>
              <w:pStyle w:val="PlainText"/>
              <w:rPr>
                <w:u w:val="single"/>
              </w:rPr>
            </w:pPr>
          </w:p>
        </w:tc>
        <w:tc>
          <w:tcPr>
            <w:tcW w:w="1479" w:type="dxa"/>
          </w:tcPr>
          <w:p w:rsidR="000E737E" w:rsidRDefault="000E737E" w:rsidP="00F90E20"/>
        </w:tc>
      </w:tr>
      <w:tr w:rsidR="000E737E" w:rsidTr="00F90E20">
        <w:tc>
          <w:tcPr>
            <w:tcW w:w="534" w:type="dxa"/>
          </w:tcPr>
          <w:p w:rsidR="000E737E" w:rsidRPr="00253E95" w:rsidRDefault="00944811" w:rsidP="00944811">
            <w:pPr>
              <w:rPr>
                <w:b/>
              </w:rPr>
            </w:pPr>
            <w:r>
              <w:rPr>
                <w:b/>
              </w:rPr>
              <w:t>9</w:t>
            </w:r>
          </w:p>
        </w:tc>
        <w:tc>
          <w:tcPr>
            <w:tcW w:w="567" w:type="dxa"/>
          </w:tcPr>
          <w:p w:rsidR="000E737E" w:rsidRPr="006F392E" w:rsidRDefault="000E737E" w:rsidP="00F90E20"/>
        </w:tc>
        <w:tc>
          <w:tcPr>
            <w:tcW w:w="6662" w:type="dxa"/>
          </w:tcPr>
          <w:p w:rsidR="000E737E" w:rsidRPr="00253E95" w:rsidRDefault="00DC16ED" w:rsidP="00C65209">
            <w:pPr>
              <w:rPr>
                <w:b/>
              </w:rPr>
            </w:pPr>
            <w:r>
              <w:rPr>
                <w:b/>
              </w:rPr>
              <w:t>Date of the next meeting</w:t>
            </w:r>
          </w:p>
        </w:tc>
        <w:tc>
          <w:tcPr>
            <w:tcW w:w="1479" w:type="dxa"/>
          </w:tcPr>
          <w:p w:rsidR="000E737E" w:rsidRDefault="000E737E" w:rsidP="00005877"/>
        </w:tc>
      </w:tr>
      <w:tr w:rsidR="00DC16ED" w:rsidTr="00F90E20">
        <w:tc>
          <w:tcPr>
            <w:tcW w:w="534" w:type="dxa"/>
          </w:tcPr>
          <w:p w:rsidR="00DC16ED" w:rsidRDefault="00DC16ED" w:rsidP="00F90E20">
            <w:pPr>
              <w:rPr>
                <w:b/>
              </w:rPr>
            </w:pPr>
          </w:p>
        </w:tc>
        <w:tc>
          <w:tcPr>
            <w:tcW w:w="567" w:type="dxa"/>
          </w:tcPr>
          <w:p w:rsidR="00DC16ED" w:rsidRPr="006F392E" w:rsidRDefault="00DC16ED" w:rsidP="00F90E20"/>
        </w:tc>
        <w:tc>
          <w:tcPr>
            <w:tcW w:w="6662" w:type="dxa"/>
          </w:tcPr>
          <w:p w:rsidR="00DC16ED" w:rsidRPr="00253E95" w:rsidRDefault="00DC16ED" w:rsidP="00D97665">
            <w:pPr>
              <w:rPr>
                <w:b/>
              </w:rPr>
            </w:pPr>
            <w:r>
              <w:t>It was agreed that the next meeting would be scheduled early in February 2015</w:t>
            </w:r>
            <w:r w:rsidR="00563A7E">
              <w:t>,</w:t>
            </w:r>
            <w:r>
              <w:t xml:space="preserve"> but </w:t>
            </w:r>
            <w:r w:rsidR="008C26C6">
              <w:t xml:space="preserve">that developments </w:t>
            </w:r>
            <w:r>
              <w:t xml:space="preserve">would </w:t>
            </w:r>
            <w:r w:rsidR="00D97665">
              <w:t xml:space="preserve">be </w:t>
            </w:r>
            <w:r>
              <w:t>communicate</w:t>
            </w:r>
            <w:r w:rsidR="00D97665">
              <w:t xml:space="preserve">d to the group </w:t>
            </w:r>
            <w:r>
              <w:t xml:space="preserve">via email in </w:t>
            </w:r>
            <w:r w:rsidR="00563A7E">
              <w:t xml:space="preserve">the meantime.  </w:t>
            </w:r>
          </w:p>
        </w:tc>
        <w:tc>
          <w:tcPr>
            <w:tcW w:w="1479" w:type="dxa"/>
          </w:tcPr>
          <w:p w:rsidR="00DC16ED" w:rsidRDefault="00DC16ED" w:rsidP="00F93D5D">
            <w:r w:rsidRPr="00C65209">
              <w:rPr>
                <w:b/>
              </w:rPr>
              <w:t>Action:</w:t>
            </w:r>
            <w:r>
              <w:t xml:space="preserve">  NTV</w:t>
            </w:r>
          </w:p>
        </w:tc>
      </w:tr>
    </w:tbl>
    <w:p w:rsidR="00F90E20" w:rsidRDefault="00F90E20" w:rsidP="001F71C7"/>
    <w:sectPr w:rsidR="00F90E2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E76" w:rsidRDefault="00B37E76" w:rsidP="009A0559">
      <w:pPr>
        <w:spacing w:after="0" w:line="240" w:lineRule="auto"/>
      </w:pPr>
      <w:r>
        <w:separator/>
      </w:r>
    </w:p>
  </w:endnote>
  <w:endnote w:type="continuationSeparator" w:id="0">
    <w:p w:rsidR="00B37E76" w:rsidRDefault="00B37E76" w:rsidP="009A0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8426923"/>
      <w:docPartObj>
        <w:docPartGallery w:val="Page Numbers (Bottom of Page)"/>
        <w:docPartUnique/>
      </w:docPartObj>
    </w:sdtPr>
    <w:sdtEndPr/>
    <w:sdtContent>
      <w:sdt>
        <w:sdtPr>
          <w:id w:val="-1669238322"/>
          <w:docPartObj>
            <w:docPartGallery w:val="Page Numbers (Top of Page)"/>
            <w:docPartUnique/>
          </w:docPartObj>
        </w:sdtPr>
        <w:sdtEndPr/>
        <w:sdtContent>
          <w:p w:rsidR="009A0559" w:rsidRDefault="009A055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27E85">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27E85">
              <w:rPr>
                <w:b/>
                <w:bCs/>
                <w:noProof/>
              </w:rPr>
              <w:t>2</w:t>
            </w:r>
            <w:r>
              <w:rPr>
                <w:b/>
                <w:bCs/>
                <w:sz w:val="24"/>
                <w:szCs w:val="24"/>
              </w:rPr>
              <w:fldChar w:fldCharType="end"/>
            </w:r>
          </w:p>
        </w:sdtContent>
      </w:sdt>
    </w:sdtContent>
  </w:sdt>
  <w:p w:rsidR="009A0559" w:rsidRDefault="009A05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E76" w:rsidRDefault="00B37E76" w:rsidP="009A0559">
      <w:pPr>
        <w:spacing w:after="0" w:line="240" w:lineRule="auto"/>
      </w:pPr>
      <w:r>
        <w:separator/>
      </w:r>
    </w:p>
  </w:footnote>
  <w:footnote w:type="continuationSeparator" w:id="0">
    <w:p w:rsidR="00B37E76" w:rsidRDefault="00B37E76" w:rsidP="009A05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A77C6"/>
    <w:multiLevelType w:val="hybridMultilevel"/>
    <w:tmpl w:val="66E86F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EA805C8"/>
    <w:multiLevelType w:val="hybridMultilevel"/>
    <w:tmpl w:val="15302E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4007753"/>
    <w:multiLevelType w:val="hybridMultilevel"/>
    <w:tmpl w:val="FE64D58A"/>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B4A0A13"/>
    <w:multiLevelType w:val="hybridMultilevel"/>
    <w:tmpl w:val="384628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89C037A"/>
    <w:multiLevelType w:val="hybridMultilevel"/>
    <w:tmpl w:val="FFA862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A1445C2"/>
    <w:multiLevelType w:val="hybridMultilevel"/>
    <w:tmpl w:val="720821EC"/>
    <w:lvl w:ilvl="0" w:tplc="08090001">
      <w:start w:val="1"/>
      <w:numFmt w:val="bullet"/>
      <w:lvlText w:val=""/>
      <w:lvlJc w:val="left"/>
      <w:pPr>
        <w:ind w:left="393" w:hanging="360"/>
      </w:pPr>
      <w:rPr>
        <w:rFonts w:ascii="Symbol" w:hAnsi="Symbol" w:hint="default"/>
      </w:rPr>
    </w:lvl>
    <w:lvl w:ilvl="1" w:tplc="08090003" w:tentative="1">
      <w:start w:val="1"/>
      <w:numFmt w:val="bullet"/>
      <w:lvlText w:val="o"/>
      <w:lvlJc w:val="left"/>
      <w:pPr>
        <w:ind w:left="1113" w:hanging="360"/>
      </w:pPr>
      <w:rPr>
        <w:rFonts w:ascii="Courier New" w:hAnsi="Courier New" w:cs="Courier New" w:hint="default"/>
      </w:rPr>
    </w:lvl>
    <w:lvl w:ilvl="2" w:tplc="08090005" w:tentative="1">
      <w:start w:val="1"/>
      <w:numFmt w:val="bullet"/>
      <w:lvlText w:val=""/>
      <w:lvlJc w:val="left"/>
      <w:pPr>
        <w:ind w:left="1833" w:hanging="360"/>
      </w:pPr>
      <w:rPr>
        <w:rFonts w:ascii="Wingdings" w:hAnsi="Wingdings" w:hint="default"/>
      </w:rPr>
    </w:lvl>
    <w:lvl w:ilvl="3" w:tplc="08090001" w:tentative="1">
      <w:start w:val="1"/>
      <w:numFmt w:val="bullet"/>
      <w:lvlText w:val=""/>
      <w:lvlJc w:val="left"/>
      <w:pPr>
        <w:ind w:left="2553" w:hanging="360"/>
      </w:pPr>
      <w:rPr>
        <w:rFonts w:ascii="Symbol" w:hAnsi="Symbol" w:hint="default"/>
      </w:rPr>
    </w:lvl>
    <w:lvl w:ilvl="4" w:tplc="08090003" w:tentative="1">
      <w:start w:val="1"/>
      <w:numFmt w:val="bullet"/>
      <w:lvlText w:val="o"/>
      <w:lvlJc w:val="left"/>
      <w:pPr>
        <w:ind w:left="3273" w:hanging="360"/>
      </w:pPr>
      <w:rPr>
        <w:rFonts w:ascii="Courier New" w:hAnsi="Courier New" w:cs="Courier New" w:hint="default"/>
      </w:rPr>
    </w:lvl>
    <w:lvl w:ilvl="5" w:tplc="08090005" w:tentative="1">
      <w:start w:val="1"/>
      <w:numFmt w:val="bullet"/>
      <w:lvlText w:val=""/>
      <w:lvlJc w:val="left"/>
      <w:pPr>
        <w:ind w:left="3993" w:hanging="360"/>
      </w:pPr>
      <w:rPr>
        <w:rFonts w:ascii="Wingdings" w:hAnsi="Wingdings" w:hint="default"/>
      </w:rPr>
    </w:lvl>
    <w:lvl w:ilvl="6" w:tplc="08090001" w:tentative="1">
      <w:start w:val="1"/>
      <w:numFmt w:val="bullet"/>
      <w:lvlText w:val=""/>
      <w:lvlJc w:val="left"/>
      <w:pPr>
        <w:ind w:left="4713" w:hanging="360"/>
      </w:pPr>
      <w:rPr>
        <w:rFonts w:ascii="Symbol" w:hAnsi="Symbol" w:hint="default"/>
      </w:rPr>
    </w:lvl>
    <w:lvl w:ilvl="7" w:tplc="08090003" w:tentative="1">
      <w:start w:val="1"/>
      <w:numFmt w:val="bullet"/>
      <w:lvlText w:val="o"/>
      <w:lvlJc w:val="left"/>
      <w:pPr>
        <w:ind w:left="5433" w:hanging="360"/>
      </w:pPr>
      <w:rPr>
        <w:rFonts w:ascii="Courier New" w:hAnsi="Courier New" w:cs="Courier New" w:hint="default"/>
      </w:rPr>
    </w:lvl>
    <w:lvl w:ilvl="8" w:tplc="08090005" w:tentative="1">
      <w:start w:val="1"/>
      <w:numFmt w:val="bullet"/>
      <w:lvlText w:val=""/>
      <w:lvlJc w:val="left"/>
      <w:pPr>
        <w:ind w:left="6153" w:hanging="360"/>
      </w:pPr>
      <w:rPr>
        <w:rFonts w:ascii="Wingdings" w:hAnsi="Wingdings" w:hint="default"/>
      </w:rPr>
    </w:lvl>
  </w:abstractNum>
  <w:abstractNum w:abstractNumId="6">
    <w:nsid w:val="535B0712"/>
    <w:multiLevelType w:val="hybridMultilevel"/>
    <w:tmpl w:val="EF063F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55F315A2"/>
    <w:multiLevelType w:val="hybridMultilevel"/>
    <w:tmpl w:val="5E0A37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57CF6B98"/>
    <w:multiLevelType w:val="hybridMultilevel"/>
    <w:tmpl w:val="FB8AA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48D5426"/>
    <w:multiLevelType w:val="hybridMultilevel"/>
    <w:tmpl w:val="0868C000"/>
    <w:lvl w:ilvl="0" w:tplc="08090001">
      <w:start w:val="1"/>
      <w:numFmt w:val="bullet"/>
      <w:lvlText w:val=""/>
      <w:lvlJc w:val="left"/>
      <w:pPr>
        <w:ind w:left="393" w:hanging="360"/>
      </w:pPr>
      <w:rPr>
        <w:rFonts w:ascii="Symbol" w:hAnsi="Symbol" w:hint="default"/>
      </w:rPr>
    </w:lvl>
    <w:lvl w:ilvl="1" w:tplc="08090003">
      <w:start w:val="1"/>
      <w:numFmt w:val="bullet"/>
      <w:lvlText w:val="o"/>
      <w:lvlJc w:val="left"/>
      <w:pPr>
        <w:ind w:left="1113" w:hanging="360"/>
      </w:pPr>
      <w:rPr>
        <w:rFonts w:ascii="Courier New" w:hAnsi="Courier New" w:cs="Courier New" w:hint="default"/>
      </w:rPr>
    </w:lvl>
    <w:lvl w:ilvl="2" w:tplc="08090005" w:tentative="1">
      <w:start w:val="1"/>
      <w:numFmt w:val="bullet"/>
      <w:lvlText w:val=""/>
      <w:lvlJc w:val="left"/>
      <w:pPr>
        <w:ind w:left="1833" w:hanging="360"/>
      </w:pPr>
      <w:rPr>
        <w:rFonts w:ascii="Wingdings" w:hAnsi="Wingdings" w:hint="default"/>
      </w:rPr>
    </w:lvl>
    <w:lvl w:ilvl="3" w:tplc="08090001" w:tentative="1">
      <w:start w:val="1"/>
      <w:numFmt w:val="bullet"/>
      <w:lvlText w:val=""/>
      <w:lvlJc w:val="left"/>
      <w:pPr>
        <w:ind w:left="2553" w:hanging="360"/>
      </w:pPr>
      <w:rPr>
        <w:rFonts w:ascii="Symbol" w:hAnsi="Symbol" w:hint="default"/>
      </w:rPr>
    </w:lvl>
    <w:lvl w:ilvl="4" w:tplc="08090003" w:tentative="1">
      <w:start w:val="1"/>
      <w:numFmt w:val="bullet"/>
      <w:lvlText w:val="o"/>
      <w:lvlJc w:val="left"/>
      <w:pPr>
        <w:ind w:left="3273" w:hanging="360"/>
      </w:pPr>
      <w:rPr>
        <w:rFonts w:ascii="Courier New" w:hAnsi="Courier New" w:cs="Courier New" w:hint="default"/>
      </w:rPr>
    </w:lvl>
    <w:lvl w:ilvl="5" w:tplc="08090005" w:tentative="1">
      <w:start w:val="1"/>
      <w:numFmt w:val="bullet"/>
      <w:lvlText w:val=""/>
      <w:lvlJc w:val="left"/>
      <w:pPr>
        <w:ind w:left="3993" w:hanging="360"/>
      </w:pPr>
      <w:rPr>
        <w:rFonts w:ascii="Wingdings" w:hAnsi="Wingdings" w:hint="default"/>
      </w:rPr>
    </w:lvl>
    <w:lvl w:ilvl="6" w:tplc="08090001" w:tentative="1">
      <w:start w:val="1"/>
      <w:numFmt w:val="bullet"/>
      <w:lvlText w:val=""/>
      <w:lvlJc w:val="left"/>
      <w:pPr>
        <w:ind w:left="4713" w:hanging="360"/>
      </w:pPr>
      <w:rPr>
        <w:rFonts w:ascii="Symbol" w:hAnsi="Symbol" w:hint="default"/>
      </w:rPr>
    </w:lvl>
    <w:lvl w:ilvl="7" w:tplc="08090003" w:tentative="1">
      <w:start w:val="1"/>
      <w:numFmt w:val="bullet"/>
      <w:lvlText w:val="o"/>
      <w:lvlJc w:val="left"/>
      <w:pPr>
        <w:ind w:left="5433" w:hanging="360"/>
      </w:pPr>
      <w:rPr>
        <w:rFonts w:ascii="Courier New" w:hAnsi="Courier New" w:cs="Courier New" w:hint="default"/>
      </w:rPr>
    </w:lvl>
    <w:lvl w:ilvl="8" w:tplc="08090005" w:tentative="1">
      <w:start w:val="1"/>
      <w:numFmt w:val="bullet"/>
      <w:lvlText w:val=""/>
      <w:lvlJc w:val="left"/>
      <w:pPr>
        <w:ind w:left="6153" w:hanging="360"/>
      </w:pPr>
      <w:rPr>
        <w:rFonts w:ascii="Wingdings" w:hAnsi="Wingdings" w:hint="default"/>
      </w:rPr>
    </w:lvl>
  </w:abstractNum>
  <w:abstractNum w:abstractNumId="10">
    <w:nsid w:val="6C513E4F"/>
    <w:multiLevelType w:val="hybridMultilevel"/>
    <w:tmpl w:val="270C5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CB95627"/>
    <w:multiLevelType w:val="hybridMultilevel"/>
    <w:tmpl w:val="A5460E0C"/>
    <w:lvl w:ilvl="0" w:tplc="0809000B">
      <w:start w:val="1"/>
      <w:numFmt w:val="bullet"/>
      <w:lvlText w:val=""/>
      <w:lvlJc w:val="left"/>
      <w:pPr>
        <w:ind w:left="393" w:hanging="360"/>
      </w:pPr>
      <w:rPr>
        <w:rFonts w:ascii="Wingdings" w:hAnsi="Wingdings" w:hint="default"/>
      </w:rPr>
    </w:lvl>
    <w:lvl w:ilvl="1" w:tplc="08090003" w:tentative="1">
      <w:start w:val="1"/>
      <w:numFmt w:val="bullet"/>
      <w:lvlText w:val="o"/>
      <w:lvlJc w:val="left"/>
      <w:pPr>
        <w:ind w:left="1113" w:hanging="360"/>
      </w:pPr>
      <w:rPr>
        <w:rFonts w:ascii="Courier New" w:hAnsi="Courier New" w:cs="Courier New" w:hint="default"/>
      </w:rPr>
    </w:lvl>
    <w:lvl w:ilvl="2" w:tplc="08090005" w:tentative="1">
      <w:start w:val="1"/>
      <w:numFmt w:val="bullet"/>
      <w:lvlText w:val=""/>
      <w:lvlJc w:val="left"/>
      <w:pPr>
        <w:ind w:left="1833" w:hanging="360"/>
      </w:pPr>
      <w:rPr>
        <w:rFonts w:ascii="Wingdings" w:hAnsi="Wingdings" w:hint="default"/>
      </w:rPr>
    </w:lvl>
    <w:lvl w:ilvl="3" w:tplc="08090001" w:tentative="1">
      <w:start w:val="1"/>
      <w:numFmt w:val="bullet"/>
      <w:lvlText w:val=""/>
      <w:lvlJc w:val="left"/>
      <w:pPr>
        <w:ind w:left="2553" w:hanging="360"/>
      </w:pPr>
      <w:rPr>
        <w:rFonts w:ascii="Symbol" w:hAnsi="Symbol" w:hint="default"/>
      </w:rPr>
    </w:lvl>
    <w:lvl w:ilvl="4" w:tplc="08090003" w:tentative="1">
      <w:start w:val="1"/>
      <w:numFmt w:val="bullet"/>
      <w:lvlText w:val="o"/>
      <w:lvlJc w:val="left"/>
      <w:pPr>
        <w:ind w:left="3273" w:hanging="360"/>
      </w:pPr>
      <w:rPr>
        <w:rFonts w:ascii="Courier New" w:hAnsi="Courier New" w:cs="Courier New" w:hint="default"/>
      </w:rPr>
    </w:lvl>
    <w:lvl w:ilvl="5" w:tplc="08090005" w:tentative="1">
      <w:start w:val="1"/>
      <w:numFmt w:val="bullet"/>
      <w:lvlText w:val=""/>
      <w:lvlJc w:val="left"/>
      <w:pPr>
        <w:ind w:left="3993" w:hanging="360"/>
      </w:pPr>
      <w:rPr>
        <w:rFonts w:ascii="Wingdings" w:hAnsi="Wingdings" w:hint="default"/>
      </w:rPr>
    </w:lvl>
    <w:lvl w:ilvl="6" w:tplc="08090001" w:tentative="1">
      <w:start w:val="1"/>
      <w:numFmt w:val="bullet"/>
      <w:lvlText w:val=""/>
      <w:lvlJc w:val="left"/>
      <w:pPr>
        <w:ind w:left="4713" w:hanging="360"/>
      </w:pPr>
      <w:rPr>
        <w:rFonts w:ascii="Symbol" w:hAnsi="Symbol" w:hint="default"/>
      </w:rPr>
    </w:lvl>
    <w:lvl w:ilvl="7" w:tplc="08090003" w:tentative="1">
      <w:start w:val="1"/>
      <w:numFmt w:val="bullet"/>
      <w:lvlText w:val="o"/>
      <w:lvlJc w:val="left"/>
      <w:pPr>
        <w:ind w:left="5433" w:hanging="360"/>
      </w:pPr>
      <w:rPr>
        <w:rFonts w:ascii="Courier New" w:hAnsi="Courier New" w:cs="Courier New" w:hint="default"/>
      </w:rPr>
    </w:lvl>
    <w:lvl w:ilvl="8" w:tplc="08090005" w:tentative="1">
      <w:start w:val="1"/>
      <w:numFmt w:val="bullet"/>
      <w:lvlText w:val=""/>
      <w:lvlJc w:val="left"/>
      <w:pPr>
        <w:ind w:left="6153" w:hanging="360"/>
      </w:pPr>
      <w:rPr>
        <w:rFonts w:ascii="Wingdings" w:hAnsi="Wingdings" w:hint="default"/>
      </w:rPr>
    </w:lvl>
  </w:abstractNum>
  <w:abstractNum w:abstractNumId="12">
    <w:nsid w:val="6EAE65F9"/>
    <w:multiLevelType w:val="hybridMultilevel"/>
    <w:tmpl w:val="F4A639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7A515B7D"/>
    <w:multiLevelType w:val="hybridMultilevel"/>
    <w:tmpl w:val="0FDE02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7C50647D"/>
    <w:multiLevelType w:val="hybridMultilevel"/>
    <w:tmpl w:val="D14C063E"/>
    <w:lvl w:ilvl="0" w:tplc="08090001">
      <w:start w:val="1"/>
      <w:numFmt w:val="bullet"/>
      <w:lvlText w:val=""/>
      <w:lvlJc w:val="left"/>
      <w:pPr>
        <w:ind w:left="393" w:hanging="360"/>
      </w:pPr>
      <w:rPr>
        <w:rFonts w:ascii="Symbol" w:hAnsi="Symbol" w:hint="default"/>
      </w:rPr>
    </w:lvl>
    <w:lvl w:ilvl="1" w:tplc="08090003" w:tentative="1">
      <w:start w:val="1"/>
      <w:numFmt w:val="bullet"/>
      <w:lvlText w:val="o"/>
      <w:lvlJc w:val="left"/>
      <w:pPr>
        <w:ind w:left="1113" w:hanging="360"/>
      </w:pPr>
      <w:rPr>
        <w:rFonts w:ascii="Courier New" w:hAnsi="Courier New" w:cs="Courier New" w:hint="default"/>
      </w:rPr>
    </w:lvl>
    <w:lvl w:ilvl="2" w:tplc="08090005" w:tentative="1">
      <w:start w:val="1"/>
      <w:numFmt w:val="bullet"/>
      <w:lvlText w:val=""/>
      <w:lvlJc w:val="left"/>
      <w:pPr>
        <w:ind w:left="1833" w:hanging="360"/>
      </w:pPr>
      <w:rPr>
        <w:rFonts w:ascii="Wingdings" w:hAnsi="Wingdings" w:hint="default"/>
      </w:rPr>
    </w:lvl>
    <w:lvl w:ilvl="3" w:tplc="08090001" w:tentative="1">
      <w:start w:val="1"/>
      <w:numFmt w:val="bullet"/>
      <w:lvlText w:val=""/>
      <w:lvlJc w:val="left"/>
      <w:pPr>
        <w:ind w:left="2553" w:hanging="360"/>
      </w:pPr>
      <w:rPr>
        <w:rFonts w:ascii="Symbol" w:hAnsi="Symbol" w:hint="default"/>
      </w:rPr>
    </w:lvl>
    <w:lvl w:ilvl="4" w:tplc="08090003" w:tentative="1">
      <w:start w:val="1"/>
      <w:numFmt w:val="bullet"/>
      <w:lvlText w:val="o"/>
      <w:lvlJc w:val="left"/>
      <w:pPr>
        <w:ind w:left="3273" w:hanging="360"/>
      </w:pPr>
      <w:rPr>
        <w:rFonts w:ascii="Courier New" w:hAnsi="Courier New" w:cs="Courier New" w:hint="default"/>
      </w:rPr>
    </w:lvl>
    <w:lvl w:ilvl="5" w:tplc="08090005" w:tentative="1">
      <w:start w:val="1"/>
      <w:numFmt w:val="bullet"/>
      <w:lvlText w:val=""/>
      <w:lvlJc w:val="left"/>
      <w:pPr>
        <w:ind w:left="3993" w:hanging="360"/>
      </w:pPr>
      <w:rPr>
        <w:rFonts w:ascii="Wingdings" w:hAnsi="Wingdings" w:hint="default"/>
      </w:rPr>
    </w:lvl>
    <w:lvl w:ilvl="6" w:tplc="08090001" w:tentative="1">
      <w:start w:val="1"/>
      <w:numFmt w:val="bullet"/>
      <w:lvlText w:val=""/>
      <w:lvlJc w:val="left"/>
      <w:pPr>
        <w:ind w:left="4713" w:hanging="360"/>
      </w:pPr>
      <w:rPr>
        <w:rFonts w:ascii="Symbol" w:hAnsi="Symbol" w:hint="default"/>
      </w:rPr>
    </w:lvl>
    <w:lvl w:ilvl="7" w:tplc="08090003" w:tentative="1">
      <w:start w:val="1"/>
      <w:numFmt w:val="bullet"/>
      <w:lvlText w:val="o"/>
      <w:lvlJc w:val="left"/>
      <w:pPr>
        <w:ind w:left="5433" w:hanging="360"/>
      </w:pPr>
      <w:rPr>
        <w:rFonts w:ascii="Courier New" w:hAnsi="Courier New" w:cs="Courier New" w:hint="default"/>
      </w:rPr>
    </w:lvl>
    <w:lvl w:ilvl="8" w:tplc="08090005" w:tentative="1">
      <w:start w:val="1"/>
      <w:numFmt w:val="bullet"/>
      <w:lvlText w:val=""/>
      <w:lvlJc w:val="left"/>
      <w:pPr>
        <w:ind w:left="6153" w:hanging="360"/>
      </w:pPr>
      <w:rPr>
        <w:rFonts w:ascii="Wingdings" w:hAnsi="Wingdings" w:hint="default"/>
      </w:rPr>
    </w:lvl>
  </w:abstractNum>
  <w:num w:numId="1">
    <w:abstractNumId w:val="0"/>
  </w:num>
  <w:num w:numId="2">
    <w:abstractNumId w:val="13"/>
  </w:num>
  <w:num w:numId="3">
    <w:abstractNumId w:val="1"/>
  </w:num>
  <w:num w:numId="4">
    <w:abstractNumId w:val="10"/>
  </w:num>
  <w:num w:numId="5">
    <w:abstractNumId w:val="12"/>
  </w:num>
  <w:num w:numId="6">
    <w:abstractNumId w:val="2"/>
  </w:num>
  <w:num w:numId="7">
    <w:abstractNumId w:val="14"/>
  </w:num>
  <w:num w:numId="8">
    <w:abstractNumId w:val="5"/>
  </w:num>
  <w:num w:numId="9">
    <w:abstractNumId w:val="11"/>
  </w:num>
  <w:num w:numId="10">
    <w:abstractNumId w:val="9"/>
  </w:num>
  <w:num w:numId="11">
    <w:abstractNumId w:val="7"/>
  </w:num>
  <w:num w:numId="12">
    <w:abstractNumId w:val="6"/>
  </w:num>
  <w:num w:numId="13">
    <w:abstractNumId w:val="4"/>
  </w:num>
  <w:num w:numId="14">
    <w:abstractNumId w:val="8"/>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E20"/>
    <w:rsid w:val="00005877"/>
    <w:rsid w:val="00021B4A"/>
    <w:rsid w:val="00031449"/>
    <w:rsid w:val="00034E34"/>
    <w:rsid w:val="000632CA"/>
    <w:rsid w:val="00067093"/>
    <w:rsid w:val="00080B29"/>
    <w:rsid w:val="00097AF5"/>
    <w:rsid w:val="000B332F"/>
    <w:rsid w:val="000E737E"/>
    <w:rsid w:val="001024F4"/>
    <w:rsid w:val="00112A09"/>
    <w:rsid w:val="00146761"/>
    <w:rsid w:val="001B526F"/>
    <w:rsid w:val="001C4688"/>
    <w:rsid w:val="001D14CF"/>
    <w:rsid w:val="001E361F"/>
    <w:rsid w:val="001E6964"/>
    <w:rsid w:val="001F71C7"/>
    <w:rsid w:val="002228E1"/>
    <w:rsid w:val="00253E95"/>
    <w:rsid w:val="00257ECF"/>
    <w:rsid w:val="00276CB0"/>
    <w:rsid w:val="002912C2"/>
    <w:rsid w:val="002C2A04"/>
    <w:rsid w:val="00300114"/>
    <w:rsid w:val="00303B78"/>
    <w:rsid w:val="00314D63"/>
    <w:rsid w:val="0032329F"/>
    <w:rsid w:val="003328F2"/>
    <w:rsid w:val="00367E62"/>
    <w:rsid w:val="00373261"/>
    <w:rsid w:val="003D6EDA"/>
    <w:rsid w:val="00411624"/>
    <w:rsid w:val="00412996"/>
    <w:rsid w:val="004333FE"/>
    <w:rsid w:val="00460831"/>
    <w:rsid w:val="00472F5D"/>
    <w:rsid w:val="00474CEB"/>
    <w:rsid w:val="004B20A1"/>
    <w:rsid w:val="004E240E"/>
    <w:rsid w:val="004F7363"/>
    <w:rsid w:val="0052483F"/>
    <w:rsid w:val="00534A01"/>
    <w:rsid w:val="00563A7E"/>
    <w:rsid w:val="005733F2"/>
    <w:rsid w:val="00577815"/>
    <w:rsid w:val="00595AF1"/>
    <w:rsid w:val="00596971"/>
    <w:rsid w:val="005A0C49"/>
    <w:rsid w:val="005B75A5"/>
    <w:rsid w:val="005E5A7F"/>
    <w:rsid w:val="005F4583"/>
    <w:rsid w:val="005F713F"/>
    <w:rsid w:val="00617078"/>
    <w:rsid w:val="006211E7"/>
    <w:rsid w:val="0062746D"/>
    <w:rsid w:val="0068427F"/>
    <w:rsid w:val="00691435"/>
    <w:rsid w:val="00694E0E"/>
    <w:rsid w:val="006E28FC"/>
    <w:rsid w:val="006F392E"/>
    <w:rsid w:val="00710883"/>
    <w:rsid w:val="00725CE6"/>
    <w:rsid w:val="00727E85"/>
    <w:rsid w:val="007439CB"/>
    <w:rsid w:val="007C104F"/>
    <w:rsid w:val="007E214B"/>
    <w:rsid w:val="007F6945"/>
    <w:rsid w:val="008010FC"/>
    <w:rsid w:val="008033B2"/>
    <w:rsid w:val="00804162"/>
    <w:rsid w:val="0081630C"/>
    <w:rsid w:val="00866FEC"/>
    <w:rsid w:val="008C24D1"/>
    <w:rsid w:val="008C26C6"/>
    <w:rsid w:val="00944811"/>
    <w:rsid w:val="009449C4"/>
    <w:rsid w:val="009639E0"/>
    <w:rsid w:val="00964ED4"/>
    <w:rsid w:val="00975AE2"/>
    <w:rsid w:val="00975F7D"/>
    <w:rsid w:val="0097642E"/>
    <w:rsid w:val="00992E49"/>
    <w:rsid w:val="00995500"/>
    <w:rsid w:val="009A0559"/>
    <w:rsid w:val="009A7E0F"/>
    <w:rsid w:val="009C4160"/>
    <w:rsid w:val="00A53D40"/>
    <w:rsid w:val="00A953B1"/>
    <w:rsid w:val="00AC39C1"/>
    <w:rsid w:val="00AD4C3C"/>
    <w:rsid w:val="00AE5E6A"/>
    <w:rsid w:val="00AE6A5A"/>
    <w:rsid w:val="00B1100D"/>
    <w:rsid w:val="00B37E76"/>
    <w:rsid w:val="00B40C42"/>
    <w:rsid w:val="00B42655"/>
    <w:rsid w:val="00B86C63"/>
    <w:rsid w:val="00BA3121"/>
    <w:rsid w:val="00BF1D42"/>
    <w:rsid w:val="00C0709E"/>
    <w:rsid w:val="00C133F2"/>
    <w:rsid w:val="00C26ED0"/>
    <w:rsid w:val="00C45318"/>
    <w:rsid w:val="00C65209"/>
    <w:rsid w:val="00CC3F65"/>
    <w:rsid w:val="00CE3E03"/>
    <w:rsid w:val="00D01F14"/>
    <w:rsid w:val="00D51704"/>
    <w:rsid w:val="00D62FA5"/>
    <w:rsid w:val="00D941CF"/>
    <w:rsid w:val="00D97665"/>
    <w:rsid w:val="00DA2ABE"/>
    <w:rsid w:val="00DC16ED"/>
    <w:rsid w:val="00E010F7"/>
    <w:rsid w:val="00E95606"/>
    <w:rsid w:val="00EA6C6F"/>
    <w:rsid w:val="00EB6517"/>
    <w:rsid w:val="00EB7467"/>
    <w:rsid w:val="00EC283B"/>
    <w:rsid w:val="00EC435C"/>
    <w:rsid w:val="00ED0FE3"/>
    <w:rsid w:val="00EF3239"/>
    <w:rsid w:val="00F12ADC"/>
    <w:rsid w:val="00F80B26"/>
    <w:rsid w:val="00F90E20"/>
    <w:rsid w:val="00FA7F60"/>
    <w:rsid w:val="00FB32F1"/>
    <w:rsid w:val="00FE09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E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0E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F90E20"/>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F90E20"/>
    <w:rPr>
      <w:rFonts w:ascii="Calibri" w:hAnsi="Calibri" w:cs="Consolas"/>
      <w:szCs w:val="21"/>
    </w:rPr>
  </w:style>
  <w:style w:type="paragraph" w:styleId="ListParagraph">
    <w:name w:val="List Paragraph"/>
    <w:basedOn w:val="Normal"/>
    <w:uiPriority w:val="34"/>
    <w:qFormat/>
    <w:rsid w:val="00B42655"/>
    <w:pPr>
      <w:ind w:left="720"/>
      <w:contextualSpacing/>
    </w:pPr>
  </w:style>
  <w:style w:type="paragraph" w:styleId="Header">
    <w:name w:val="header"/>
    <w:basedOn w:val="Normal"/>
    <w:link w:val="HeaderChar"/>
    <w:uiPriority w:val="99"/>
    <w:unhideWhenUsed/>
    <w:rsid w:val="009A05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0559"/>
  </w:style>
  <w:style w:type="paragraph" w:styleId="Footer">
    <w:name w:val="footer"/>
    <w:basedOn w:val="Normal"/>
    <w:link w:val="FooterChar"/>
    <w:uiPriority w:val="99"/>
    <w:unhideWhenUsed/>
    <w:rsid w:val="009A05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0559"/>
  </w:style>
  <w:style w:type="paragraph" w:styleId="BalloonText">
    <w:name w:val="Balloon Text"/>
    <w:basedOn w:val="Normal"/>
    <w:link w:val="BalloonTextChar"/>
    <w:uiPriority w:val="99"/>
    <w:semiHidden/>
    <w:unhideWhenUsed/>
    <w:rsid w:val="004333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3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E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0E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F90E20"/>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F90E20"/>
    <w:rPr>
      <w:rFonts w:ascii="Calibri" w:hAnsi="Calibri" w:cs="Consolas"/>
      <w:szCs w:val="21"/>
    </w:rPr>
  </w:style>
  <w:style w:type="paragraph" w:styleId="ListParagraph">
    <w:name w:val="List Paragraph"/>
    <w:basedOn w:val="Normal"/>
    <w:uiPriority w:val="34"/>
    <w:qFormat/>
    <w:rsid w:val="00B42655"/>
    <w:pPr>
      <w:ind w:left="720"/>
      <w:contextualSpacing/>
    </w:pPr>
  </w:style>
  <w:style w:type="paragraph" w:styleId="Header">
    <w:name w:val="header"/>
    <w:basedOn w:val="Normal"/>
    <w:link w:val="HeaderChar"/>
    <w:uiPriority w:val="99"/>
    <w:unhideWhenUsed/>
    <w:rsid w:val="009A05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0559"/>
  </w:style>
  <w:style w:type="paragraph" w:styleId="Footer">
    <w:name w:val="footer"/>
    <w:basedOn w:val="Normal"/>
    <w:link w:val="FooterChar"/>
    <w:uiPriority w:val="99"/>
    <w:unhideWhenUsed/>
    <w:rsid w:val="009A05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0559"/>
  </w:style>
  <w:style w:type="paragraph" w:styleId="BalloonText">
    <w:name w:val="Balloon Text"/>
    <w:basedOn w:val="Normal"/>
    <w:link w:val="BalloonTextChar"/>
    <w:uiPriority w:val="99"/>
    <w:semiHidden/>
    <w:unhideWhenUsed/>
    <w:rsid w:val="004333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3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476978">
      <w:bodyDiv w:val="1"/>
      <w:marLeft w:val="0"/>
      <w:marRight w:val="0"/>
      <w:marTop w:val="0"/>
      <w:marBottom w:val="0"/>
      <w:divBdr>
        <w:top w:val="none" w:sz="0" w:space="0" w:color="auto"/>
        <w:left w:val="none" w:sz="0" w:space="0" w:color="auto"/>
        <w:bottom w:val="none" w:sz="0" w:space="0" w:color="auto"/>
        <w:right w:val="none" w:sz="0" w:space="0" w:color="auto"/>
      </w:divBdr>
    </w:div>
    <w:div w:id="934287559">
      <w:bodyDiv w:val="1"/>
      <w:marLeft w:val="0"/>
      <w:marRight w:val="0"/>
      <w:marTop w:val="0"/>
      <w:marBottom w:val="0"/>
      <w:divBdr>
        <w:top w:val="none" w:sz="0" w:space="0" w:color="auto"/>
        <w:left w:val="none" w:sz="0" w:space="0" w:color="auto"/>
        <w:bottom w:val="none" w:sz="0" w:space="0" w:color="auto"/>
        <w:right w:val="none" w:sz="0" w:space="0" w:color="auto"/>
      </w:divBdr>
    </w:div>
    <w:div w:id="1081220984">
      <w:bodyDiv w:val="1"/>
      <w:marLeft w:val="0"/>
      <w:marRight w:val="0"/>
      <w:marTop w:val="0"/>
      <w:marBottom w:val="0"/>
      <w:divBdr>
        <w:top w:val="none" w:sz="0" w:space="0" w:color="auto"/>
        <w:left w:val="none" w:sz="0" w:space="0" w:color="auto"/>
        <w:bottom w:val="none" w:sz="0" w:space="0" w:color="auto"/>
        <w:right w:val="none" w:sz="0" w:space="0" w:color="auto"/>
      </w:divBdr>
    </w:div>
    <w:div w:id="1135102325">
      <w:bodyDiv w:val="1"/>
      <w:marLeft w:val="0"/>
      <w:marRight w:val="0"/>
      <w:marTop w:val="0"/>
      <w:marBottom w:val="0"/>
      <w:divBdr>
        <w:top w:val="none" w:sz="0" w:space="0" w:color="auto"/>
        <w:left w:val="none" w:sz="0" w:space="0" w:color="auto"/>
        <w:bottom w:val="none" w:sz="0" w:space="0" w:color="auto"/>
        <w:right w:val="none" w:sz="0" w:space="0" w:color="auto"/>
      </w:divBdr>
    </w:div>
    <w:div w:id="1169055188">
      <w:bodyDiv w:val="1"/>
      <w:marLeft w:val="0"/>
      <w:marRight w:val="0"/>
      <w:marTop w:val="0"/>
      <w:marBottom w:val="0"/>
      <w:divBdr>
        <w:top w:val="none" w:sz="0" w:space="0" w:color="auto"/>
        <w:left w:val="none" w:sz="0" w:space="0" w:color="auto"/>
        <w:bottom w:val="none" w:sz="0" w:space="0" w:color="auto"/>
        <w:right w:val="none" w:sz="0" w:space="0" w:color="auto"/>
      </w:divBdr>
    </w:div>
    <w:div w:id="1411851370">
      <w:bodyDiv w:val="1"/>
      <w:marLeft w:val="0"/>
      <w:marRight w:val="0"/>
      <w:marTop w:val="0"/>
      <w:marBottom w:val="0"/>
      <w:divBdr>
        <w:top w:val="none" w:sz="0" w:space="0" w:color="auto"/>
        <w:left w:val="none" w:sz="0" w:space="0" w:color="auto"/>
        <w:bottom w:val="none" w:sz="0" w:space="0" w:color="auto"/>
        <w:right w:val="none" w:sz="0" w:space="0" w:color="auto"/>
      </w:divBdr>
    </w:div>
    <w:div w:id="1838768319">
      <w:bodyDiv w:val="1"/>
      <w:marLeft w:val="0"/>
      <w:marRight w:val="0"/>
      <w:marTop w:val="0"/>
      <w:marBottom w:val="0"/>
      <w:divBdr>
        <w:top w:val="none" w:sz="0" w:space="0" w:color="auto"/>
        <w:left w:val="none" w:sz="0" w:space="0" w:color="auto"/>
        <w:bottom w:val="none" w:sz="0" w:space="0" w:color="auto"/>
        <w:right w:val="none" w:sz="0" w:space="0" w:color="auto"/>
      </w:divBdr>
    </w:div>
    <w:div w:id="196044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1249</Words>
  <Characters>7124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8357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Thompson-Vassel</dc:creator>
  <cp:lastModifiedBy>Andrew Mullen</cp:lastModifiedBy>
  <cp:revision>2</cp:revision>
  <cp:lastPrinted>2014-10-24T13:21:00Z</cp:lastPrinted>
  <dcterms:created xsi:type="dcterms:W3CDTF">2016-03-18T13:42:00Z</dcterms:created>
  <dcterms:modified xsi:type="dcterms:W3CDTF">2016-03-18T13:42:00Z</dcterms:modified>
</cp:coreProperties>
</file>