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20" w:rsidRPr="00C85B26" w:rsidRDefault="00F90E20" w:rsidP="00F90E20">
      <w:pPr>
        <w:jc w:val="center"/>
        <w:rPr>
          <w:b/>
        </w:rPr>
      </w:pPr>
      <w:bookmarkStart w:id="0" w:name="_GoBack"/>
      <w:bookmarkEnd w:id="0"/>
      <w:r w:rsidRPr="00C85B26">
        <w:rPr>
          <w:b/>
        </w:rPr>
        <w:t>THE UNIVERSITY OF MANCHESTER</w:t>
      </w:r>
    </w:p>
    <w:p w:rsidR="00F90E20" w:rsidRPr="00C85B26" w:rsidRDefault="00F90E20" w:rsidP="00F90E20">
      <w:pPr>
        <w:rPr>
          <w:b/>
        </w:rPr>
      </w:pPr>
      <w:r>
        <w:rPr>
          <w:b/>
        </w:rPr>
        <w:t xml:space="preserve">Faculty of </w:t>
      </w:r>
      <w:r w:rsidRPr="00C85B26">
        <w:rPr>
          <w:b/>
        </w:rPr>
        <w:t>Humanities Staff Equality and Diversity Working Group</w:t>
      </w:r>
    </w:p>
    <w:p w:rsidR="00F90E20" w:rsidRPr="00C85B26" w:rsidRDefault="00F90E20" w:rsidP="00F90E20">
      <w:r w:rsidRPr="00C85B26">
        <w:t xml:space="preserve">Minutes of the meeting held on </w:t>
      </w:r>
      <w:r w:rsidR="00AA26DE">
        <w:t>Wednesday 4 February 2015</w:t>
      </w:r>
    </w:p>
    <w:tbl>
      <w:tblPr>
        <w:tblStyle w:val="TableGrid"/>
        <w:tblW w:w="48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2660"/>
        <w:gridCol w:w="592"/>
        <w:gridCol w:w="4424"/>
      </w:tblGrid>
      <w:tr w:rsidR="00AA26DE" w:rsidRPr="00C85B26" w:rsidTr="00A37852">
        <w:trPr>
          <w:trHeight w:val="178"/>
        </w:trPr>
        <w:tc>
          <w:tcPr>
            <w:tcW w:w="731" w:type="pct"/>
          </w:tcPr>
          <w:p w:rsidR="00AA26DE" w:rsidRPr="00C85B26" w:rsidRDefault="00AA26DE" w:rsidP="00DF3931">
            <w:pPr>
              <w:rPr>
                <w:b/>
              </w:rPr>
            </w:pPr>
            <w:r w:rsidRPr="00C85B26">
              <w:rPr>
                <w:b/>
              </w:rPr>
              <w:t>Present</w:t>
            </w:r>
            <w:r w:rsidR="000677F3">
              <w:rPr>
                <w:b/>
              </w:rPr>
              <w:t>:</w:t>
            </w:r>
          </w:p>
        </w:tc>
        <w:tc>
          <w:tcPr>
            <w:tcW w:w="1479" w:type="pct"/>
          </w:tcPr>
          <w:p w:rsidR="00AA26DE" w:rsidRPr="00C85B26" w:rsidRDefault="00AA26DE" w:rsidP="00DF3931">
            <w:r w:rsidRPr="00C85B26">
              <w:t>Professor Colette Fagan</w:t>
            </w:r>
          </w:p>
        </w:tc>
        <w:tc>
          <w:tcPr>
            <w:tcW w:w="329" w:type="pct"/>
          </w:tcPr>
          <w:p w:rsidR="00AA26DE" w:rsidRPr="00C85B26" w:rsidRDefault="00AA26DE" w:rsidP="00DF3931">
            <w:r w:rsidRPr="00C85B26">
              <w:t>CF</w:t>
            </w:r>
          </w:p>
        </w:tc>
        <w:tc>
          <w:tcPr>
            <w:tcW w:w="2460" w:type="pct"/>
          </w:tcPr>
          <w:p w:rsidR="00AA26DE" w:rsidRPr="00C85B26" w:rsidRDefault="00AA26DE" w:rsidP="00DF3931">
            <w:r w:rsidRPr="00C85B26">
              <w:t>Deputy Dean – Research (in the Chair)</w:t>
            </w:r>
          </w:p>
        </w:tc>
      </w:tr>
      <w:tr w:rsidR="00AA26DE" w:rsidRPr="00C85B26" w:rsidTr="00A37852">
        <w:trPr>
          <w:trHeight w:val="178"/>
        </w:trPr>
        <w:tc>
          <w:tcPr>
            <w:tcW w:w="731" w:type="pct"/>
          </w:tcPr>
          <w:p w:rsidR="00AA26DE" w:rsidRPr="00C85B26" w:rsidRDefault="00AA26DE" w:rsidP="00DF3931">
            <w:pPr>
              <w:rPr>
                <w:b/>
              </w:rPr>
            </w:pPr>
          </w:p>
        </w:tc>
        <w:tc>
          <w:tcPr>
            <w:tcW w:w="1479" w:type="pct"/>
          </w:tcPr>
          <w:p w:rsidR="00AA26DE" w:rsidRPr="00C85B26" w:rsidRDefault="00AA26DE" w:rsidP="00DF3931">
            <w:r w:rsidRPr="00C85B26">
              <w:t>Andrew Mullen</w:t>
            </w:r>
          </w:p>
        </w:tc>
        <w:tc>
          <w:tcPr>
            <w:tcW w:w="329" w:type="pct"/>
          </w:tcPr>
          <w:p w:rsidR="00AA26DE" w:rsidRPr="00C85B26" w:rsidRDefault="00AA26DE" w:rsidP="00DF3931">
            <w:r w:rsidRPr="00C85B26">
              <w:t>AM</w:t>
            </w:r>
          </w:p>
        </w:tc>
        <w:tc>
          <w:tcPr>
            <w:tcW w:w="2460" w:type="pct"/>
          </w:tcPr>
          <w:p w:rsidR="00AA26DE" w:rsidRPr="00C85B26" w:rsidRDefault="00AA26DE" w:rsidP="00AA26DE">
            <w:r w:rsidRPr="00C85B26">
              <w:t>Deputy Director of HR &amp; Head of Faculty HR</w:t>
            </w:r>
            <w:r>
              <w:t xml:space="preserve"> </w:t>
            </w:r>
          </w:p>
        </w:tc>
      </w:tr>
      <w:tr w:rsidR="00AA26DE" w:rsidRPr="00C85B26" w:rsidTr="00A37852">
        <w:trPr>
          <w:trHeight w:val="178"/>
        </w:trPr>
        <w:tc>
          <w:tcPr>
            <w:tcW w:w="731" w:type="pct"/>
          </w:tcPr>
          <w:p w:rsidR="00AA26DE" w:rsidRPr="00C85B26" w:rsidRDefault="00AA26DE" w:rsidP="00DF3931">
            <w:pPr>
              <w:rPr>
                <w:b/>
              </w:rPr>
            </w:pPr>
          </w:p>
        </w:tc>
        <w:tc>
          <w:tcPr>
            <w:tcW w:w="1479" w:type="pct"/>
          </w:tcPr>
          <w:p w:rsidR="00AA26DE" w:rsidRPr="00C85B26" w:rsidRDefault="00AA26DE" w:rsidP="00DF3931">
            <w:r w:rsidRPr="00C85B26">
              <w:t>Professor Helge Hoel</w:t>
            </w:r>
          </w:p>
        </w:tc>
        <w:tc>
          <w:tcPr>
            <w:tcW w:w="329" w:type="pct"/>
          </w:tcPr>
          <w:p w:rsidR="00AA26DE" w:rsidRPr="00C85B26" w:rsidRDefault="00AA26DE" w:rsidP="00DF3931">
            <w:r w:rsidRPr="00C85B26">
              <w:t>HH</w:t>
            </w:r>
          </w:p>
        </w:tc>
        <w:tc>
          <w:tcPr>
            <w:tcW w:w="2460" w:type="pct"/>
          </w:tcPr>
          <w:p w:rsidR="00AA26DE" w:rsidRPr="00C85B26" w:rsidRDefault="00AA26DE" w:rsidP="00DF3931">
            <w:r w:rsidRPr="00C85B26">
              <w:t>Manchester Business School (People Management and Organisations Division)</w:t>
            </w:r>
          </w:p>
        </w:tc>
      </w:tr>
      <w:tr w:rsidR="00AA26DE" w:rsidRPr="00C85B26" w:rsidTr="00A37852">
        <w:trPr>
          <w:trHeight w:val="178"/>
        </w:trPr>
        <w:tc>
          <w:tcPr>
            <w:tcW w:w="731" w:type="pct"/>
          </w:tcPr>
          <w:p w:rsidR="00AA26DE" w:rsidRPr="00C85B26" w:rsidRDefault="00AA26DE" w:rsidP="00DF3931">
            <w:pPr>
              <w:rPr>
                <w:b/>
              </w:rPr>
            </w:pPr>
          </w:p>
        </w:tc>
        <w:tc>
          <w:tcPr>
            <w:tcW w:w="1479" w:type="pct"/>
          </w:tcPr>
          <w:p w:rsidR="00AA26DE" w:rsidRPr="00C85B26" w:rsidRDefault="00AA26DE" w:rsidP="00DF3931">
            <w:r>
              <w:t>Dil Sidhu</w:t>
            </w:r>
          </w:p>
        </w:tc>
        <w:tc>
          <w:tcPr>
            <w:tcW w:w="329" w:type="pct"/>
          </w:tcPr>
          <w:p w:rsidR="00AA26DE" w:rsidRPr="00C85B26" w:rsidRDefault="00AA26DE" w:rsidP="00DF3931">
            <w:r>
              <w:t>DS</w:t>
            </w:r>
          </w:p>
        </w:tc>
        <w:tc>
          <w:tcPr>
            <w:tcW w:w="2460" w:type="pct"/>
          </w:tcPr>
          <w:p w:rsidR="00AA26DE" w:rsidRPr="00C85B26" w:rsidRDefault="00AA26DE" w:rsidP="00DF3931">
            <w:r>
              <w:t>Chief External Officer, MBS</w:t>
            </w:r>
          </w:p>
        </w:tc>
      </w:tr>
      <w:tr w:rsidR="00AA26DE" w:rsidRPr="00C85B26" w:rsidTr="00A37852">
        <w:trPr>
          <w:trHeight w:val="80"/>
        </w:trPr>
        <w:tc>
          <w:tcPr>
            <w:tcW w:w="731" w:type="pct"/>
          </w:tcPr>
          <w:p w:rsidR="00AA26DE" w:rsidRPr="00C85B26" w:rsidRDefault="00AA26DE" w:rsidP="00DF3931"/>
        </w:tc>
        <w:tc>
          <w:tcPr>
            <w:tcW w:w="1479" w:type="pct"/>
          </w:tcPr>
          <w:p w:rsidR="00AA26DE" w:rsidRPr="00C85B26" w:rsidRDefault="00AA26DE" w:rsidP="00DF3931">
            <w:r>
              <w:t>Sarah March</w:t>
            </w:r>
            <w:r w:rsidR="004979DD">
              <w:t xml:space="preserve"> (vice Jayne Hindle)</w:t>
            </w:r>
          </w:p>
        </w:tc>
        <w:tc>
          <w:tcPr>
            <w:tcW w:w="329" w:type="pct"/>
          </w:tcPr>
          <w:p w:rsidR="00AA26DE" w:rsidRPr="00C85B26" w:rsidRDefault="00AA26DE" w:rsidP="00DF3931">
            <w:r>
              <w:t>SM</w:t>
            </w:r>
          </w:p>
        </w:tc>
        <w:tc>
          <w:tcPr>
            <w:tcW w:w="2460" w:type="pct"/>
          </w:tcPr>
          <w:p w:rsidR="00AA26DE" w:rsidRPr="00C85B26" w:rsidRDefault="00AA26DE" w:rsidP="00DF3931">
            <w:r>
              <w:t>HR Partner</w:t>
            </w:r>
          </w:p>
        </w:tc>
      </w:tr>
      <w:tr w:rsidR="00AA26DE" w:rsidRPr="00C85B26" w:rsidTr="00A37852">
        <w:tc>
          <w:tcPr>
            <w:tcW w:w="731" w:type="pct"/>
          </w:tcPr>
          <w:p w:rsidR="00AA26DE" w:rsidRPr="002C49D9" w:rsidRDefault="00AA26DE" w:rsidP="00DF3931">
            <w:pPr>
              <w:rPr>
                <w:b/>
              </w:rPr>
            </w:pPr>
          </w:p>
        </w:tc>
        <w:tc>
          <w:tcPr>
            <w:tcW w:w="1479" w:type="pct"/>
          </w:tcPr>
          <w:p w:rsidR="00AA26DE" w:rsidRPr="00C85B26" w:rsidRDefault="00AA26DE" w:rsidP="00DF3931"/>
        </w:tc>
        <w:tc>
          <w:tcPr>
            <w:tcW w:w="329" w:type="pct"/>
          </w:tcPr>
          <w:p w:rsidR="00AA26DE" w:rsidRPr="00C85B26" w:rsidRDefault="00AA26DE" w:rsidP="00DF3931"/>
        </w:tc>
        <w:tc>
          <w:tcPr>
            <w:tcW w:w="2460" w:type="pct"/>
          </w:tcPr>
          <w:p w:rsidR="00AA26DE" w:rsidRPr="00C85B26" w:rsidRDefault="00AA26DE" w:rsidP="00DF3931"/>
        </w:tc>
      </w:tr>
      <w:tr w:rsidR="000677F3" w:rsidRPr="00C85B26" w:rsidTr="00A37852">
        <w:tc>
          <w:tcPr>
            <w:tcW w:w="731" w:type="pct"/>
          </w:tcPr>
          <w:p w:rsidR="000677F3" w:rsidRDefault="00A37852" w:rsidP="00DF3931">
            <w:pPr>
              <w:rPr>
                <w:b/>
              </w:rPr>
            </w:pPr>
            <w:r w:rsidRPr="00A37852">
              <w:rPr>
                <w:b/>
              </w:rPr>
              <w:t>Apologies received:</w:t>
            </w:r>
          </w:p>
        </w:tc>
        <w:tc>
          <w:tcPr>
            <w:tcW w:w="1479" w:type="pct"/>
          </w:tcPr>
          <w:p w:rsidR="000677F3" w:rsidRPr="00C85B26" w:rsidRDefault="000677F3" w:rsidP="00DF3931">
            <w:r w:rsidRPr="00C85B26">
              <w:t>Professor Helen Gunter</w:t>
            </w:r>
          </w:p>
        </w:tc>
        <w:tc>
          <w:tcPr>
            <w:tcW w:w="329" w:type="pct"/>
          </w:tcPr>
          <w:p w:rsidR="000677F3" w:rsidRPr="00C85B26" w:rsidRDefault="000677F3" w:rsidP="00DF3931">
            <w:r w:rsidRPr="00C85B26">
              <w:t>HG</w:t>
            </w:r>
          </w:p>
        </w:tc>
        <w:tc>
          <w:tcPr>
            <w:tcW w:w="2460" w:type="pct"/>
          </w:tcPr>
          <w:p w:rsidR="000677F3" w:rsidRPr="00C85B26" w:rsidRDefault="000677F3" w:rsidP="00DF3931">
            <w:r w:rsidRPr="00C85B26">
              <w:t xml:space="preserve">School of Environment, Education &amp; Development </w:t>
            </w:r>
          </w:p>
        </w:tc>
      </w:tr>
      <w:tr w:rsidR="000677F3" w:rsidRPr="00C85B26" w:rsidTr="00A37852">
        <w:tc>
          <w:tcPr>
            <w:tcW w:w="731" w:type="pct"/>
          </w:tcPr>
          <w:p w:rsidR="000677F3" w:rsidRDefault="000677F3" w:rsidP="00DF3931">
            <w:pPr>
              <w:rPr>
                <w:b/>
              </w:rPr>
            </w:pPr>
          </w:p>
        </w:tc>
        <w:tc>
          <w:tcPr>
            <w:tcW w:w="1479" w:type="pct"/>
          </w:tcPr>
          <w:p w:rsidR="000677F3" w:rsidRPr="00C85B26" w:rsidRDefault="000677F3" w:rsidP="00DF3931">
            <w:r w:rsidRPr="00C85B26">
              <w:t>Dr Carolyn Abbot</w:t>
            </w:r>
          </w:p>
        </w:tc>
        <w:tc>
          <w:tcPr>
            <w:tcW w:w="329" w:type="pct"/>
          </w:tcPr>
          <w:p w:rsidR="000677F3" w:rsidRPr="00C85B26" w:rsidRDefault="000677F3" w:rsidP="00DF3931">
            <w:r w:rsidRPr="00C85B26">
              <w:t>CA</w:t>
            </w:r>
          </w:p>
        </w:tc>
        <w:tc>
          <w:tcPr>
            <w:tcW w:w="2460" w:type="pct"/>
          </w:tcPr>
          <w:p w:rsidR="000677F3" w:rsidRPr="00C85B26" w:rsidRDefault="000677F3" w:rsidP="00DF3931">
            <w:r w:rsidRPr="00C85B26">
              <w:t>Senior Lecturer, School of Law</w:t>
            </w:r>
          </w:p>
        </w:tc>
      </w:tr>
      <w:tr w:rsidR="000677F3" w:rsidRPr="00C85B26" w:rsidTr="00A37852">
        <w:tc>
          <w:tcPr>
            <w:tcW w:w="731" w:type="pct"/>
          </w:tcPr>
          <w:p w:rsidR="000677F3" w:rsidRDefault="000677F3" w:rsidP="00DF3931">
            <w:pPr>
              <w:rPr>
                <w:b/>
              </w:rPr>
            </w:pPr>
          </w:p>
        </w:tc>
        <w:tc>
          <w:tcPr>
            <w:tcW w:w="1479" w:type="pct"/>
          </w:tcPr>
          <w:p w:rsidR="000677F3" w:rsidRPr="00C85B26" w:rsidRDefault="000677F3" w:rsidP="00DF3931">
            <w:r>
              <w:t>Dr Helen Ryder</w:t>
            </w:r>
          </w:p>
        </w:tc>
        <w:tc>
          <w:tcPr>
            <w:tcW w:w="329" w:type="pct"/>
          </w:tcPr>
          <w:p w:rsidR="000677F3" w:rsidRPr="00C85B26" w:rsidRDefault="000677F3" w:rsidP="00DF3931">
            <w:proofErr w:type="spellStart"/>
            <w:r>
              <w:t>HRy</w:t>
            </w:r>
            <w:proofErr w:type="spellEnd"/>
          </w:p>
        </w:tc>
        <w:tc>
          <w:tcPr>
            <w:tcW w:w="2460" w:type="pct"/>
          </w:tcPr>
          <w:p w:rsidR="000677F3" w:rsidRPr="00C85B26" w:rsidRDefault="000677F3" w:rsidP="00DF3931">
            <w:r w:rsidRPr="00C85B26">
              <w:t>Athena SWAN Coordinator</w:t>
            </w:r>
          </w:p>
        </w:tc>
      </w:tr>
      <w:tr w:rsidR="000677F3" w:rsidRPr="00C85B26" w:rsidTr="00A37852">
        <w:tc>
          <w:tcPr>
            <w:tcW w:w="731" w:type="pct"/>
          </w:tcPr>
          <w:p w:rsidR="000677F3" w:rsidRDefault="000677F3" w:rsidP="00DF3931">
            <w:pPr>
              <w:rPr>
                <w:b/>
              </w:rPr>
            </w:pPr>
          </w:p>
        </w:tc>
        <w:tc>
          <w:tcPr>
            <w:tcW w:w="1479" w:type="pct"/>
          </w:tcPr>
          <w:p w:rsidR="000677F3" w:rsidRPr="00C85B26" w:rsidRDefault="000677F3" w:rsidP="00DF3931">
            <w:r w:rsidRPr="00C85B26">
              <w:t>Jayne Hindle</w:t>
            </w:r>
          </w:p>
        </w:tc>
        <w:tc>
          <w:tcPr>
            <w:tcW w:w="329" w:type="pct"/>
          </w:tcPr>
          <w:p w:rsidR="000677F3" w:rsidRPr="00C85B26" w:rsidRDefault="000677F3" w:rsidP="00DF3931">
            <w:r w:rsidRPr="00C85B26">
              <w:t>JH</w:t>
            </w:r>
          </w:p>
        </w:tc>
        <w:tc>
          <w:tcPr>
            <w:tcW w:w="2460" w:type="pct"/>
          </w:tcPr>
          <w:p w:rsidR="000677F3" w:rsidRPr="00C85B26" w:rsidRDefault="000677F3" w:rsidP="00DF3931">
            <w:r w:rsidRPr="00C85B26">
              <w:t>Head of School Administration for Arts, Languages &amp; Cultures</w:t>
            </w:r>
          </w:p>
        </w:tc>
      </w:tr>
      <w:tr w:rsidR="000677F3" w:rsidRPr="00C85B26" w:rsidTr="00A37852">
        <w:tc>
          <w:tcPr>
            <w:tcW w:w="731" w:type="pct"/>
          </w:tcPr>
          <w:p w:rsidR="000677F3" w:rsidRDefault="000677F3" w:rsidP="00DF3931">
            <w:pPr>
              <w:rPr>
                <w:b/>
              </w:rPr>
            </w:pPr>
          </w:p>
        </w:tc>
        <w:tc>
          <w:tcPr>
            <w:tcW w:w="1479" w:type="pct"/>
          </w:tcPr>
          <w:p w:rsidR="000677F3" w:rsidRPr="00C85B26" w:rsidRDefault="000677F3" w:rsidP="00DF3931">
            <w:r>
              <w:t>Professor Claire Alexander</w:t>
            </w:r>
          </w:p>
        </w:tc>
        <w:tc>
          <w:tcPr>
            <w:tcW w:w="329" w:type="pct"/>
          </w:tcPr>
          <w:p w:rsidR="000677F3" w:rsidRPr="00C85B26" w:rsidRDefault="000677F3" w:rsidP="00DF3931">
            <w:proofErr w:type="spellStart"/>
            <w:r>
              <w:t>CAl</w:t>
            </w:r>
            <w:proofErr w:type="spellEnd"/>
          </w:p>
        </w:tc>
        <w:tc>
          <w:tcPr>
            <w:tcW w:w="2460" w:type="pct"/>
          </w:tcPr>
          <w:p w:rsidR="000677F3" w:rsidRPr="00C85B26" w:rsidRDefault="000677F3" w:rsidP="00DF3931">
            <w:r>
              <w:t>School of Social Sciences (Sociology)</w:t>
            </w:r>
          </w:p>
        </w:tc>
      </w:tr>
      <w:tr w:rsidR="000677F3" w:rsidRPr="00C85B26" w:rsidTr="00A37852">
        <w:tc>
          <w:tcPr>
            <w:tcW w:w="731" w:type="pct"/>
          </w:tcPr>
          <w:p w:rsidR="000677F3" w:rsidRDefault="000677F3" w:rsidP="00DF3931">
            <w:pPr>
              <w:rPr>
                <w:b/>
              </w:rPr>
            </w:pPr>
          </w:p>
        </w:tc>
        <w:tc>
          <w:tcPr>
            <w:tcW w:w="1479" w:type="pct"/>
          </w:tcPr>
          <w:p w:rsidR="000677F3" w:rsidRPr="00C85B26" w:rsidRDefault="000677F3" w:rsidP="00DF3931">
            <w:r>
              <w:t>Jared Ruff</w:t>
            </w:r>
          </w:p>
        </w:tc>
        <w:tc>
          <w:tcPr>
            <w:tcW w:w="329" w:type="pct"/>
          </w:tcPr>
          <w:p w:rsidR="000677F3" w:rsidRPr="00C85B26" w:rsidRDefault="000677F3" w:rsidP="00DF3931">
            <w:r>
              <w:t>JR</w:t>
            </w:r>
          </w:p>
        </w:tc>
        <w:tc>
          <w:tcPr>
            <w:tcW w:w="2460" w:type="pct"/>
          </w:tcPr>
          <w:p w:rsidR="000677F3" w:rsidRPr="00C85B26" w:rsidRDefault="000677F3" w:rsidP="00DF3931">
            <w:r>
              <w:t>Senior Faculty Research Manager</w:t>
            </w:r>
          </w:p>
        </w:tc>
      </w:tr>
      <w:tr w:rsidR="000677F3" w:rsidRPr="00C85B26" w:rsidTr="00A37852">
        <w:tc>
          <w:tcPr>
            <w:tcW w:w="731" w:type="pct"/>
          </w:tcPr>
          <w:p w:rsidR="000677F3" w:rsidRDefault="000677F3" w:rsidP="00DF3931">
            <w:pPr>
              <w:rPr>
                <w:b/>
              </w:rPr>
            </w:pPr>
          </w:p>
        </w:tc>
        <w:tc>
          <w:tcPr>
            <w:tcW w:w="1479" w:type="pct"/>
          </w:tcPr>
          <w:p w:rsidR="000677F3" w:rsidRPr="00C85B26" w:rsidRDefault="000677F3" w:rsidP="00DF3931"/>
        </w:tc>
        <w:tc>
          <w:tcPr>
            <w:tcW w:w="329" w:type="pct"/>
          </w:tcPr>
          <w:p w:rsidR="000677F3" w:rsidRPr="00C85B26" w:rsidRDefault="000677F3" w:rsidP="00DF3931"/>
        </w:tc>
        <w:tc>
          <w:tcPr>
            <w:tcW w:w="2460" w:type="pct"/>
          </w:tcPr>
          <w:p w:rsidR="000677F3" w:rsidRPr="00C85B26" w:rsidRDefault="000677F3" w:rsidP="00DF3931"/>
        </w:tc>
      </w:tr>
      <w:tr w:rsidR="000677F3" w:rsidRPr="00C85B26" w:rsidTr="00A37852">
        <w:tc>
          <w:tcPr>
            <w:tcW w:w="731" w:type="pct"/>
          </w:tcPr>
          <w:p w:rsidR="000677F3" w:rsidRPr="00C85B26" w:rsidRDefault="000677F3" w:rsidP="00DF3931">
            <w:pPr>
              <w:rPr>
                <w:b/>
              </w:rPr>
            </w:pPr>
            <w:r w:rsidRPr="00C85B26">
              <w:rPr>
                <w:b/>
              </w:rPr>
              <w:t>In attendance</w:t>
            </w:r>
            <w:r>
              <w:rPr>
                <w:b/>
              </w:rPr>
              <w:t>:</w:t>
            </w:r>
          </w:p>
        </w:tc>
        <w:tc>
          <w:tcPr>
            <w:tcW w:w="1479" w:type="pct"/>
          </w:tcPr>
          <w:p w:rsidR="000677F3" w:rsidRPr="00C85B26" w:rsidRDefault="000677F3" w:rsidP="00DF3931">
            <w:r w:rsidRPr="00C85B26">
              <w:t>Natalie Thompson-Vassel</w:t>
            </w:r>
          </w:p>
        </w:tc>
        <w:tc>
          <w:tcPr>
            <w:tcW w:w="329" w:type="pct"/>
          </w:tcPr>
          <w:p w:rsidR="000677F3" w:rsidRPr="00C85B26" w:rsidRDefault="000677F3" w:rsidP="00DF3931">
            <w:r>
              <w:t>NT</w:t>
            </w:r>
            <w:r w:rsidRPr="00C85B26">
              <w:t>V</w:t>
            </w:r>
          </w:p>
        </w:tc>
        <w:tc>
          <w:tcPr>
            <w:tcW w:w="2460" w:type="pct"/>
          </w:tcPr>
          <w:p w:rsidR="000677F3" w:rsidRPr="00C85B26" w:rsidRDefault="000677F3" w:rsidP="00DF3931">
            <w:r>
              <w:t>Directorate Support Services Assistant (Admin)</w:t>
            </w:r>
          </w:p>
        </w:tc>
      </w:tr>
    </w:tbl>
    <w:p w:rsidR="00F90E20" w:rsidRDefault="00F90E20" w:rsidP="00F90E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552"/>
        <w:gridCol w:w="6630"/>
        <w:gridCol w:w="1453"/>
      </w:tblGrid>
      <w:tr w:rsidR="00975F7D" w:rsidTr="00F90E20">
        <w:tc>
          <w:tcPr>
            <w:tcW w:w="534" w:type="dxa"/>
          </w:tcPr>
          <w:p w:rsidR="00975F7D" w:rsidRDefault="00FD195A" w:rsidP="00944811">
            <w:pPr>
              <w:rPr>
                <w:b/>
              </w:rPr>
            </w:pPr>
            <w:r>
              <w:rPr>
                <w:b/>
              </w:rPr>
              <w:t>1</w:t>
            </w:r>
          </w:p>
        </w:tc>
        <w:tc>
          <w:tcPr>
            <w:tcW w:w="567" w:type="dxa"/>
          </w:tcPr>
          <w:p w:rsidR="00975F7D" w:rsidRPr="00F90E20" w:rsidRDefault="00975F7D" w:rsidP="00F90E20">
            <w:pPr>
              <w:rPr>
                <w:b/>
              </w:rPr>
            </w:pPr>
          </w:p>
        </w:tc>
        <w:tc>
          <w:tcPr>
            <w:tcW w:w="6662" w:type="dxa"/>
          </w:tcPr>
          <w:p w:rsidR="00975F7D" w:rsidRPr="00F90E20" w:rsidRDefault="00975F7D" w:rsidP="00AA26DE">
            <w:pPr>
              <w:rPr>
                <w:b/>
              </w:rPr>
            </w:pPr>
            <w:r w:rsidRPr="00F90E20">
              <w:rPr>
                <w:b/>
              </w:rPr>
              <w:t xml:space="preserve">Minutes of the meeting held on </w:t>
            </w:r>
            <w:r w:rsidR="00AA26DE">
              <w:rPr>
                <w:b/>
              </w:rPr>
              <w:t>20 October 2014</w:t>
            </w:r>
          </w:p>
        </w:tc>
        <w:tc>
          <w:tcPr>
            <w:tcW w:w="1479" w:type="dxa"/>
          </w:tcPr>
          <w:p w:rsidR="00975F7D" w:rsidRDefault="00975F7D" w:rsidP="00F90E20"/>
        </w:tc>
      </w:tr>
      <w:tr w:rsidR="00975F7D" w:rsidTr="00F90E20">
        <w:tc>
          <w:tcPr>
            <w:tcW w:w="534" w:type="dxa"/>
          </w:tcPr>
          <w:p w:rsidR="00975F7D" w:rsidRDefault="00975F7D" w:rsidP="00F90E20">
            <w:pPr>
              <w:rPr>
                <w:b/>
              </w:rPr>
            </w:pPr>
          </w:p>
        </w:tc>
        <w:tc>
          <w:tcPr>
            <w:tcW w:w="567" w:type="dxa"/>
          </w:tcPr>
          <w:p w:rsidR="00975F7D" w:rsidRPr="00F90E20" w:rsidRDefault="00975F7D" w:rsidP="00F90E20">
            <w:pPr>
              <w:rPr>
                <w:b/>
              </w:rPr>
            </w:pPr>
          </w:p>
        </w:tc>
        <w:tc>
          <w:tcPr>
            <w:tcW w:w="6662" w:type="dxa"/>
          </w:tcPr>
          <w:p w:rsidR="00975F7D" w:rsidRPr="00A37852" w:rsidRDefault="00975F7D" w:rsidP="009D41AB">
            <w:r>
              <w:t>The minutes were accepted as an accurate record.</w:t>
            </w:r>
            <w:r w:rsidR="00A37852">
              <w:t xml:space="preserve">  It was noted that Professor Claire Annesley </w:t>
            </w:r>
            <w:r w:rsidR="009D41AB">
              <w:t xml:space="preserve">is leaving </w:t>
            </w:r>
            <w:r w:rsidR="00A37852">
              <w:t xml:space="preserve">the University </w:t>
            </w:r>
            <w:r w:rsidR="009D41AB">
              <w:t xml:space="preserve">at the end of February </w:t>
            </w:r>
            <w:r w:rsidR="00A37852">
              <w:t xml:space="preserve">to take up a post at the University of Sussex. </w:t>
            </w:r>
          </w:p>
        </w:tc>
        <w:tc>
          <w:tcPr>
            <w:tcW w:w="1479" w:type="dxa"/>
          </w:tcPr>
          <w:p w:rsidR="00975F7D" w:rsidRDefault="00975F7D" w:rsidP="00F90E20"/>
        </w:tc>
      </w:tr>
      <w:tr w:rsidR="00975F7D" w:rsidTr="00F90E20">
        <w:tc>
          <w:tcPr>
            <w:tcW w:w="534" w:type="dxa"/>
          </w:tcPr>
          <w:p w:rsidR="00975F7D" w:rsidRDefault="00975F7D" w:rsidP="00F90E20">
            <w:pPr>
              <w:rPr>
                <w:b/>
              </w:rPr>
            </w:pPr>
          </w:p>
        </w:tc>
        <w:tc>
          <w:tcPr>
            <w:tcW w:w="567" w:type="dxa"/>
          </w:tcPr>
          <w:p w:rsidR="00975F7D" w:rsidRPr="00F90E20" w:rsidRDefault="00975F7D" w:rsidP="00F90E20">
            <w:pPr>
              <w:rPr>
                <w:b/>
              </w:rPr>
            </w:pPr>
          </w:p>
        </w:tc>
        <w:tc>
          <w:tcPr>
            <w:tcW w:w="6662" w:type="dxa"/>
          </w:tcPr>
          <w:p w:rsidR="00975F7D" w:rsidRDefault="00975F7D" w:rsidP="00DF3931"/>
        </w:tc>
        <w:tc>
          <w:tcPr>
            <w:tcW w:w="1479" w:type="dxa"/>
          </w:tcPr>
          <w:p w:rsidR="00975F7D" w:rsidRDefault="00975F7D" w:rsidP="00F90E20"/>
        </w:tc>
      </w:tr>
      <w:tr w:rsidR="00975F7D" w:rsidTr="00F90E20">
        <w:tc>
          <w:tcPr>
            <w:tcW w:w="534" w:type="dxa"/>
          </w:tcPr>
          <w:p w:rsidR="00975F7D" w:rsidRPr="00F90E20" w:rsidRDefault="00FD195A" w:rsidP="00944811">
            <w:pPr>
              <w:rPr>
                <w:b/>
              </w:rPr>
            </w:pPr>
            <w:r>
              <w:rPr>
                <w:b/>
              </w:rPr>
              <w:t>2</w:t>
            </w:r>
          </w:p>
        </w:tc>
        <w:tc>
          <w:tcPr>
            <w:tcW w:w="567" w:type="dxa"/>
          </w:tcPr>
          <w:p w:rsidR="00975F7D" w:rsidRPr="00F90E20" w:rsidRDefault="00975F7D" w:rsidP="00F90E20">
            <w:pPr>
              <w:rPr>
                <w:b/>
              </w:rPr>
            </w:pPr>
          </w:p>
        </w:tc>
        <w:tc>
          <w:tcPr>
            <w:tcW w:w="6662" w:type="dxa"/>
          </w:tcPr>
          <w:p w:rsidR="00975F7D" w:rsidRPr="00F90E20" w:rsidRDefault="00C65209" w:rsidP="00D51704">
            <w:pPr>
              <w:rPr>
                <w:b/>
              </w:rPr>
            </w:pPr>
            <w:r>
              <w:rPr>
                <w:b/>
              </w:rPr>
              <w:t>Matters arising</w:t>
            </w:r>
          </w:p>
        </w:tc>
        <w:tc>
          <w:tcPr>
            <w:tcW w:w="1479" w:type="dxa"/>
          </w:tcPr>
          <w:p w:rsidR="00975F7D" w:rsidRDefault="00975F7D" w:rsidP="00F90E20"/>
        </w:tc>
      </w:tr>
      <w:tr w:rsidR="000E737E" w:rsidTr="00F90E20">
        <w:tc>
          <w:tcPr>
            <w:tcW w:w="534" w:type="dxa"/>
          </w:tcPr>
          <w:p w:rsidR="000E737E" w:rsidRDefault="00FD195A" w:rsidP="00F90E20">
            <w:r>
              <w:t>2.1</w:t>
            </w:r>
          </w:p>
        </w:tc>
        <w:tc>
          <w:tcPr>
            <w:tcW w:w="567" w:type="dxa"/>
          </w:tcPr>
          <w:p w:rsidR="000E737E" w:rsidRDefault="000E737E" w:rsidP="00944811"/>
        </w:tc>
        <w:tc>
          <w:tcPr>
            <w:tcW w:w="6662" w:type="dxa"/>
          </w:tcPr>
          <w:p w:rsidR="00DC16ED" w:rsidRPr="00D424BC" w:rsidRDefault="00D9572D" w:rsidP="000677F3">
            <w:pPr>
              <w:pStyle w:val="PlainText"/>
              <w:rPr>
                <w:u w:val="single"/>
              </w:rPr>
            </w:pPr>
            <w:r w:rsidRPr="00D424BC">
              <w:rPr>
                <w:u w:val="single"/>
              </w:rPr>
              <w:t>Children on campus</w:t>
            </w:r>
          </w:p>
        </w:tc>
        <w:tc>
          <w:tcPr>
            <w:tcW w:w="1479" w:type="dxa"/>
          </w:tcPr>
          <w:p w:rsidR="000E737E" w:rsidRDefault="000E737E" w:rsidP="00DF3931"/>
        </w:tc>
      </w:tr>
      <w:tr w:rsidR="00DC16ED" w:rsidTr="00F90E20">
        <w:tc>
          <w:tcPr>
            <w:tcW w:w="534" w:type="dxa"/>
          </w:tcPr>
          <w:p w:rsidR="00DC16ED" w:rsidRDefault="00DC16ED" w:rsidP="00F90E20"/>
        </w:tc>
        <w:tc>
          <w:tcPr>
            <w:tcW w:w="567" w:type="dxa"/>
          </w:tcPr>
          <w:p w:rsidR="00DC16ED" w:rsidRDefault="00DC16ED" w:rsidP="00DF3931"/>
        </w:tc>
        <w:tc>
          <w:tcPr>
            <w:tcW w:w="6662" w:type="dxa"/>
          </w:tcPr>
          <w:p w:rsidR="000677F3" w:rsidRDefault="004979DD" w:rsidP="000677F3">
            <w:pPr>
              <w:pStyle w:val="PlainText"/>
            </w:pPr>
            <w:r>
              <w:t xml:space="preserve">Given </w:t>
            </w:r>
            <w:r w:rsidR="009B7CF3">
              <w:t xml:space="preserve">the need to review </w:t>
            </w:r>
            <w:r w:rsidR="009B7CF3" w:rsidRPr="009B7CF3">
              <w:t>the rationale for, and communication of, the University polic</w:t>
            </w:r>
            <w:r w:rsidR="009B7CF3">
              <w:t>y concerning children on campus in the WG’s report, AM is to meet with the Head of Compliance and Risk to discuss.</w:t>
            </w:r>
          </w:p>
          <w:p w:rsidR="009D41AB" w:rsidRDefault="009D41AB" w:rsidP="000677F3">
            <w:pPr>
              <w:pStyle w:val="PlainText"/>
            </w:pPr>
          </w:p>
          <w:p w:rsidR="00DC16ED" w:rsidRDefault="000677F3" w:rsidP="009B7CF3">
            <w:pPr>
              <w:pStyle w:val="PlainText"/>
            </w:pPr>
            <w:r>
              <w:t xml:space="preserve">AM will </w:t>
            </w:r>
            <w:r w:rsidR="009B7CF3">
              <w:t>also discuss with the Head of Equality and Diversity the best means of consulting with parents on the subject.</w:t>
            </w:r>
          </w:p>
        </w:tc>
        <w:tc>
          <w:tcPr>
            <w:tcW w:w="1479" w:type="dxa"/>
          </w:tcPr>
          <w:p w:rsidR="001B526F" w:rsidRDefault="001B526F" w:rsidP="00DF3931"/>
          <w:p w:rsidR="000677F3" w:rsidRDefault="000677F3" w:rsidP="00DF3931"/>
          <w:p w:rsidR="000677F3" w:rsidRDefault="000677F3" w:rsidP="00DF3931"/>
          <w:p w:rsidR="000677F3" w:rsidRDefault="000677F3" w:rsidP="00DF3931"/>
          <w:p w:rsidR="000677F3" w:rsidRDefault="000677F3" w:rsidP="00DF3931"/>
          <w:p w:rsidR="000677F3" w:rsidRDefault="000677F3" w:rsidP="00DF3931"/>
          <w:p w:rsidR="000677F3" w:rsidRDefault="000677F3" w:rsidP="00DF3931">
            <w:r w:rsidRPr="000677F3">
              <w:rPr>
                <w:b/>
              </w:rPr>
              <w:t>Action:</w:t>
            </w:r>
            <w:r>
              <w:t xml:space="preserve">  AM</w:t>
            </w:r>
          </w:p>
        </w:tc>
      </w:tr>
      <w:tr w:rsidR="000677F3" w:rsidTr="00F90E20">
        <w:tc>
          <w:tcPr>
            <w:tcW w:w="534" w:type="dxa"/>
          </w:tcPr>
          <w:p w:rsidR="000677F3" w:rsidRDefault="000677F3" w:rsidP="00F90E20"/>
        </w:tc>
        <w:tc>
          <w:tcPr>
            <w:tcW w:w="567" w:type="dxa"/>
          </w:tcPr>
          <w:p w:rsidR="000677F3" w:rsidRDefault="000677F3" w:rsidP="00DF3931"/>
        </w:tc>
        <w:tc>
          <w:tcPr>
            <w:tcW w:w="6662" w:type="dxa"/>
          </w:tcPr>
          <w:p w:rsidR="000677F3" w:rsidRDefault="000677F3" w:rsidP="00975AE2"/>
        </w:tc>
        <w:tc>
          <w:tcPr>
            <w:tcW w:w="1479" w:type="dxa"/>
          </w:tcPr>
          <w:p w:rsidR="000677F3" w:rsidRDefault="000677F3" w:rsidP="00DF3931"/>
        </w:tc>
      </w:tr>
      <w:tr w:rsidR="000677F3" w:rsidTr="00F90E20">
        <w:tc>
          <w:tcPr>
            <w:tcW w:w="534" w:type="dxa"/>
          </w:tcPr>
          <w:p w:rsidR="000677F3" w:rsidRDefault="00A37852" w:rsidP="00F90E20">
            <w:r>
              <w:t>2.2</w:t>
            </w:r>
          </w:p>
        </w:tc>
        <w:tc>
          <w:tcPr>
            <w:tcW w:w="567" w:type="dxa"/>
          </w:tcPr>
          <w:p w:rsidR="000677F3" w:rsidRDefault="000677F3" w:rsidP="00DF3931"/>
        </w:tc>
        <w:tc>
          <w:tcPr>
            <w:tcW w:w="6662" w:type="dxa"/>
          </w:tcPr>
          <w:p w:rsidR="000677F3" w:rsidRPr="00D424BC" w:rsidRDefault="000677F3" w:rsidP="000677F3">
            <w:pPr>
              <w:pStyle w:val="PlainText"/>
              <w:rPr>
                <w:u w:val="single"/>
              </w:rPr>
            </w:pPr>
            <w:r w:rsidRPr="00D424BC">
              <w:rPr>
                <w:u w:val="single"/>
              </w:rPr>
              <w:t>Unconscious bias</w:t>
            </w:r>
          </w:p>
        </w:tc>
        <w:tc>
          <w:tcPr>
            <w:tcW w:w="1479" w:type="dxa"/>
          </w:tcPr>
          <w:p w:rsidR="000677F3" w:rsidRDefault="000677F3" w:rsidP="00DF3931"/>
        </w:tc>
      </w:tr>
      <w:tr w:rsidR="000E737E" w:rsidTr="00F90E20">
        <w:tc>
          <w:tcPr>
            <w:tcW w:w="534" w:type="dxa"/>
          </w:tcPr>
          <w:p w:rsidR="000E737E" w:rsidRDefault="000E737E" w:rsidP="00F90E20"/>
        </w:tc>
        <w:tc>
          <w:tcPr>
            <w:tcW w:w="567" w:type="dxa"/>
          </w:tcPr>
          <w:p w:rsidR="000E737E" w:rsidRDefault="000E737E" w:rsidP="00DF3931"/>
        </w:tc>
        <w:tc>
          <w:tcPr>
            <w:tcW w:w="6662" w:type="dxa"/>
          </w:tcPr>
          <w:p w:rsidR="00492B43" w:rsidRDefault="000677F3" w:rsidP="00492B43">
            <w:r>
              <w:t xml:space="preserve">AM </w:t>
            </w:r>
            <w:proofErr w:type="gramStart"/>
            <w:r w:rsidR="009B7CF3">
              <w:t>undertook</w:t>
            </w:r>
            <w:proofErr w:type="gramEnd"/>
            <w:r w:rsidR="009B7CF3">
              <w:t xml:space="preserve"> to </w:t>
            </w:r>
            <w:r>
              <w:t xml:space="preserve">forward a link </w:t>
            </w:r>
            <w:r w:rsidR="009B7CF3">
              <w:t xml:space="preserve">on the Equality and Diversity web pages to a </w:t>
            </w:r>
            <w:r>
              <w:t xml:space="preserve">95 minute online training </w:t>
            </w:r>
            <w:r w:rsidR="009B7CF3">
              <w:t xml:space="preserve">course by an organisation called </w:t>
            </w:r>
            <w:proofErr w:type="spellStart"/>
            <w:r w:rsidR="009B7CF3">
              <w:t>Skillboosters</w:t>
            </w:r>
            <w:proofErr w:type="spellEnd"/>
            <w:r w:rsidR="009B7CF3">
              <w:t xml:space="preserve">.  This includes </w:t>
            </w:r>
            <w:r>
              <w:t xml:space="preserve">a 10 minute test.  </w:t>
            </w:r>
            <w:r w:rsidR="009B7CF3">
              <w:t>C</w:t>
            </w:r>
            <w:r>
              <w:t xml:space="preserve">olleagues who </w:t>
            </w:r>
            <w:r w:rsidR="009B7CF3">
              <w:t xml:space="preserve">were able to </w:t>
            </w:r>
            <w:r>
              <w:t xml:space="preserve">complete </w:t>
            </w:r>
            <w:r w:rsidR="009B7CF3">
              <w:t xml:space="preserve">the </w:t>
            </w:r>
            <w:r w:rsidR="004979DD">
              <w:t xml:space="preserve">course </w:t>
            </w:r>
            <w:r w:rsidR="009B7CF3">
              <w:t xml:space="preserve">were asked to provide </w:t>
            </w:r>
            <w:r>
              <w:t>feedback.</w:t>
            </w:r>
            <w:r w:rsidR="005923C5">
              <w:t xml:space="preserve"> </w:t>
            </w:r>
            <w:hyperlink r:id="rId8" w:history="1">
              <w:r w:rsidR="00492B43">
                <w:rPr>
                  <w:rStyle w:val="Hyperlink"/>
                </w:rPr>
                <w:t>http://www.staffnet.manchester.ac.uk/services/equality-and-diversity/training/understanding-bias/</w:t>
              </w:r>
            </w:hyperlink>
          </w:p>
          <w:p w:rsidR="000E737E" w:rsidRPr="000677F3" w:rsidRDefault="000E737E" w:rsidP="004979DD">
            <w:pPr>
              <w:pStyle w:val="PlainText"/>
            </w:pPr>
          </w:p>
        </w:tc>
        <w:tc>
          <w:tcPr>
            <w:tcW w:w="1479" w:type="dxa"/>
          </w:tcPr>
          <w:p w:rsidR="000E737E" w:rsidRDefault="000677F3" w:rsidP="00DF3931">
            <w:r w:rsidRPr="000677F3">
              <w:rPr>
                <w:b/>
              </w:rPr>
              <w:t>Action:</w:t>
            </w:r>
            <w:r>
              <w:t xml:space="preserve">  AM/All</w:t>
            </w:r>
          </w:p>
        </w:tc>
      </w:tr>
      <w:tr w:rsidR="000E737E" w:rsidTr="00F90E20">
        <w:tc>
          <w:tcPr>
            <w:tcW w:w="534" w:type="dxa"/>
          </w:tcPr>
          <w:p w:rsidR="000E737E" w:rsidRDefault="000E737E" w:rsidP="00F90E20"/>
        </w:tc>
        <w:tc>
          <w:tcPr>
            <w:tcW w:w="567" w:type="dxa"/>
          </w:tcPr>
          <w:p w:rsidR="000E737E" w:rsidRPr="008C24D1" w:rsidRDefault="000E737E" w:rsidP="007F6945"/>
        </w:tc>
        <w:tc>
          <w:tcPr>
            <w:tcW w:w="6662" w:type="dxa"/>
          </w:tcPr>
          <w:p w:rsidR="000E737E" w:rsidRPr="00F30874" w:rsidRDefault="000E737E" w:rsidP="00F30874">
            <w:pPr>
              <w:pStyle w:val="PlainText"/>
            </w:pPr>
          </w:p>
        </w:tc>
        <w:tc>
          <w:tcPr>
            <w:tcW w:w="1479" w:type="dxa"/>
          </w:tcPr>
          <w:p w:rsidR="000E737E" w:rsidRPr="00964ED4" w:rsidRDefault="000E737E" w:rsidP="00DF3931">
            <w:pPr>
              <w:rPr>
                <w:b/>
              </w:rPr>
            </w:pPr>
          </w:p>
        </w:tc>
      </w:tr>
      <w:tr w:rsidR="000677F3" w:rsidTr="00F90E20">
        <w:tc>
          <w:tcPr>
            <w:tcW w:w="534" w:type="dxa"/>
          </w:tcPr>
          <w:p w:rsidR="000677F3" w:rsidRDefault="000677F3" w:rsidP="00F90E20"/>
        </w:tc>
        <w:tc>
          <w:tcPr>
            <w:tcW w:w="567" w:type="dxa"/>
          </w:tcPr>
          <w:p w:rsidR="000677F3" w:rsidRPr="008C24D1" w:rsidRDefault="000677F3" w:rsidP="007F6945"/>
        </w:tc>
        <w:tc>
          <w:tcPr>
            <w:tcW w:w="6662" w:type="dxa"/>
          </w:tcPr>
          <w:p w:rsidR="001E6085" w:rsidRDefault="009B7CF3" w:rsidP="001E6085">
            <w:pPr>
              <w:pStyle w:val="PlainText"/>
            </w:pPr>
            <w:r>
              <w:t xml:space="preserve">The Head of Equality and Diversity is commissioning </w:t>
            </w:r>
            <w:proofErr w:type="spellStart"/>
            <w:r>
              <w:t>Pearn</w:t>
            </w:r>
            <w:proofErr w:type="spellEnd"/>
            <w:r>
              <w:t xml:space="preserve"> </w:t>
            </w:r>
            <w:proofErr w:type="spellStart"/>
            <w:r>
              <w:t>Kandola</w:t>
            </w:r>
            <w:proofErr w:type="spellEnd"/>
            <w:r>
              <w:t xml:space="preserve"> to </w:t>
            </w:r>
            <w:r>
              <w:lastRenderedPageBreak/>
              <w:t xml:space="preserve">deliver unconscious bias training to the University’s Senior Leadership Team and the University PSS Leadership Team.   </w:t>
            </w:r>
            <w:r w:rsidR="001E6085">
              <w:t>It is planned to use t</w:t>
            </w:r>
            <w:r>
              <w:t xml:space="preserve">he content to roll out an in-house version facilitated by in-house trainers.  In addition, the Head of Equality and Diversity is exploring the option of </w:t>
            </w:r>
            <w:r w:rsidR="001E6085">
              <w:t xml:space="preserve">providing training to the Humanities Working Group using a facilitator who has delivered </w:t>
            </w:r>
            <w:r w:rsidR="004979DD">
              <w:t xml:space="preserve">well regarded </w:t>
            </w:r>
            <w:r w:rsidR="001E6085">
              <w:t xml:space="preserve">unconscious bias training </w:t>
            </w:r>
            <w:r w:rsidR="004979DD">
              <w:t xml:space="preserve">on behalf of </w:t>
            </w:r>
            <w:r w:rsidR="001E6085">
              <w:t xml:space="preserve">the Institute of Physics.  </w:t>
            </w:r>
          </w:p>
          <w:p w:rsidR="001E6085" w:rsidRDefault="001E6085" w:rsidP="001E6085">
            <w:pPr>
              <w:pStyle w:val="PlainText"/>
            </w:pPr>
          </w:p>
          <w:p w:rsidR="000677F3" w:rsidRPr="00F30874" w:rsidRDefault="005923C5" w:rsidP="001E6085">
            <w:pPr>
              <w:pStyle w:val="PlainText"/>
            </w:pPr>
            <w:r>
              <w:t xml:space="preserve">AM </w:t>
            </w:r>
            <w:r w:rsidR="001E6085">
              <w:t xml:space="preserve">is to </w:t>
            </w:r>
            <w:r>
              <w:t xml:space="preserve">enquire </w:t>
            </w:r>
            <w:r w:rsidR="001E6085">
              <w:t>whether or not he and/or</w:t>
            </w:r>
            <w:r>
              <w:t xml:space="preserve"> CF </w:t>
            </w:r>
            <w:r w:rsidR="001E6085">
              <w:t>a</w:t>
            </w:r>
            <w:r>
              <w:t>re able to attend</w:t>
            </w:r>
            <w:r w:rsidR="001E6085">
              <w:t xml:space="preserve"> the training event facilitated by </w:t>
            </w:r>
            <w:proofErr w:type="spellStart"/>
            <w:r w:rsidR="001E6085">
              <w:t>Pearn</w:t>
            </w:r>
            <w:proofErr w:type="spellEnd"/>
            <w:r w:rsidR="001E6085">
              <w:t xml:space="preserve"> </w:t>
            </w:r>
            <w:proofErr w:type="spellStart"/>
            <w:r w:rsidR="001E6085">
              <w:t>Kandola</w:t>
            </w:r>
            <w:proofErr w:type="spellEnd"/>
            <w:r>
              <w:t xml:space="preserve">. </w:t>
            </w:r>
          </w:p>
        </w:tc>
        <w:tc>
          <w:tcPr>
            <w:tcW w:w="1479" w:type="dxa"/>
          </w:tcPr>
          <w:p w:rsidR="000677F3" w:rsidRPr="00964ED4" w:rsidRDefault="005923C5" w:rsidP="00DF3931">
            <w:pPr>
              <w:rPr>
                <w:b/>
              </w:rPr>
            </w:pPr>
            <w:r>
              <w:rPr>
                <w:b/>
              </w:rPr>
              <w:lastRenderedPageBreak/>
              <w:t xml:space="preserve">Action:  </w:t>
            </w:r>
            <w:r w:rsidRPr="005923C5">
              <w:t>AM</w:t>
            </w:r>
          </w:p>
        </w:tc>
      </w:tr>
      <w:tr w:rsidR="000677F3" w:rsidTr="00F90E20">
        <w:tc>
          <w:tcPr>
            <w:tcW w:w="534" w:type="dxa"/>
          </w:tcPr>
          <w:p w:rsidR="000677F3" w:rsidRDefault="000677F3" w:rsidP="00F90E20"/>
        </w:tc>
        <w:tc>
          <w:tcPr>
            <w:tcW w:w="567" w:type="dxa"/>
          </w:tcPr>
          <w:p w:rsidR="000677F3" w:rsidRPr="008C24D1" w:rsidRDefault="000677F3" w:rsidP="007F6945"/>
        </w:tc>
        <w:tc>
          <w:tcPr>
            <w:tcW w:w="6662" w:type="dxa"/>
          </w:tcPr>
          <w:p w:rsidR="000677F3" w:rsidRPr="00F30874" w:rsidRDefault="000677F3" w:rsidP="00F30874">
            <w:pPr>
              <w:pStyle w:val="PlainText"/>
            </w:pPr>
          </w:p>
        </w:tc>
        <w:tc>
          <w:tcPr>
            <w:tcW w:w="1479" w:type="dxa"/>
          </w:tcPr>
          <w:p w:rsidR="000677F3" w:rsidRPr="00964ED4" w:rsidRDefault="000677F3" w:rsidP="00DF3931">
            <w:pPr>
              <w:rPr>
                <w:b/>
              </w:rPr>
            </w:pPr>
          </w:p>
        </w:tc>
      </w:tr>
      <w:tr w:rsidR="000677F3" w:rsidTr="00F90E20">
        <w:tc>
          <w:tcPr>
            <w:tcW w:w="534" w:type="dxa"/>
          </w:tcPr>
          <w:p w:rsidR="000677F3" w:rsidRDefault="001E6085" w:rsidP="00F90E20">
            <w:r>
              <w:t>2.3</w:t>
            </w:r>
          </w:p>
        </w:tc>
        <w:tc>
          <w:tcPr>
            <w:tcW w:w="567" w:type="dxa"/>
          </w:tcPr>
          <w:p w:rsidR="000677F3" w:rsidRPr="008C24D1" w:rsidRDefault="000677F3" w:rsidP="007F6945"/>
        </w:tc>
        <w:tc>
          <w:tcPr>
            <w:tcW w:w="6662" w:type="dxa"/>
          </w:tcPr>
          <w:p w:rsidR="000677F3" w:rsidRPr="00D424BC" w:rsidRDefault="000677F3" w:rsidP="00AE4C13">
            <w:pPr>
              <w:pStyle w:val="PlainText"/>
              <w:rPr>
                <w:u w:val="single"/>
              </w:rPr>
            </w:pPr>
            <w:r w:rsidRPr="00D424BC">
              <w:rPr>
                <w:u w:val="single"/>
              </w:rPr>
              <w:t xml:space="preserve">Policy Review </w:t>
            </w:r>
            <w:r w:rsidR="00A37852" w:rsidRPr="00D424BC">
              <w:rPr>
                <w:u w:val="single"/>
              </w:rPr>
              <w:t xml:space="preserve"> u</w:t>
            </w:r>
            <w:r w:rsidRPr="00D424BC">
              <w:rPr>
                <w:u w:val="single"/>
              </w:rPr>
              <w:t>pdate</w:t>
            </w:r>
          </w:p>
        </w:tc>
        <w:tc>
          <w:tcPr>
            <w:tcW w:w="1479" w:type="dxa"/>
          </w:tcPr>
          <w:p w:rsidR="000677F3" w:rsidRPr="00964ED4" w:rsidRDefault="000677F3" w:rsidP="00DF3931">
            <w:pPr>
              <w:rPr>
                <w:b/>
              </w:rPr>
            </w:pPr>
          </w:p>
        </w:tc>
      </w:tr>
      <w:tr w:rsidR="000677F3" w:rsidTr="00F90E20">
        <w:tc>
          <w:tcPr>
            <w:tcW w:w="534" w:type="dxa"/>
          </w:tcPr>
          <w:p w:rsidR="000677F3" w:rsidRDefault="000677F3" w:rsidP="00F90E20"/>
        </w:tc>
        <w:tc>
          <w:tcPr>
            <w:tcW w:w="567" w:type="dxa"/>
          </w:tcPr>
          <w:p w:rsidR="000677F3" w:rsidRPr="008C24D1" w:rsidRDefault="000677F3" w:rsidP="007F6945"/>
        </w:tc>
        <w:tc>
          <w:tcPr>
            <w:tcW w:w="6662" w:type="dxa"/>
          </w:tcPr>
          <w:p w:rsidR="000677F3" w:rsidRPr="00F30874" w:rsidRDefault="00AE4C13" w:rsidP="00AE4C13">
            <w:pPr>
              <w:pStyle w:val="PlainText"/>
            </w:pPr>
            <w:r>
              <w:t xml:space="preserve">Most of the policy reviews had now been completed and submitted.  </w:t>
            </w:r>
            <w:r w:rsidR="000677F3">
              <w:t xml:space="preserve">AM </w:t>
            </w:r>
            <w:r>
              <w:t xml:space="preserve">will summarise the recommendations in consultation with CF and frame a package of proposals that could be discussed with HR colleagues before presentation to the trade unions at one of the regular Negotiating Group meetings. </w:t>
            </w:r>
          </w:p>
        </w:tc>
        <w:tc>
          <w:tcPr>
            <w:tcW w:w="1479" w:type="dxa"/>
          </w:tcPr>
          <w:p w:rsidR="000677F3" w:rsidRPr="00964ED4" w:rsidRDefault="005923C5" w:rsidP="00DF3931">
            <w:pPr>
              <w:rPr>
                <w:b/>
              </w:rPr>
            </w:pPr>
            <w:r>
              <w:rPr>
                <w:b/>
              </w:rPr>
              <w:t xml:space="preserve">Action:  </w:t>
            </w:r>
            <w:r w:rsidRPr="005923C5">
              <w:t>AM</w:t>
            </w:r>
            <w:r w:rsidR="00AE4C13">
              <w:t>/CF</w:t>
            </w:r>
          </w:p>
        </w:tc>
      </w:tr>
      <w:tr w:rsidR="000677F3" w:rsidTr="00F90E20">
        <w:tc>
          <w:tcPr>
            <w:tcW w:w="534" w:type="dxa"/>
          </w:tcPr>
          <w:p w:rsidR="000677F3" w:rsidRDefault="000677F3" w:rsidP="00F90E20"/>
        </w:tc>
        <w:tc>
          <w:tcPr>
            <w:tcW w:w="567" w:type="dxa"/>
          </w:tcPr>
          <w:p w:rsidR="000677F3" w:rsidRPr="008C24D1" w:rsidRDefault="000677F3" w:rsidP="007F6945"/>
        </w:tc>
        <w:tc>
          <w:tcPr>
            <w:tcW w:w="6662" w:type="dxa"/>
          </w:tcPr>
          <w:p w:rsidR="000677F3" w:rsidRPr="00F30874" w:rsidRDefault="000677F3" w:rsidP="00F30874">
            <w:pPr>
              <w:pStyle w:val="PlainText"/>
            </w:pPr>
          </w:p>
        </w:tc>
        <w:tc>
          <w:tcPr>
            <w:tcW w:w="1479" w:type="dxa"/>
          </w:tcPr>
          <w:p w:rsidR="000677F3" w:rsidRPr="00964ED4" w:rsidRDefault="000677F3" w:rsidP="00DF3931">
            <w:pPr>
              <w:rPr>
                <w:b/>
              </w:rPr>
            </w:pPr>
          </w:p>
        </w:tc>
      </w:tr>
      <w:tr w:rsidR="005923C5" w:rsidTr="00F90E20">
        <w:tc>
          <w:tcPr>
            <w:tcW w:w="534" w:type="dxa"/>
          </w:tcPr>
          <w:p w:rsidR="005923C5" w:rsidRDefault="005923C5" w:rsidP="00F90E20"/>
        </w:tc>
        <w:tc>
          <w:tcPr>
            <w:tcW w:w="567" w:type="dxa"/>
          </w:tcPr>
          <w:p w:rsidR="005923C5" w:rsidRPr="008C24D1" w:rsidRDefault="005923C5" w:rsidP="007F6945"/>
        </w:tc>
        <w:tc>
          <w:tcPr>
            <w:tcW w:w="6662" w:type="dxa"/>
          </w:tcPr>
          <w:p w:rsidR="005923C5" w:rsidRPr="00F30874" w:rsidRDefault="00AE4C13" w:rsidP="00AE4C13">
            <w:pPr>
              <w:pStyle w:val="PlainText"/>
            </w:pPr>
            <w:r>
              <w:t>The review</w:t>
            </w:r>
            <w:r w:rsidR="005923C5">
              <w:t xml:space="preserve"> </w:t>
            </w:r>
            <w:r>
              <w:t xml:space="preserve">of equality and diversity policy and practice </w:t>
            </w:r>
            <w:r w:rsidR="005923C5">
              <w:t xml:space="preserve">submitted by </w:t>
            </w:r>
            <w:proofErr w:type="spellStart"/>
            <w:r w:rsidR="005923C5">
              <w:t>CAl</w:t>
            </w:r>
            <w:proofErr w:type="spellEnd"/>
            <w:r w:rsidR="005923C5">
              <w:t xml:space="preserve"> to be circulated.  </w:t>
            </w:r>
          </w:p>
        </w:tc>
        <w:tc>
          <w:tcPr>
            <w:tcW w:w="1479" w:type="dxa"/>
          </w:tcPr>
          <w:p w:rsidR="005923C5" w:rsidRPr="00964ED4" w:rsidRDefault="005923C5" w:rsidP="00DF3931">
            <w:pPr>
              <w:rPr>
                <w:b/>
              </w:rPr>
            </w:pPr>
            <w:r>
              <w:rPr>
                <w:b/>
              </w:rPr>
              <w:t xml:space="preserve">Action:  </w:t>
            </w:r>
            <w:r w:rsidRPr="005923C5">
              <w:t>NTV</w:t>
            </w:r>
          </w:p>
        </w:tc>
      </w:tr>
      <w:tr w:rsidR="005923C5" w:rsidTr="00F90E20">
        <w:tc>
          <w:tcPr>
            <w:tcW w:w="534" w:type="dxa"/>
          </w:tcPr>
          <w:p w:rsidR="005923C5" w:rsidRDefault="005923C5" w:rsidP="00F90E20"/>
        </w:tc>
        <w:tc>
          <w:tcPr>
            <w:tcW w:w="567" w:type="dxa"/>
          </w:tcPr>
          <w:p w:rsidR="005923C5" w:rsidRPr="008C24D1" w:rsidRDefault="005923C5" w:rsidP="007F6945"/>
        </w:tc>
        <w:tc>
          <w:tcPr>
            <w:tcW w:w="6662" w:type="dxa"/>
          </w:tcPr>
          <w:p w:rsidR="005923C5" w:rsidRPr="00F30874" w:rsidRDefault="005923C5" w:rsidP="00F30874">
            <w:pPr>
              <w:pStyle w:val="PlainText"/>
            </w:pPr>
          </w:p>
        </w:tc>
        <w:tc>
          <w:tcPr>
            <w:tcW w:w="1479" w:type="dxa"/>
          </w:tcPr>
          <w:p w:rsidR="005923C5" w:rsidRPr="00964ED4" w:rsidRDefault="005923C5" w:rsidP="00DF3931">
            <w:pPr>
              <w:rPr>
                <w:b/>
              </w:rPr>
            </w:pPr>
          </w:p>
        </w:tc>
      </w:tr>
      <w:tr w:rsidR="005923C5" w:rsidTr="00F90E20">
        <w:tc>
          <w:tcPr>
            <w:tcW w:w="534" w:type="dxa"/>
          </w:tcPr>
          <w:p w:rsidR="005923C5" w:rsidRDefault="005923C5" w:rsidP="00F90E20"/>
        </w:tc>
        <w:tc>
          <w:tcPr>
            <w:tcW w:w="567" w:type="dxa"/>
          </w:tcPr>
          <w:p w:rsidR="005923C5" w:rsidRPr="008C24D1" w:rsidRDefault="005923C5" w:rsidP="007F6945"/>
        </w:tc>
        <w:tc>
          <w:tcPr>
            <w:tcW w:w="6662" w:type="dxa"/>
          </w:tcPr>
          <w:p w:rsidR="005923C5" w:rsidRPr="00F30874" w:rsidRDefault="00AE4C13" w:rsidP="005923C5">
            <w:pPr>
              <w:pStyle w:val="PlainText"/>
            </w:pPr>
            <w:r>
              <w:t>An update on progress, including a summary of proposals will be brought to the May meeting of the Working Group.</w:t>
            </w:r>
          </w:p>
        </w:tc>
        <w:tc>
          <w:tcPr>
            <w:tcW w:w="1479" w:type="dxa"/>
          </w:tcPr>
          <w:p w:rsidR="005923C5" w:rsidRPr="00964ED4" w:rsidRDefault="005923C5" w:rsidP="00DF3931">
            <w:pPr>
              <w:rPr>
                <w:b/>
              </w:rPr>
            </w:pPr>
            <w:r>
              <w:rPr>
                <w:b/>
              </w:rPr>
              <w:t xml:space="preserve">Action:  </w:t>
            </w:r>
            <w:r w:rsidRPr="005923C5">
              <w:t>AM/CF</w:t>
            </w:r>
          </w:p>
        </w:tc>
      </w:tr>
      <w:tr w:rsidR="005923C5" w:rsidTr="00F90E20">
        <w:tc>
          <w:tcPr>
            <w:tcW w:w="534" w:type="dxa"/>
          </w:tcPr>
          <w:p w:rsidR="005923C5" w:rsidRDefault="005923C5" w:rsidP="00F90E20"/>
        </w:tc>
        <w:tc>
          <w:tcPr>
            <w:tcW w:w="567" w:type="dxa"/>
          </w:tcPr>
          <w:p w:rsidR="005923C5" w:rsidRPr="008C24D1" w:rsidRDefault="005923C5" w:rsidP="007F6945"/>
        </w:tc>
        <w:tc>
          <w:tcPr>
            <w:tcW w:w="6662" w:type="dxa"/>
          </w:tcPr>
          <w:p w:rsidR="005923C5" w:rsidRPr="00F30874" w:rsidRDefault="005923C5" w:rsidP="00F30874">
            <w:pPr>
              <w:pStyle w:val="PlainText"/>
            </w:pPr>
          </w:p>
        </w:tc>
        <w:tc>
          <w:tcPr>
            <w:tcW w:w="1479" w:type="dxa"/>
          </w:tcPr>
          <w:p w:rsidR="005923C5" w:rsidRPr="00964ED4" w:rsidRDefault="005923C5" w:rsidP="00DF3931">
            <w:pPr>
              <w:rPr>
                <w:b/>
              </w:rPr>
            </w:pPr>
          </w:p>
        </w:tc>
      </w:tr>
      <w:tr w:rsidR="000677F3" w:rsidTr="00F90E20">
        <w:tc>
          <w:tcPr>
            <w:tcW w:w="534" w:type="dxa"/>
          </w:tcPr>
          <w:p w:rsidR="000677F3" w:rsidRDefault="00A37852" w:rsidP="001E6085">
            <w:r>
              <w:t>2.</w:t>
            </w:r>
            <w:r w:rsidR="001E6085">
              <w:t>4</w:t>
            </w:r>
          </w:p>
        </w:tc>
        <w:tc>
          <w:tcPr>
            <w:tcW w:w="567" w:type="dxa"/>
          </w:tcPr>
          <w:p w:rsidR="000677F3" w:rsidRPr="008C24D1" w:rsidRDefault="000677F3" w:rsidP="007F6945"/>
        </w:tc>
        <w:tc>
          <w:tcPr>
            <w:tcW w:w="6662" w:type="dxa"/>
          </w:tcPr>
          <w:p w:rsidR="000677F3" w:rsidRPr="00D424BC" w:rsidRDefault="000677F3" w:rsidP="00F30874">
            <w:pPr>
              <w:pStyle w:val="PlainText"/>
              <w:rPr>
                <w:u w:val="single"/>
              </w:rPr>
            </w:pPr>
            <w:r w:rsidRPr="00D424BC">
              <w:rPr>
                <w:u w:val="single"/>
              </w:rPr>
              <w:t>Positive action</w:t>
            </w:r>
          </w:p>
        </w:tc>
        <w:tc>
          <w:tcPr>
            <w:tcW w:w="1479" w:type="dxa"/>
          </w:tcPr>
          <w:p w:rsidR="000677F3" w:rsidRPr="00964ED4" w:rsidRDefault="000677F3" w:rsidP="00DF3931">
            <w:pPr>
              <w:rPr>
                <w:b/>
              </w:rPr>
            </w:pPr>
          </w:p>
        </w:tc>
      </w:tr>
      <w:tr w:rsidR="000677F3" w:rsidTr="00F90E20">
        <w:tc>
          <w:tcPr>
            <w:tcW w:w="534" w:type="dxa"/>
          </w:tcPr>
          <w:p w:rsidR="000677F3" w:rsidRDefault="000677F3" w:rsidP="00F90E20"/>
        </w:tc>
        <w:tc>
          <w:tcPr>
            <w:tcW w:w="567" w:type="dxa"/>
          </w:tcPr>
          <w:p w:rsidR="000677F3" w:rsidRPr="008C24D1" w:rsidRDefault="000677F3" w:rsidP="007F6945"/>
        </w:tc>
        <w:tc>
          <w:tcPr>
            <w:tcW w:w="6662" w:type="dxa"/>
          </w:tcPr>
          <w:p w:rsidR="000677F3" w:rsidRDefault="001E6085" w:rsidP="001E6085">
            <w:pPr>
              <w:pStyle w:val="PlainText"/>
            </w:pPr>
            <w:r>
              <w:t xml:space="preserve">Am noted that </w:t>
            </w:r>
            <w:r w:rsidR="005923C5">
              <w:t xml:space="preserve">JR </w:t>
            </w:r>
            <w:r>
              <w:t>had sent him a helpful link to pages on the Equality and Human Rights Commission’s (EHRC)</w:t>
            </w:r>
            <w:r w:rsidR="005923C5">
              <w:t xml:space="preserve"> </w:t>
            </w:r>
            <w:r>
              <w:t xml:space="preserve">web site which provided helpful illustrations of the </w:t>
            </w:r>
            <w:r w:rsidR="005923C5">
              <w:t>d</w:t>
            </w:r>
            <w:r w:rsidR="000677F3">
              <w:t xml:space="preserve">ifference between positive action and </w:t>
            </w:r>
            <w:r>
              <w:t>positive discrimination/</w:t>
            </w:r>
            <w:r w:rsidR="000677F3">
              <w:t>affirmative action.</w:t>
            </w:r>
            <w:r w:rsidR="00B87272">
              <w:t xml:space="preserve">  </w:t>
            </w:r>
            <w:r>
              <w:t>AM to forward link to WG members by email.</w:t>
            </w:r>
          </w:p>
          <w:p w:rsidR="00492B43" w:rsidRDefault="00F574F6" w:rsidP="00492B43">
            <w:hyperlink r:id="rId9" w:history="1">
              <w:r w:rsidR="00492B43">
                <w:rPr>
                  <w:rStyle w:val="Hyperlink"/>
                </w:rPr>
                <w:t>http://www.equalityhumanrights.com/private-and-public-sector-guidance/employing-people/managing-workers/career-development/using-positive-action-target-training-or-promote-wider-range-people</w:t>
              </w:r>
            </w:hyperlink>
          </w:p>
          <w:p w:rsidR="00492B43" w:rsidRPr="00F30874" w:rsidRDefault="00492B43" w:rsidP="001E6085">
            <w:pPr>
              <w:pStyle w:val="PlainText"/>
            </w:pPr>
          </w:p>
        </w:tc>
        <w:tc>
          <w:tcPr>
            <w:tcW w:w="1479" w:type="dxa"/>
          </w:tcPr>
          <w:p w:rsidR="000677F3" w:rsidRPr="00964ED4" w:rsidRDefault="00B87272" w:rsidP="001E6085">
            <w:pPr>
              <w:rPr>
                <w:b/>
              </w:rPr>
            </w:pPr>
            <w:r>
              <w:rPr>
                <w:b/>
              </w:rPr>
              <w:t xml:space="preserve">Action: </w:t>
            </w:r>
            <w:r w:rsidR="001E6085">
              <w:t xml:space="preserve"> AM</w:t>
            </w:r>
          </w:p>
        </w:tc>
      </w:tr>
      <w:tr w:rsidR="000677F3" w:rsidTr="00F90E20">
        <w:tc>
          <w:tcPr>
            <w:tcW w:w="534" w:type="dxa"/>
          </w:tcPr>
          <w:p w:rsidR="000677F3" w:rsidRDefault="000677F3" w:rsidP="00F90E20"/>
        </w:tc>
        <w:tc>
          <w:tcPr>
            <w:tcW w:w="567" w:type="dxa"/>
          </w:tcPr>
          <w:p w:rsidR="000677F3" w:rsidRPr="008C24D1" w:rsidRDefault="000677F3" w:rsidP="007F6945"/>
        </w:tc>
        <w:tc>
          <w:tcPr>
            <w:tcW w:w="6662" w:type="dxa"/>
          </w:tcPr>
          <w:p w:rsidR="000677F3" w:rsidRPr="00F30874" w:rsidRDefault="000677F3" w:rsidP="00F30874">
            <w:pPr>
              <w:pStyle w:val="PlainText"/>
            </w:pPr>
          </w:p>
        </w:tc>
        <w:tc>
          <w:tcPr>
            <w:tcW w:w="1479" w:type="dxa"/>
          </w:tcPr>
          <w:p w:rsidR="000677F3" w:rsidRPr="00964ED4" w:rsidRDefault="000677F3" w:rsidP="00DF3931">
            <w:pPr>
              <w:rPr>
                <w:b/>
              </w:rPr>
            </w:pPr>
          </w:p>
        </w:tc>
      </w:tr>
      <w:tr w:rsidR="00F30874" w:rsidTr="00F90E20">
        <w:tc>
          <w:tcPr>
            <w:tcW w:w="534" w:type="dxa"/>
          </w:tcPr>
          <w:p w:rsidR="00F30874" w:rsidRDefault="001E6085" w:rsidP="00F90E20">
            <w:r>
              <w:t>2.5</w:t>
            </w:r>
          </w:p>
        </w:tc>
        <w:tc>
          <w:tcPr>
            <w:tcW w:w="567" w:type="dxa"/>
          </w:tcPr>
          <w:p w:rsidR="00F30874" w:rsidRPr="008C24D1" w:rsidRDefault="00F30874" w:rsidP="007F6945"/>
        </w:tc>
        <w:tc>
          <w:tcPr>
            <w:tcW w:w="6662" w:type="dxa"/>
          </w:tcPr>
          <w:p w:rsidR="00F30874" w:rsidRPr="00D424BC" w:rsidRDefault="00F30874" w:rsidP="00F30874">
            <w:pPr>
              <w:pStyle w:val="PlainText"/>
              <w:rPr>
                <w:u w:val="single"/>
              </w:rPr>
            </w:pPr>
            <w:r w:rsidRPr="00D424BC">
              <w:rPr>
                <w:u w:val="single"/>
              </w:rPr>
              <w:t>Project Diamond</w:t>
            </w:r>
          </w:p>
        </w:tc>
        <w:tc>
          <w:tcPr>
            <w:tcW w:w="1479" w:type="dxa"/>
          </w:tcPr>
          <w:p w:rsidR="00F30874" w:rsidRPr="00964ED4" w:rsidRDefault="00F30874" w:rsidP="00DF3931">
            <w:pPr>
              <w:rPr>
                <w:b/>
              </w:rPr>
            </w:pPr>
          </w:p>
        </w:tc>
      </w:tr>
      <w:tr w:rsidR="00F30874" w:rsidTr="00F90E20">
        <w:tc>
          <w:tcPr>
            <w:tcW w:w="534" w:type="dxa"/>
          </w:tcPr>
          <w:p w:rsidR="00F30874" w:rsidRDefault="00F30874" w:rsidP="00F90E20"/>
        </w:tc>
        <w:tc>
          <w:tcPr>
            <w:tcW w:w="567" w:type="dxa"/>
          </w:tcPr>
          <w:p w:rsidR="00F30874" w:rsidRPr="008C24D1" w:rsidRDefault="00F30874" w:rsidP="007F6945"/>
        </w:tc>
        <w:tc>
          <w:tcPr>
            <w:tcW w:w="6662" w:type="dxa"/>
          </w:tcPr>
          <w:p w:rsidR="00F30874" w:rsidRDefault="002A4AC0" w:rsidP="001E6085">
            <w:pPr>
              <w:pStyle w:val="PlainText"/>
            </w:pPr>
            <w:r>
              <w:t>AM stated that he b</w:t>
            </w:r>
            <w:r w:rsidR="00F30874">
              <w:t>elieve</w:t>
            </w:r>
            <w:r>
              <w:t>d</w:t>
            </w:r>
            <w:r w:rsidR="00F30874">
              <w:t xml:space="preserve"> there was </w:t>
            </w:r>
            <w:r w:rsidR="001E6085">
              <w:t xml:space="preserve">an equality impact </w:t>
            </w:r>
            <w:r w:rsidR="00AD0F0B">
              <w:t>assessment undertaken</w:t>
            </w:r>
            <w:r w:rsidR="001E6085">
              <w:t xml:space="preserve"> on the</w:t>
            </w:r>
            <w:r w:rsidR="00F30874">
              <w:t xml:space="preserve"> P</w:t>
            </w:r>
            <w:r w:rsidR="001E6085">
              <w:t>roject Diamond 1 recruitment campaign, which he was</w:t>
            </w:r>
            <w:r w:rsidR="00F30874">
              <w:t xml:space="preserve"> trying to</w:t>
            </w:r>
            <w:r w:rsidR="001E6085">
              <w:t xml:space="preserve"> obtain</w:t>
            </w:r>
            <w:r w:rsidR="00F30874">
              <w:t xml:space="preserve">.  </w:t>
            </w:r>
            <w:r w:rsidR="001E6085">
              <w:t xml:space="preserve">He would also find out whether a similar assessment was carried out in respect </w:t>
            </w:r>
            <w:r w:rsidR="00F30874">
              <w:t>o</w:t>
            </w:r>
            <w:r w:rsidR="001E6085">
              <w:t>f</w:t>
            </w:r>
            <w:r w:rsidR="00F30874">
              <w:t xml:space="preserve"> P</w:t>
            </w:r>
            <w:r w:rsidR="001E6085">
              <w:t xml:space="preserve">roject </w:t>
            </w:r>
            <w:r w:rsidR="00F30874">
              <w:t>D</w:t>
            </w:r>
            <w:r w:rsidR="001E6085">
              <w:t xml:space="preserve">iamond </w:t>
            </w:r>
            <w:r w:rsidR="00F30874">
              <w:t>2.</w:t>
            </w:r>
          </w:p>
        </w:tc>
        <w:tc>
          <w:tcPr>
            <w:tcW w:w="1479" w:type="dxa"/>
          </w:tcPr>
          <w:p w:rsidR="00F30874" w:rsidRPr="00964ED4" w:rsidRDefault="001E6085" w:rsidP="00DF3931">
            <w:pPr>
              <w:rPr>
                <w:b/>
              </w:rPr>
            </w:pPr>
            <w:r>
              <w:rPr>
                <w:b/>
              </w:rPr>
              <w:t xml:space="preserve">Action: </w:t>
            </w:r>
            <w:r w:rsidRPr="00797B49">
              <w:t>AM</w:t>
            </w:r>
          </w:p>
        </w:tc>
      </w:tr>
      <w:tr w:rsidR="00D9572D" w:rsidTr="00F90E20">
        <w:tc>
          <w:tcPr>
            <w:tcW w:w="534" w:type="dxa"/>
          </w:tcPr>
          <w:p w:rsidR="00D9572D" w:rsidRDefault="00D9572D" w:rsidP="00F90E20"/>
        </w:tc>
        <w:tc>
          <w:tcPr>
            <w:tcW w:w="567" w:type="dxa"/>
          </w:tcPr>
          <w:p w:rsidR="00D9572D" w:rsidRPr="008C24D1" w:rsidRDefault="00D9572D" w:rsidP="007F6945"/>
        </w:tc>
        <w:tc>
          <w:tcPr>
            <w:tcW w:w="6662" w:type="dxa"/>
          </w:tcPr>
          <w:p w:rsidR="00D9572D" w:rsidRPr="008C24D1" w:rsidRDefault="00D9572D" w:rsidP="00DF3931">
            <w:pPr>
              <w:pStyle w:val="PlainText"/>
              <w:tabs>
                <w:tab w:val="left" w:pos="2595"/>
              </w:tabs>
              <w:rPr>
                <w:u w:val="single"/>
              </w:rPr>
            </w:pPr>
          </w:p>
        </w:tc>
        <w:tc>
          <w:tcPr>
            <w:tcW w:w="1479" w:type="dxa"/>
          </w:tcPr>
          <w:p w:rsidR="00D9572D" w:rsidRPr="00964ED4" w:rsidRDefault="00D9572D" w:rsidP="00DF3931">
            <w:pPr>
              <w:rPr>
                <w:b/>
              </w:rPr>
            </w:pPr>
          </w:p>
        </w:tc>
      </w:tr>
      <w:tr w:rsidR="00D9572D" w:rsidTr="00F90E20">
        <w:tc>
          <w:tcPr>
            <w:tcW w:w="534" w:type="dxa"/>
          </w:tcPr>
          <w:p w:rsidR="00D9572D" w:rsidRDefault="001E6085" w:rsidP="00F90E20">
            <w:r>
              <w:t>2.6</w:t>
            </w:r>
          </w:p>
        </w:tc>
        <w:tc>
          <w:tcPr>
            <w:tcW w:w="567" w:type="dxa"/>
          </w:tcPr>
          <w:p w:rsidR="00D9572D" w:rsidRPr="008C24D1" w:rsidRDefault="00D9572D" w:rsidP="007F6945"/>
        </w:tc>
        <w:tc>
          <w:tcPr>
            <w:tcW w:w="6662" w:type="dxa"/>
          </w:tcPr>
          <w:p w:rsidR="00D9572D" w:rsidRPr="00D424BC" w:rsidRDefault="00F30874" w:rsidP="00DF3931">
            <w:pPr>
              <w:pStyle w:val="PlainText"/>
              <w:tabs>
                <w:tab w:val="left" w:pos="2595"/>
              </w:tabs>
              <w:rPr>
                <w:u w:val="single"/>
              </w:rPr>
            </w:pPr>
            <w:r w:rsidRPr="00D424BC">
              <w:rPr>
                <w:u w:val="single"/>
              </w:rPr>
              <w:t>Future meetings</w:t>
            </w:r>
          </w:p>
        </w:tc>
        <w:tc>
          <w:tcPr>
            <w:tcW w:w="1479" w:type="dxa"/>
          </w:tcPr>
          <w:p w:rsidR="00D9572D" w:rsidRPr="00964ED4" w:rsidRDefault="00D9572D" w:rsidP="00DF3931">
            <w:pPr>
              <w:rPr>
                <w:b/>
              </w:rPr>
            </w:pPr>
          </w:p>
        </w:tc>
      </w:tr>
      <w:tr w:rsidR="00D9572D" w:rsidTr="00F90E20">
        <w:tc>
          <w:tcPr>
            <w:tcW w:w="534" w:type="dxa"/>
          </w:tcPr>
          <w:p w:rsidR="00D9572D" w:rsidRDefault="00D9572D" w:rsidP="00F90E20"/>
        </w:tc>
        <w:tc>
          <w:tcPr>
            <w:tcW w:w="567" w:type="dxa"/>
          </w:tcPr>
          <w:p w:rsidR="00D9572D" w:rsidRPr="008C24D1" w:rsidRDefault="00D9572D" w:rsidP="007F6945"/>
        </w:tc>
        <w:tc>
          <w:tcPr>
            <w:tcW w:w="6662" w:type="dxa"/>
          </w:tcPr>
          <w:p w:rsidR="00D9572D" w:rsidRPr="00F30874" w:rsidRDefault="00F30874" w:rsidP="00F30874">
            <w:pPr>
              <w:pStyle w:val="PlainText"/>
            </w:pPr>
            <w:r>
              <w:t xml:space="preserve">NTV </w:t>
            </w:r>
            <w:r w:rsidR="001E6085">
              <w:t xml:space="preserve">is </w:t>
            </w:r>
            <w:r>
              <w:t>to arrange meetings for May and October.</w:t>
            </w:r>
          </w:p>
        </w:tc>
        <w:tc>
          <w:tcPr>
            <w:tcW w:w="1479" w:type="dxa"/>
          </w:tcPr>
          <w:p w:rsidR="00D9572D" w:rsidRPr="00964ED4" w:rsidRDefault="00F30874" w:rsidP="00DF3931">
            <w:pPr>
              <w:rPr>
                <w:b/>
              </w:rPr>
            </w:pPr>
            <w:r>
              <w:rPr>
                <w:b/>
              </w:rPr>
              <w:t xml:space="preserve">Action:  </w:t>
            </w:r>
            <w:r w:rsidRPr="00797B49">
              <w:t>NTV</w:t>
            </w:r>
          </w:p>
        </w:tc>
      </w:tr>
      <w:tr w:rsidR="000E737E" w:rsidTr="00F90E20">
        <w:tc>
          <w:tcPr>
            <w:tcW w:w="534" w:type="dxa"/>
          </w:tcPr>
          <w:p w:rsidR="000E737E" w:rsidRDefault="000E737E" w:rsidP="00F90E20"/>
        </w:tc>
        <w:tc>
          <w:tcPr>
            <w:tcW w:w="567" w:type="dxa"/>
          </w:tcPr>
          <w:p w:rsidR="000E737E" w:rsidRDefault="000E737E" w:rsidP="00DF3931"/>
        </w:tc>
        <w:tc>
          <w:tcPr>
            <w:tcW w:w="6662" w:type="dxa"/>
          </w:tcPr>
          <w:p w:rsidR="000E737E" w:rsidRDefault="000E737E" w:rsidP="00DF3931">
            <w:pPr>
              <w:pStyle w:val="PlainText"/>
            </w:pPr>
          </w:p>
        </w:tc>
        <w:tc>
          <w:tcPr>
            <w:tcW w:w="1479" w:type="dxa"/>
          </w:tcPr>
          <w:p w:rsidR="000E737E" w:rsidRPr="00964ED4" w:rsidRDefault="000E737E" w:rsidP="00DF3931">
            <w:pPr>
              <w:rPr>
                <w:b/>
              </w:rPr>
            </w:pPr>
          </w:p>
        </w:tc>
      </w:tr>
      <w:tr w:rsidR="000E737E" w:rsidTr="00DF3931">
        <w:tc>
          <w:tcPr>
            <w:tcW w:w="534" w:type="dxa"/>
          </w:tcPr>
          <w:p w:rsidR="000E737E" w:rsidRDefault="00A37852" w:rsidP="00944811">
            <w:r>
              <w:rPr>
                <w:b/>
              </w:rPr>
              <w:t>3</w:t>
            </w:r>
          </w:p>
        </w:tc>
        <w:tc>
          <w:tcPr>
            <w:tcW w:w="567" w:type="dxa"/>
          </w:tcPr>
          <w:p w:rsidR="000E737E" w:rsidRDefault="000E737E" w:rsidP="00DF3931"/>
        </w:tc>
        <w:tc>
          <w:tcPr>
            <w:tcW w:w="6662" w:type="dxa"/>
          </w:tcPr>
          <w:p w:rsidR="000E737E" w:rsidRDefault="00D9572D" w:rsidP="00DF3931">
            <w:r>
              <w:rPr>
                <w:b/>
              </w:rPr>
              <w:t>School and Faculty Admin. Action plans – update</w:t>
            </w:r>
          </w:p>
        </w:tc>
        <w:tc>
          <w:tcPr>
            <w:tcW w:w="1479" w:type="dxa"/>
          </w:tcPr>
          <w:p w:rsidR="000E737E" w:rsidRDefault="000E737E" w:rsidP="00DF3931"/>
        </w:tc>
      </w:tr>
      <w:tr w:rsidR="002A4AC0" w:rsidTr="00DF3931">
        <w:tc>
          <w:tcPr>
            <w:tcW w:w="534" w:type="dxa"/>
          </w:tcPr>
          <w:p w:rsidR="002A4AC0" w:rsidRDefault="002A4AC0" w:rsidP="00944811">
            <w:pPr>
              <w:rPr>
                <w:b/>
              </w:rPr>
            </w:pPr>
          </w:p>
        </w:tc>
        <w:tc>
          <w:tcPr>
            <w:tcW w:w="567" w:type="dxa"/>
          </w:tcPr>
          <w:p w:rsidR="002A4AC0" w:rsidRDefault="002A4AC0" w:rsidP="00DF3931"/>
        </w:tc>
        <w:tc>
          <w:tcPr>
            <w:tcW w:w="6662" w:type="dxa"/>
          </w:tcPr>
          <w:p w:rsidR="002A4AC0" w:rsidRPr="002A4AC0" w:rsidRDefault="002A4AC0" w:rsidP="00492B43">
            <w:r w:rsidRPr="002A4AC0">
              <w:t xml:space="preserve">CF </w:t>
            </w:r>
            <w:r w:rsidR="00AE4C13">
              <w:t xml:space="preserve">noted that </w:t>
            </w:r>
            <w:r w:rsidRPr="002A4AC0">
              <w:t xml:space="preserve">some action plans were still outstanding.  It was agreed that </w:t>
            </w:r>
            <w:r w:rsidR="00AE4C13">
              <w:t>WG members from Schools and the Faculty Admin</w:t>
            </w:r>
            <w:r w:rsidR="00492B43">
              <w:t>istration</w:t>
            </w:r>
            <w:r w:rsidR="00AE4C13">
              <w:t xml:space="preserve"> </w:t>
            </w:r>
            <w:r w:rsidRPr="002A4AC0">
              <w:t xml:space="preserve">would </w:t>
            </w:r>
            <w:r w:rsidR="00AE4C13">
              <w:t xml:space="preserve">be asked to provide </w:t>
            </w:r>
            <w:r w:rsidRPr="002A4AC0">
              <w:t xml:space="preserve">an update on progress against their plans by </w:t>
            </w:r>
            <w:r w:rsidR="00AE4C13">
              <w:t xml:space="preserve">20 </w:t>
            </w:r>
            <w:r w:rsidR="00492B43">
              <w:t>March</w:t>
            </w:r>
            <w:r w:rsidR="00492B43" w:rsidRPr="002A4AC0">
              <w:t xml:space="preserve"> </w:t>
            </w:r>
            <w:r w:rsidRPr="002A4AC0">
              <w:t>2015.</w:t>
            </w:r>
          </w:p>
        </w:tc>
        <w:tc>
          <w:tcPr>
            <w:tcW w:w="1479" w:type="dxa"/>
          </w:tcPr>
          <w:p w:rsidR="002A4AC0" w:rsidRDefault="002A4AC0" w:rsidP="00DF3931">
            <w:r w:rsidRPr="002A4AC0">
              <w:rPr>
                <w:b/>
              </w:rPr>
              <w:t>Action:</w:t>
            </w:r>
            <w:r>
              <w:t xml:space="preserve">  All</w:t>
            </w:r>
          </w:p>
        </w:tc>
      </w:tr>
      <w:tr w:rsidR="002A4AC0" w:rsidTr="00DF3931">
        <w:tc>
          <w:tcPr>
            <w:tcW w:w="534" w:type="dxa"/>
          </w:tcPr>
          <w:p w:rsidR="002A4AC0" w:rsidRDefault="002A4AC0" w:rsidP="00944811">
            <w:pPr>
              <w:rPr>
                <w:b/>
              </w:rPr>
            </w:pPr>
          </w:p>
        </w:tc>
        <w:tc>
          <w:tcPr>
            <w:tcW w:w="567" w:type="dxa"/>
          </w:tcPr>
          <w:p w:rsidR="002A4AC0" w:rsidRDefault="002A4AC0" w:rsidP="00DF3931"/>
        </w:tc>
        <w:tc>
          <w:tcPr>
            <w:tcW w:w="6662" w:type="dxa"/>
          </w:tcPr>
          <w:p w:rsidR="002A4AC0" w:rsidRDefault="002A4AC0" w:rsidP="00DF3931">
            <w:pPr>
              <w:rPr>
                <w:b/>
              </w:rPr>
            </w:pPr>
          </w:p>
        </w:tc>
        <w:tc>
          <w:tcPr>
            <w:tcW w:w="1479" w:type="dxa"/>
          </w:tcPr>
          <w:p w:rsidR="002A4AC0" w:rsidRDefault="002A4AC0" w:rsidP="00DF3931"/>
        </w:tc>
      </w:tr>
      <w:tr w:rsidR="002A4AC0" w:rsidTr="00DF3931">
        <w:tc>
          <w:tcPr>
            <w:tcW w:w="534" w:type="dxa"/>
          </w:tcPr>
          <w:p w:rsidR="002A4AC0" w:rsidRDefault="002A4AC0" w:rsidP="00944811">
            <w:pPr>
              <w:rPr>
                <w:b/>
              </w:rPr>
            </w:pPr>
          </w:p>
        </w:tc>
        <w:tc>
          <w:tcPr>
            <w:tcW w:w="567" w:type="dxa"/>
          </w:tcPr>
          <w:p w:rsidR="002A4AC0" w:rsidRDefault="002A4AC0" w:rsidP="00DF3931"/>
        </w:tc>
        <w:tc>
          <w:tcPr>
            <w:tcW w:w="6662" w:type="dxa"/>
          </w:tcPr>
          <w:p w:rsidR="002A4AC0" w:rsidRPr="00853CD2" w:rsidRDefault="00853CD2" w:rsidP="00152386">
            <w:pPr>
              <w:pStyle w:val="PlainText"/>
            </w:pPr>
            <w:r>
              <w:t xml:space="preserve">CF </w:t>
            </w:r>
            <w:r w:rsidR="00492756">
              <w:t xml:space="preserve">noted </w:t>
            </w:r>
            <w:r>
              <w:t xml:space="preserve">that JR </w:t>
            </w:r>
            <w:r w:rsidR="00492756">
              <w:t xml:space="preserve">has been looking </w:t>
            </w:r>
            <w:r>
              <w:t xml:space="preserve">at practices outside the University and how </w:t>
            </w:r>
            <w:r w:rsidR="00492756">
              <w:t xml:space="preserve">organisations have used positive action initiatives to coach and </w:t>
            </w:r>
            <w:r>
              <w:t xml:space="preserve">support </w:t>
            </w:r>
            <w:r w:rsidR="00492756" w:rsidRPr="00492756">
              <w:t>BME applicants through the job application process</w:t>
            </w:r>
            <w:r w:rsidR="00492756">
              <w:t>.  This is particularly pertinent in circumstances where the pipeline of BME applicants is fine, but where the success rate of BME applicants at application stage is lower than for White British and other groups.</w:t>
            </w:r>
            <w:r w:rsidR="00797B49">
              <w:t xml:space="preserve">  AM is to discuss further with </w:t>
            </w:r>
            <w:r w:rsidR="00152386">
              <w:t>JR</w:t>
            </w:r>
            <w:r w:rsidR="00797B49">
              <w:t xml:space="preserve"> to explore the feasibility of adopting such an initiative. </w:t>
            </w:r>
          </w:p>
        </w:tc>
        <w:tc>
          <w:tcPr>
            <w:tcW w:w="1479" w:type="dxa"/>
          </w:tcPr>
          <w:p w:rsidR="002A4AC0" w:rsidRDefault="002A4AC0" w:rsidP="00DF3931"/>
          <w:p w:rsidR="00797B49" w:rsidRDefault="00797B49" w:rsidP="00DF3931"/>
          <w:p w:rsidR="00797B49" w:rsidRDefault="00797B49" w:rsidP="00DF3931"/>
          <w:p w:rsidR="00797B49" w:rsidRDefault="00797B49" w:rsidP="00DF3931">
            <w:r w:rsidRPr="00797B49">
              <w:rPr>
                <w:b/>
              </w:rPr>
              <w:t>Action:</w:t>
            </w:r>
            <w:r>
              <w:t xml:space="preserve"> JR/AM</w:t>
            </w:r>
          </w:p>
        </w:tc>
      </w:tr>
      <w:tr w:rsidR="002A4AC0" w:rsidTr="00DF3931">
        <w:tc>
          <w:tcPr>
            <w:tcW w:w="534" w:type="dxa"/>
          </w:tcPr>
          <w:p w:rsidR="002A4AC0" w:rsidRDefault="002A4AC0" w:rsidP="00944811">
            <w:pPr>
              <w:rPr>
                <w:b/>
              </w:rPr>
            </w:pPr>
          </w:p>
        </w:tc>
        <w:tc>
          <w:tcPr>
            <w:tcW w:w="567" w:type="dxa"/>
          </w:tcPr>
          <w:p w:rsidR="002A4AC0" w:rsidRDefault="002A4AC0" w:rsidP="00DF3931"/>
        </w:tc>
        <w:tc>
          <w:tcPr>
            <w:tcW w:w="6662" w:type="dxa"/>
          </w:tcPr>
          <w:p w:rsidR="002A4AC0" w:rsidRDefault="002A4AC0" w:rsidP="00DF3931">
            <w:pPr>
              <w:rPr>
                <w:b/>
              </w:rPr>
            </w:pPr>
          </w:p>
        </w:tc>
        <w:tc>
          <w:tcPr>
            <w:tcW w:w="1479" w:type="dxa"/>
          </w:tcPr>
          <w:p w:rsidR="002A4AC0" w:rsidRDefault="002A4AC0" w:rsidP="00DF3931"/>
        </w:tc>
      </w:tr>
      <w:tr w:rsidR="000E737E" w:rsidTr="00F90E20">
        <w:tc>
          <w:tcPr>
            <w:tcW w:w="534" w:type="dxa"/>
          </w:tcPr>
          <w:p w:rsidR="000E737E" w:rsidRPr="00005877" w:rsidRDefault="00A37852" w:rsidP="00DF3931">
            <w:pPr>
              <w:rPr>
                <w:b/>
              </w:rPr>
            </w:pPr>
            <w:r>
              <w:rPr>
                <w:b/>
              </w:rPr>
              <w:t>4</w:t>
            </w:r>
          </w:p>
        </w:tc>
        <w:tc>
          <w:tcPr>
            <w:tcW w:w="567" w:type="dxa"/>
          </w:tcPr>
          <w:p w:rsidR="000E737E" w:rsidRDefault="000E737E" w:rsidP="00DF3931"/>
        </w:tc>
        <w:tc>
          <w:tcPr>
            <w:tcW w:w="6662" w:type="dxa"/>
          </w:tcPr>
          <w:p w:rsidR="000E737E" w:rsidRPr="00005877" w:rsidRDefault="00D9572D" w:rsidP="00DF3931">
            <w:pPr>
              <w:rPr>
                <w:b/>
              </w:rPr>
            </w:pPr>
            <w:r>
              <w:rPr>
                <w:b/>
              </w:rPr>
              <w:t>Final report of the Working Group</w:t>
            </w:r>
          </w:p>
        </w:tc>
        <w:tc>
          <w:tcPr>
            <w:tcW w:w="1479" w:type="dxa"/>
          </w:tcPr>
          <w:p w:rsidR="000E737E" w:rsidRDefault="000E737E" w:rsidP="00F90E20"/>
        </w:tc>
      </w:tr>
      <w:tr w:rsidR="000E737E" w:rsidTr="00F90E20">
        <w:tc>
          <w:tcPr>
            <w:tcW w:w="534" w:type="dxa"/>
          </w:tcPr>
          <w:p w:rsidR="000E737E" w:rsidRDefault="000E737E" w:rsidP="00F90E20"/>
        </w:tc>
        <w:tc>
          <w:tcPr>
            <w:tcW w:w="567" w:type="dxa"/>
          </w:tcPr>
          <w:p w:rsidR="000E737E" w:rsidRDefault="000E737E" w:rsidP="00F90E20"/>
        </w:tc>
        <w:tc>
          <w:tcPr>
            <w:tcW w:w="6662" w:type="dxa"/>
          </w:tcPr>
          <w:p w:rsidR="000E737E" w:rsidRDefault="00C344B3" w:rsidP="00075C08">
            <w:pPr>
              <w:pStyle w:val="PlainText"/>
            </w:pPr>
            <w:r>
              <w:t xml:space="preserve">CF </w:t>
            </w:r>
            <w:r w:rsidR="00797B49">
              <w:t xml:space="preserve">noted </w:t>
            </w:r>
            <w:r>
              <w:t xml:space="preserve">that the final report </w:t>
            </w:r>
            <w:r w:rsidR="00797B49">
              <w:t xml:space="preserve">and its associated recommendations for next steps were </w:t>
            </w:r>
            <w:r>
              <w:t xml:space="preserve">signed off </w:t>
            </w:r>
            <w:r w:rsidR="00797B49">
              <w:t>by HPRC on 4 December 2014.</w:t>
            </w:r>
          </w:p>
        </w:tc>
        <w:tc>
          <w:tcPr>
            <w:tcW w:w="1479" w:type="dxa"/>
          </w:tcPr>
          <w:p w:rsidR="000E737E" w:rsidRDefault="001B3401" w:rsidP="00F90E20">
            <w:r w:rsidRPr="00D15289">
              <w:rPr>
                <w:b/>
              </w:rPr>
              <w:t>Action:</w:t>
            </w:r>
            <w:r>
              <w:t xml:space="preserve">  AM</w:t>
            </w:r>
          </w:p>
        </w:tc>
      </w:tr>
      <w:tr w:rsidR="001B3401" w:rsidTr="00F90E20">
        <w:tc>
          <w:tcPr>
            <w:tcW w:w="534" w:type="dxa"/>
          </w:tcPr>
          <w:p w:rsidR="001B3401" w:rsidRDefault="001B3401" w:rsidP="00F90E20"/>
        </w:tc>
        <w:tc>
          <w:tcPr>
            <w:tcW w:w="567" w:type="dxa"/>
          </w:tcPr>
          <w:p w:rsidR="001B3401" w:rsidRDefault="001B3401" w:rsidP="00F90E20"/>
        </w:tc>
        <w:tc>
          <w:tcPr>
            <w:tcW w:w="6662" w:type="dxa"/>
          </w:tcPr>
          <w:p w:rsidR="001B3401" w:rsidRDefault="001B3401" w:rsidP="00D62FA5">
            <w:pPr>
              <w:pStyle w:val="PlainText"/>
            </w:pPr>
          </w:p>
        </w:tc>
        <w:tc>
          <w:tcPr>
            <w:tcW w:w="1479" w:type="dxa"/>
          </w:tcPr>
          <w:p w:rsidR="001B3401" w:rsidRDefault="001B3401" w:rsidP="00F90E20"/>
        </w:tc>
      </w:tr>
      <w:tr w:rsidR="00D424BC" w:rsidTr="00F90E20">
        <w:tc>
          <w:tcPr>
            <w:tcW w:w="534" w:type="dxa"/>
          </w:tcPr>
          <w:p w:rsidR="00D424BC" w:rsidRDefault="00D424BC" w:rsidP="00F90E20">
            <w:r>
              <w:t>4.1</w:t>
            </w:r>
          </w:p>
        </w:tc>
        <w:tc>
          <w:tcPr>
            <w:tcW w:w="567" w:type="dxa"/>
          </w:tcPr>
          <w:p w:rsidR="00D424BC" w:rsidRDefault="00D424BC" w:rsidP="00F90E20"/>
        </w:tc>
        <w:tc>
          <w:tcPr>
            <w:tcW w:w="6662" w:type="dxa"/>
          </w:tcPr>
          <w:p w:rsidR="00D424BC" w:rsidRPr="00D424BC" w:rsidRDefault="00D424BC" w:rsidP="00075C08">
            <w:pPr>
              <w:pStyle w:val="PlainText"/>
              <w:rPr>
                <w:u w:val="single"/>
              </w:rPr>
            </w:pPr>
            <w:r w:rsidRPr="00D424BC">
              <w:rPr>
                <w:u w:val="single"/>
              </w:rPr>
              <w:t>Communication plans</w:t>
            </w:r>
          </w:p>
        </w:tc>
        <w:tc>
          <w:tcPr>
            <w:tcW w:w="1479" w:type="dxa"/>
          </w:tcPr>
          <w:p w:rsidR="00D424BC" w:rsidRPr="00D15289" w:rsidRDefault="00D424BC" w:rsidP="00075C08">
            <w:pPr>
              <w:rPr>
                <w:b/>
              </w:rPr>
            </w:pPr>
          </w:p>
        </w:tc>
      </w:tr>
      <w:tr w:rsidR="001B3401" w:rsidTr="00F90E20">
        <w:tc>
          <w:tcPr>
            <w:tcW w:w="534" w:type="dxa"/>
          </w:tcPr>
          <w:p w:rsidR="001B3401" w:rsidRDefault="001B3401" w:rsidP="00F90E20"/>
        </w:tc>
        <w:tc>
          <w:tcPr>
            <w:tcW w:w="567" w:type="dxa"/>
          </w:tcPr>
          <w:p w:rsidR="001B3401" w:rsidRDefault="001B3401" w:rsidP="00F90E20"/>
        </w:tc>
        <w:tc>
          <w:tcPr>
            <w:tcW w:w="6662" w:type="dxa"/>
          </w:tcPr>
          <w:p w:rsidR="003A3C82" w:rsidRDefault="003A3C82" w:rsidP="003A3C82">
            <w:pPr>
              <w:pStyle w:val="PlainText"/>
            </w:pPr>
            <w:r w:rsidRPr="003A3C82">
              <w:t xml:space="preserve">CF </w:t>
            </w:r>
            <w:r w:rsidR="004979DD">
              <w:t xml:space="preserve">noted that </w:t>
            </w:r>
            <w:r w:rsidRPr="003A3C82">
              <w:t>there</w:t>
            </w:r>
            <w:r>
              <w:t xml:space="preserve"> had been an </w:t>
            </w:r>
            <w:r w:rsidRPr="003A3C82">
              <w:t xml:space="preserve">item in Humanities </w:t>
            </w:r>
            <w:proofErr w:type="spellStart"/>
            <w:r>
              <w:t>e</w:t>
            </w:r>
            <w:r w:rsidRPr="003A3C82">
              <w:t>News</w:t>
            </w:r>
            <w:proofErr w:type="spellEnd"/>
            <w:r w:rsidRPr="003A3C82">
              <w:t xml:space="preserve"> </w:t>
            </w:r>
            <w:r>
              <w:t xml:space="preserve">in November.  In addition, she and AM had presented plans and findings to date at </w:t>
            </w:r>
            <w:r w:rsidRPr="003A3C82">
              <w:t xml:space="preserve">a Faculty core brief </w:t>
            </w:r>
            <w:r>
              <w:t>meeting in June</w:t>
            </w:r>
            <w:r w:rsidR="004979DD">
              <w:t xml:space="preserve"> 2014</w:t>
            </w:r>
            <w:r>
              <w:t xml:space="preserve">. </w:t>
            </w:r>
          </w:p>
          <w:p w:rsidR="003A3C82" w:rsidRDefault="003A3C82" w:rsidP="00D424BC">
            <w:pPr>
              <w:pStyle w:val="PlainText"/>
            </w:pPr>
          </w:p>
          <w:p w:rsidR="001B3401" w:rsidRDefault="00075C08" w:rsidP="003159F5">
            <w:pPr>
              <w:pStyle w:val="PlainText"/>
            </w:pPr>
            <w:r>
              <w:t xml:space="preserve">AM and CF are to meet with Marie Gray, the Faculty Head of Communications and Marketing to discuss a communications plan.  In particular, they need to consider how best to communicate what </w:t>
            </w:r>
            <w:r w:rsidR="00152386">
              <w:t>our E&amp;D profile looks like (with updated headline analysis from the 2014 report)</w:t>
            </w:r>
            <w:proofErr w:type="gramStart"/>
            <w:r w:rsidR="00152386">
              <w:t>,  what</w:t>
            </w:r>
            <w:proofErr w:type="gramEnd"/>
            <w:r w:rsidR="00152386">
              <w:t xml:space="preserve"> the WG </w:t>
            </w:r>
            <w:r>
              <w:t xml:space="preserve">has  done to date, </w:t>
            </w:r>
            <w:r w:rsidR="00152386">
              <w:t xml:space="preserve">what we are working on now in Schools and to </w:t>
            </w:r>
            <w:r>
              <w:t xml:space="preserve">raise awareness of the policy framework within which we operate and signpost initiatives on the equality and diversity web site. </w:t>
            </w:r>
            <w:r w:rsidR="003159F5">
              <w:t xml:space="preserve"> This should be coordinated with the work led by Patrick Johnson, and perhaps communicated via, the HR Equality and Diversity web page which Patrick maintains.</w:t>
            </w:r>
            <w:r>
              <w:t xml:space="preserve"> </w:t>
            </w:r>
            <w:r w:rsidR="001B3401">
              <w:t xml:space="preserve">The communications </w:t>
            </w:r>
            <w:r>
              <w:t xml:space="preserve">will be completed by </w:t>
            </w:r>
            <w:r w:rsidR="001B3401">
              <w:t>the end of May</w:t>
            </w:r>
            <w:r>
              <w:t xml:space="preserve">. </w:t>
            </w:r>
            <w:r w:rsidR="001B3401">
              <w:t xml:space="preserve"> </w:t>
            </w:r>
            <w:r w:rsidR="001D4631">
              <w:t>AM/CF will report on plans and progress at the next meeting.</w:t>
            </w:r>
            <w:r w:rsidR="003A3C82">
              <w:t xml:space="preserve">  They will also report on progress to the HR Sub-Committee as part of the mid-year APR review.</w:t>
            </w:r>
          </w:p>
        </w:tc>
        <w:tc>
          <w:tcPr>
            <w:tcW w:w="1479" w:type="dxa"/>
          </w:tcPr>
          <w:p w:rsidR="001B3401" w:rsidRDefault="001B3401" w:rsidP="00075C08">
            <w:r w:rsidRPr="00D15289">
              <w:rPr>
                <w:b/>
              </w:rPr>
              <w:t>Action:</w:t>
            </w:r>
            <w:r>
              <w:t xml:space="preserve">  </w:t>
            </w:r>
            <w:r w:rsidR="00075C08">
              <w:t>AM/CF</w:t>
            </w:r>
          </w:p>
        </w:tc>
      </w:tr>
      <w:tr w:rsidR="00D424BC" w:rsidTr="00F90E20">
        <w:tc>
          <w:tcPr>
            <w:tcW w:w="534" w:type="dxa"/>
          </w:tcPr>
          <w:p w:rsidR="00D424BC" w:rsidRDefault="00D424BC" w:rsidP="00F90E20"/>
        </w:tc>
        <w:tc>
          <w:tcPr>
            <w:tcW w:w="567" w:type="dxa"/>
          </w:tcPr>
          <w:p w:rsidR="00D424BC" w:rsidRDefault="00D424BC" w:rsidP="00F90E20"/>
        </w:tc>
        <w:tc>
          <w:tcPr>
            <w:tcW w:w="6662" w:type="dxa"/>
          </w:tcPr>
          <w:p w:rsidR="00D424BC" w:rsidRDefault="00D424BC" w:rsidP="00D424BC">
            <w:pPr>
              <w:pStyle w:val="PlainText"/>
            </w:pPr>
          </w:p>
        </w:tc>
        <w:tc>
          <w:tcPr>
            <w:tcW w:w="1479" w:type="dxa"/>
          </w:tcPr>
          <w:p w:rsidR="00D424BC" w:rsidRPr="00D15289" w:rsidRDefault="00D424BC" w:rsidP="00075C08">
            <w:pPr>
              <w:rPr>
                <w:b/>
              </w:rPr>
            </w:pPr>
          </w:p>
        </w:tc>
      </w:tr>
      <w:tr w:rsidR="00D424BC" w:rsidTr="00F90E20">
        <w:tc>
          <w:tcPr>
            <w:tcW w:w="534" w:type="dxa"/>
          </w:tcPr>
          <w:p w:rsidR="00D424BC" w:rsidRDefault="00D424BC" w:rsidP="00F90E20">
            <w:r>
              <w:t>4.2</w:t>
            </w:r>
          </w:p>
        </w:tc>
        <w:tc>
          <w:tcPr>
            <w:tcW w:w="567" w:type="dxa"/>
          </w:tcPr>
          <w:p w:rsidR="00D424BC" w:rsidRDefault="00D424BC" w:rsidP="00F90E20"/>
        </w:tc>
        <w:tc>
          <w:tcPr>
            <w:tcW w:w="6662" w:type="dxa"/>
          </w:tcPr>
          <w:p w:rsidR="00D424BC" w:rsidRPr="00D424BC" w:rsidRDefault="00D424BC" w:rsidP="00D424BC">
            <w:pPr>
              <w:pStyle w:val="PlainText"/>
              <w:rPr>
                <w:u w:val="single"/>
              </w:rPr>
            </w:pPr>
            <w:r w:rsidRPr="00D424BC">
              <w:rPr>
                <w:u w:val="single"/>
              </w:rPr>
              <w:t>Staff consultation and engagement</w:t>
            </w:r>
          </w:p>
        </w:tc>
        <w:tc>
          <w:tcPr>
            <w:tcW w:w="1479" w:type="dxa"/>
          </w:tcPr>
          <w:p w:rsidR="00D424BC" w:rsidRPr="00D15289" w:rsidRDefault="00D424BC" w:rsidP="00075C08">
            <w:pPr>
              <w:rPr>
                <w:b/>
              </w:rPr>
            </w:pPr>
          </w:p>
        </w:tc>
      </w:tr>
      <w:tr w:rsidR="001B3401" w:rsidTr="00F90E20">
        <w:tc>
          <w:tcPr>
            <w:tcW w:w="534" w:type="dxa"/>
          </w:tcPr>
          <w:p w:rsidR="001B3401" w:rsidRDefault="001B3401" w:rsidP="00F90E20"/>
        </w:tc>
        <w:tc>
          <w:tcPr>
            <w:tcW w:w="567" w:type="dxa"/>
          </w:tcPr>
          <w:p w:rsidR="001B3401" w:rsidRDefault="001B3401" w:rsidP="00F90E20"/>
        </w:tc>
        <w:tc>
          <w:tcPr>
            <w:tcW w:w="6662" w:type="dxa"/>
          </w:tcPr>
          <w:p w:rsidR="001B3401" w:rsidRDefault="001D4631" w:rsidP="00D424BC">
            <w:pPr>
              <w:pStyle w:val="PlainText"/>
            </w:pPr>
            <w:r>
              <w:t xml:space="preserve">The need for </w:t>
            </w:r>
            <w:r w:rsidRPr="001D4631">
              <w:t xml:space="preserve">staff consultation and engagement </w:t>
            </w:r>
            <w:r>
              <w:t xml:space="preserve">on the report was also important </w:t>
            </w:r>
            <w:r w:rsidRPr="001D4631">
              <w:t>to explore perceptions and experiences of organisational cultural barriers which obstruct progress towards diversity and equal treatment.</w:t>
            </w:r>
            <w:r>
              <w:t xml:space="preserve">  One option was the use of a mini-survey, though the forthcoming staff survey will provide </w:t>
            </w:r>
            <w:r w:rsidR="004979DD">
              <w:t xml:space="preserve">a </w:t>
            </w:r>
            <w:r>
              <w:t xml:space="preserve">useful </w:t>
            </w:r>
            <w:r w:rsidR="004979DD">
              <w:t xml:space="preserve">indicator </w:t>
            </w:r>
            <w:r>
              <w:t xml:space="preserve">on how much progress has been made since 2013 (e.g. in terms of staff perceptions on bullying and harassment and </w:t>
            </w:r>
            <w:r w:rsidR="00D424BC">
              <w:t>of the University’s commitment to matters of equality and diversity).  AM and CF will discuss further and report back on a proposed approach.</w:t>
            </w:r>
          </w:p>
        </w:tc>
        <w:tc>
          <w:tcPr>
            <w:tcW w:w="1479" w:type="dxa"/>
          </w:tcPr>
          <w:p w:rsidR="001B3401" w:rsidRDefault="00D424BC" w:rsidP="00F90E20">
            <w:r w:rsidRPr="00D424BC">
              <w:rPr>
                <w:b/>
              </w:rPr>
              <w:t>Action:</w:t>
            </w:r>
            <w:r>
              <w:t xml:space="preserve"> AM/CF</w:t>
            </w:r>
          </w:p>
        </w:tc>
      </w:tr>
      <w:tr w:rsidR="001D4631" w:rsidTr="00F90E20">
        <w:tc>
          <w:tcPr>
            <w:tcW w:w="534" w:type="dxa"/>
          </w:tcPr>
          <w:p w:rsidR="001D4631" w:rsidRDefault="001D4631" w:rsidP="00F90E20"/>
        </w:tc>
        <w:tc>
          <w:tcPr>
            <w:tcW w:w="567" w:type="dxa"/>
          </w:tcPr>
          <w:p w:rsidR="001D4631" w:rsidRDefault="001D4631" w:rsidP="00F90E20"/>
        </w:tc>
        <w:tc>
          <w:tcPr>
            <w:tcW w:w="6662" w:type="dxa"/>
          </w:tcPr>
          <w:p w:rsidR="001D4631" w:rsidRDefault="001D4631" w:rsidP="00D62FA5">
            <w:pPr>
              <w:pStyle w:val="PlainText"/>
            </w:pPr>
          </w:p>
        </w:tc>
        <w:tc>
          <w:tcPr>
            <w:tcW w:w="1479" w:type="dxa"/>
          </w:tcPr>
          <w:p w:rsidR="001D4631" w:rsidRDefault="001D4631" w:rsidP="00F90E20"/>
        </w:tc>
      </w:tr>
      <w:tr w:rsidR="00D424BC" w:rsidTr="00F90E20">
        <w:tc>
          <w:tcPr>
            <w:tcW w:w="534" w:type="dxa"/>
          </w:tcPr>
          <w:p w:rsidR="00D424BC" w:rsidRDefault="00D424BC" w:rsidP="00F90E20">
            <w:r>
              <w:t>4.3</w:t>
            </w:r>
          </w:p>
        </w:tc>
        <w:tc>
          <w:tcPr>
            <w:tcW w:w="567" w:type="dxa"/>
          </w:tcPr>
          <w:p w:rsidR="00D424BC" w:rsidRDefault="00D424BC" w:rsidP="00F90E20"/>
        </w:tc>
        <w:tc>
          <w:tcPr>
            <w:tcW w:w="6662" w:type="dxa"/>
          </w:tcPr>
          <w:p w:rsidR="00D424BC" w:rsidRPr="00D424BC" w:rsidRDefault="00D424BC" w:rsidP="00D62FA5">
            <w:pPr>
              <w:pStyle w:val="PlainText"/>
              <w:rPr>
                <w:u w:val="single"/>
              </w:rPr>
            </w:pPr>
            <w:r w:rsidRPr="00D424BC">
              <w:rPr>
                <w:u w:val="single"/>
              </w:rPr>
              <w:t>Further analysis of the recruitment and promotions data</w:t>
            </w:r>
          </w:p>
        </w:tc>
        <w:tc>
          <w:tcPr>
            <w:tcW w:w="1479" w:type="dxa"/>
          </w:tcPr>
          <w:p w:rsidR="00D424BC" w:rsidRDefault="00D424BC" w:rsidP="00F90E20"/>
        </w:tc>
      </w:tr>
      <w:tr w:rsidR="001B3401" w:rsidTr="00F90E20">
        <w:tc>
          <w:tcPr>
            <w:tcW w:w="534" w:type="dxa"/>
          </w:tcPr>
          <w:p w:rsidR="001B3401" w:rsidRDefault="001B3401" w:rsidP="00F90E20"/>
        </w:tc>
        <w:tc>
          <w:tcPr>
            <w:tcW w:w="567" w:type="dxa"/>
          </w:tcPr>
          <w:p w:rsidR="001B3401" w:rsidRDefault="001B3401" w:rsidP="00F90E20"/>
        </w:tc>
        <w:tc>
          <w:tcPr>
            <w:tcW w:w="6662" w:type="dxa"/>
          </w:tcPr>
          <w:p w:rsidR="00D424BC" w:rsidRDefault="00D424BC" w:rsidP="00D424BC">
            <w:pPr>
              <w:pStyle w:val="PlainText"/>
            </w:pPr>
            <w:r>
              <w:t>An up-to-date data set would be obtained showing recruitment figures for 2014.  Academic promotion data for 2015 would also be fed into this.  This would allow a consideration of potential positive actions interventions to be conducted in the light of the new data.</w:t>
            </w:r>
          </w:p>
          <w:p w:rsidR="00D424BC" w:rsidRDefault="00D424BC" w:rsidP="00D424BC">
            <w:pPr>
              <w:pStyle w:val="PlainText"/>
            </w:pPr>
          </w:p>
          <w:p w:rsidR="001B3401" w:rsidRDefault="001B3401" w:rsidP="003A3C82">
            <w:pPr>
              <w:pStyle w:val="PlainText"/>
            </w:pPr>
            <w:r>
              <w:t xml:space="preserve">A discussion took place regarding disaggregating the staff profile into UK and non-UK as </w:t>
            </w:r>
            <w:r w:rsidR="003A3C82">
              <w:t xml:space="preserve">well as </w:t>
            </w:r>
            <w:r>
              <w:t xml:space="preserve">breaking it down to </w:t>
            </w:r>
            <w:r w:rsidR="003A3C82">
              <w:t xml:space="preserve">more granular </w:t>
            </w:r>
            <w:r>
              <w:t xml:space="preserve">categories </w:t>
            </w:r>
            <w:r w:rsidR="003A3C82">
              <w:lastRenderedPageBreak/>
              <w:t xml:space="preserve">of ethnicity.   It was recognised that in the case of the latter, it could be problematic </w:t>
            </w:r>
            <w:r>
              <w:t>due to the small numbers.</w:t>
            </w:r>
            <w:r w:rsidR="00D15289">
              <w:t xml:space="preserve">  AM stated that this </w:t>
            </w:r>
            <w:r w:rsidR="003A3C82">
              <w:t>issue had</w:t>
            </w:r>
            <w:r w:rsidR="00D15289">
              <w:t xml:space="preserve"> also been raised </w:t>
            </w:r>
            <w:r w:rsidR="003A3C82">
              <w:t xml:space="preserve">at a meeting of </w:t>
            </w:r>
            <w:r w:rsidR="00D15289">
              <w:t xml:space="preserve">the Race Equality Charter </w:t>
            </w:r>
            <w:r w:rsidR="003A3C82">
              <w:t xml:space="preserve">Mark Self-Assessment Team </w:t>
            </w:r>
            <w:r w:rsidR="00D15289">
              <w:t xml:space="preserve">and that this </w:t>
            </w:r>
            <w:r w:rsidR="003A3C82">
              <w:t xml:space="preserve">work </w:t>
            </w:r>
            <w:r w:rsidR="00D15289">
              <w:t xml:space="preserve">should </w:t>
            </w:r>
            <w:r w:rsidR="003A3C82">
              <w:t xml:space="preserve">therefore </w:t>
            </w:r>
            <w:r w:rsidR="00D15289">
              <w:t>probably move forward in a joint effort.</w:t>
            </w:r>
            <w:r w:rsidR="003A3C82">
              <w:t xml:space="preserve">  AM will work with HR colleagues to ensure that recruitment data is in future disaggregated to show UK and non-UK BME categories.</w:t>
            </w:r>
          </w:p>
        </w:tc>
        <w:tc>
          <w:tcPr>
            <w:tcW w:w="1479" w:type="dxa"/>
          </w:tcPr>
          <w:p w:rsidR="001B3401" w:rsidRDefault="00D424BC" w:rsidP="00F90E20">
            <w:r w:rsidRPr="00D424BC">
              <w:rPr>
                <w:b/>
              </w:rPr>
              <w:lastRenderedPageBreak/>
              <w:t>Action:</w:t>
            </w:r>
            <w:r>
              <w:t xml:space="preserve"> AM</w:t>
            </w:r>
          </w:p>
          <w:p w:rsidR="00D15289" w:rsidRDefault="00D15289" w:rsidP="00F90E20"/>
          <w:p w:rsidR="00D15289" w:rsidRDefault="00D15289" w:rsidP="00F90E20"/>
          <w:p w:rsidR="00D15289" w:rsidRDefault="00D15289" w:rsidP="00F90E20"/>
          <w:p w:rsidR="00D15289" w:rsidRDefault="00D15289" w:rsidP="00F90E20"/>
          <w:p w:rsidR="00D15289" w:rsidRDefault="00D15289" w:rsidP="00F90E20"/>
          <w:p w:rsidR="00D15289" w:rsidRDefault="00D15289" w:rsidP="00F90E20">
            <w:r w:rsidRPr="00D15289">
              <w:rPr>
                <w:b/>
              </w:rPr>
              <w:t>Action:</w:t>
            </w:r>
            <w:r>
              <w:t xml:space="preserve"> AM</w:t>
            </w:r>
          </w:p>
        </w:tc>
      </w:tr>
      <w:tr w:rsidR="001B3401" w:rsidTr="00F90E20">
        <w:tc>
          <w:tcPr>
            <w:tcW w:w="534" w:type="dxa"/>
          </w:tcPr>
          <w:p w:rsidR="001B3401" w:rsidRDefault="001B3401" w:rsidP="00F90E20"/>
        </w:tc>
        <w:tc>
          <w:tcPr>
            <w:tcW w:w="567" w:type="dxa"/>
          </w:tcPr>
          <w:p w:rsidR="001B3401" w:rsidRDefault="001B3401" w:rsidP="00F90E20"/>
        </w:tc>
        <w:tc>
          <w:tcPr>
            <w:tcW w:w="6662" w:type="dxa"/>
          </w:tcPr>
          <w:p w:rsidR="001B3401" w:rsidRDefault="001B3401" w:rsidP="00D62FA5">
            <w:pPr>
              <w:pStyle w:val="PlainText"/>
            </w:pPr>
          </w:p>
        </w:tc>
        <w:tc>
          <w:tcPr>
            <w:tcW w:w="1479" w:type="dxa"/>
          </w:tcPr>
          <w:p w:rsidR="001B3401" w:rsidRDefault="001B3401" w:rsidP="00F90E20"/>
        </w:tc>
      </w:tr>
      <w:tr w:rsidR="00541138" w:rsidTr="00F90E20">
        <w:tc>
          <w:tcPr>
            <w:tcW w:w="534" w:type="dxa"/>
          </w:tcPr>
          <w:p w:rsidR="00541138" w:rsidRDefault="00541138" w:rsidP="00F90E20">
            <w:r>
              <w:t>4.4</w:t>
            </w:r>
          </w:p>
        </w:tc>
        <w:tc>
          <w:tcPr>
            <w:tcW w:w="567" w:type="dxa"/>
          </w:tcPr>
          <w:p w:rsidR="00541138" w:rsidRDefault="00541138" w:rsidP="00F90E20"/>
        </w:tc>
        <w:tc>
          <w:tcPr>
            <w:tcW w:w="6662" w:type="dxa"/>
          </w:tcPr>
          <w:p w:rsidR="00541138" w:rsidRPr="00541138" w:rsidRDefault="00541138" w:rsidP="00541138">
            <w:pPr>
              <w:pStyle w:val="PlainText"/>
              <w:rPr>
                <w:u w:val="single"/>
              </w:rPr>
            </w:pPr>
            <w:r w:rsidRPr="00541138">
              <w:rPr>
                <w:u w:val="single"/>
              </w:rPr>
              <w:t xml:space="preserve">Monitoring of Pay Gaps </w:t>
            </w:r>
          </w:p>
        </w:tc>
        <w:tc>
          <w:tcPr>
            <w:tcW w:w="1479" w:type="dxa"/>
          </w:tcPr>
          <w:p w:rsidR="00541138" w:rsidRDefault="00541138" w:rsidP="00F90E20"/>
        </w:tc>
      </w:tr>
      <w:tr w:rsidR="001B3401" w:rsidTr="00F90E20">
        <w:tc>
          <w:tcPr>
            <w:tcW w:w="534" w:type="dxa"/>
          </w:tcPr>
          <w:p w:rsidR="001B3401" w:rsidRDefault="001B3401" w:rsidP="00F90E20"/>
        </w:tc>
        <w:tc>
          <w:tcPr>
            <w:tcW w:w="567" w:type="dxa"/>
          </w:tcPr>
          <w:p w:rsidR="001B3401" w:rsidRDefault="001B3401" w:rsidP="00F90E20"/>
        </w:tc>
        <w:tc>
          <w:tcPr>
            <w:tcW w:w="6662" w:type="dxa"/>
          </w:tcPr>
          <w:p w:rsidR="001B3401" w:rsidRDefault="001B3401" w:rsidP="00541138">
            <w:pPr>
              <w:pStyle w:val="PlainText"/>
            </w:pPr>
            <w:r>
              <w:t xml:space="preserve">It was agreed that </w:t>
            </w:r>
            <w:r w:rsidR="00541138">
              <w:t xml:space="preserve">notwithstanding that the University was undertaking institutional equal pay audits every two </w:t>
            </w:r>
            <w:proofErr w:type="gramStart"/>
            <w:r w:rsidR="00541138">
              <w:t>years,</w:t>
            </w:r>
            <w:proofErr w:type="gramEnd"/>
            <w:r w:rsidR="00541138">
              <w:t xml:space="preserve"> the Faculty would examine pay gaps at local level </w:t>
            </w:r>
            <w:r>
              <w:t>on an annual basis.</w:t>
            </w:r>
          </w:p>
        </w:tc>
        <w:tc>
          <w:tcPr>
            <w:tcW w:w="1479" w:type="dxa"/>
          </w:tcPr>
          <w:p w:rsidR="001B3401" w:rsidRDefault="00541138" w:rsidP="00F90E20">
            <w:r w:rsidRPr="00541138">
              <w:rPr>
                <w:b/>
              </w:rPr>
              <w:t>Action</w:t>
            </w:r>
            <w:r>
              <w:t>: AM</w:t>
            </w:r>
          </w:p>
        </w:tc>
      </w:tr>
      <w:tr w:rsidR="001B3401" w:rsidTr="00F90E20">
        <w:tc>
          <w:tcPr>
            <w:tcW w:w="534" w:type="dxa"/>
          </w:tcPr>
          <w:p w:rsidR="001B3401" w:rsidRDefault="001B3401" w:rsidP="00F90E20"/>
        </w:tc>
        <w:tc>
          <w:tcPr>
            <w:tcW w:w="567" w:type="dxa"/>
          </w:tcPr>
          <w:p w:rsidR="001B3401" w:rsidRDefault="001B3401" w:rsidP="00F90E20"/>
        </w:tc>
        <w:tc>
          <w:tcPr>
            <w:tcW w:w="6662" w:type="dxa"/>
          </w:tcPr>
          <w:p w:rsidR="001B3401" w:rsidRDefault="001B3401" w:rsidP="00D62FA5">
            <w:pPr>
              <w:pStyle w:val="PlainText"/>
            </w:pPr>
          </w:p>
        </w:tc>
        <w:tc>
          <w:tcPr>
            <w:tcW w:w="1479" w:type="dxa"/>
          </w:tcPr>
          <w:p w:rsidR="001B3401" w:rsidRDefault="001B3401" w:rsidP="00F90E20"/>
        </w:tc>
      </w:tr>
      <w:tr w:rsidR="00541138" w:rsidTr="00F90E20">
        <w:tc>
          <w:tcPr>
            <w:tcW w:w="534" w:type="dxa"/>
          </w:tcPr>
          <w:p w:rsidR="00541138" w:rsidRDefault="00541138" w:rsidP="00F90E20">
            <w:r>
              <w:t>4.5</w:t>
            </w:r>
          </w:p>
        </w:tc>
        <w:tc>
          <w:tcPr>
            <w:tcW w:w="567" w:type="dxa"/>
          </w:tcPr>
          <w:p w:rsidR="00541138" w:rsidRDefault="00541138" w:rsidP="00F90E20"/>
        </w:tc>
        <w:tc>
          <w:tcPr>
            <w:tcW w:w="6662" w:type="dxa"/>
          </w:tcPr>
          <w:p w:rsidR="00541138" w:rsidRPr="00541138" w:rsidRDefault="00541138" w:rsidP="004979DD">
            <w:pPr>
              <w:pStyle w:val="PlainText"/>
              <w:rPr>
                <w:u w:val="single"/>
              </w:rPr>
            </w:pPr>
            <w:r w:rsidRPr="00541138">
              <w:rPr>
                <w:u w:val="single"/>
              </w:rPr>
              <w:t xml:space="preserve">Analysis of the Gender and BME profile of </w:t>
            </w:r>
            <w:r w:rsidR="004979DD">
              <w:rPr>
                <w:u w:val="single"/>
              </w:rPr>
              <w:t>S</w:t>
            </w:r>
            <w:r w:rsidRPr="00541138">
              <w:rPr>
                <w:u w:val="single"/>
              </w:rPr>
              <w:t xml:space="preserve">chool and </w:t>
            </w:r>
            <w:r w:rsidR="004979DD">
              <w:rPr>
                <w:u w:val="single"/>
              </w:rPr>
              <w:t>I</w:t>
            </w:r>
            <w:r w:rsidRPr="00541138">
              <w:rPr>
                <w:u w:val="single"/>
              </w:rPr>
              <w:t>nstitute leadership positions</w:t>
            </w:r>
          </w:p>
        </w:tc>
        <w:tc>
          <w:tcPr>
            <w:tcW w:w="1479" w:type="dxa"/>
          </w:tcPr>
          <w:p w:rsidR="00541138" w:rsidRDefault="00541138" w:rsidP="00F90E20"/>
        </w:tc>
      </w:tr>
      <w:tr w:rsidR="001B3401" w:rsidTr="00F90E20">
        <w:tc>
          <w:tcPr>
            <w:tcW w:w="534" w:type="dxa"/>
          </w:tcPr>
          <w:p w:rsidR="001B3401" w:rsidRDefault="001B3401" w:rsidP="00F90E20"/>
        </w:tc>
        <w:tc>
          <w:tcPr>
            <w:tcW w:w="567" w:type="dxa"/>
          </w:tcPr>
          <w:p w:rsidR="001B3401" w:rsidRDefault="001B3401" w:rsidP="00F90E20"/>
        </w:tc>
        <w:tc>
          <w:tcPr>
            <w:tcW w:w="6662" w:type="dxa"/>
          </w:tcPr>
          <w:p w:rsidR="001B3401" w:rsidRDefault="004979DD" w:rsidP="00D62FA5">
            <w:pPr>
              <w:pStyle w:val="PlainText"/>
            </w:pPr>
            <w:r>
              <w:t>AM to collate information to bring to the May meeting.</w:t>
            </w:r>
          </w:p>
        </w:tc>
        <w:tc>
          <w:tcPr>
            <w:tcW w:w="1479" w:type="dxa"/>
          </w:tcPr>
          <w:p w:rsidR="001B3401" w:rsidRDefault="001B3401" w:rsidP="004979DD">
            <w:r w:rsidRPr="00D15289">
              <w:rPr>
                <w:b/>
              </w:rPr>
              <w:t>Action:</w:t>
            </w:r>
            <w:r>
              <w:t xml:space="preserve">  AM</w:t>
            </w:r>
          </w:p>
        </w:tc>
      </w:tr>
      <w:tr w:rsidR="001B3401" w:rsidTr="00F90E20">
        <w:tc>
          <w:tcPr>
            <w:tcW w:w="534" w:type="dxa"/>
          </w:tcPr>
          <w:p w:rsidR="001B3401" w:rsidRDefault="001B3401" w:rsidP="00F90E20"/>
        </w:tc>
        <w:tc>
          <w:tcPr>
            <w:tcW w:w="567" w:type="dxa"/>
          </w:tcPr>
          <w:p w:rsidR="001B3401" w:rsidRDefault="001B3401" w:rsidP="00F90E20"/>
        </w:tc>
        <w:tc>
          <w:tcPr>
            <w:tcW w:w="6662" w:type="dxa"/>
          </w:tcPr>
          <w:p w:rsidR="001B3401" w:rsidRDefault="001B3401" w:rsidP="00D62FA5">
            <w:pPr>
              <w:pStyle w:val="PlainText"/>
            </w:pPr>
          </w:p>
        </w:tc>
        <w:tc>
          <w:tcPr>
            <w:tcW w:w="1479" w:type="dxa"/>
          </w:tcPr>
          <w:p w:rsidR="001B3401" w:rsidRDefault="001B3401" w:rsidP="00F90E20"/>
        </w:tc>
      </w:tr>
      <w:tr w:rsidR="00541138" w:rsidTr="00F90E20">
        <w:tc>
          <w:tcPr>
            <w:tcW w:w="534" w:type="dxa"/>
          </w:tcPr>
          <w:p w:rsidR="00541138" w:rsidRDefault="00541138" w:rsidP="00F90E20">
            <w:r>
              <w:t>4.6</w:t>
            </w:r>
          </w:p>
        </w:tc>
        <w:tc>
          <w:tcPr>
            <w:tcW w:w="567" w:type="dxa"/>
          </w:tcPr>
          <w:p w:rsidR="00541138" w:rsidRDefault="00541138" w:rsidP="00F90E20"/>
        </w:tc>
        <w:tc>
          <w:tcPr>
            <w:tcW w:w="6662" w:type="dxa"/>
          </w:tcPr>
          <w:p w:rsidR="00541138" w:rsidRPr="006F774E" w:rsidRDefault="00192A78" w:rsidP="00192A78">
            <w:pPr>
              <w:pStyle w:val="PlainText"/>
              <w:rPr>
                <w:u w:val="single"/>
              </w:rPr>
            </w:pPr>
            <w:r>
              <w:rPr>
                <w:u w:val="single"/>
              </w:rPr>
              <w:t>Equality and Diversity in the student profile and in the s</w:t>
            </w:r>
            <w:r w:rsidR="003A3C82" w:rsidRPr="006F774E">
              <w:rPr>
                <w:u w:val="single"/>
              </w:rPr>
              <w:t xml:space="preserve">ocial responsibility </w:t>
            </w:r>
            <w:r>
              <w:rPr>
                <w:u w:val="single"/>
              </w:rPr>
              <w:t>input to the</w:t>
            </w:r>
            <w:r w:rsidR="003A3C82" w:rsidRPr="006F774E">
              <w:rPr>
                <w:u w:val="single"/>
              </w:rPr>
              <w:t xml:space="preserve"> </w:t>
            </w:r>
            <w:proofErr w:type="spellStart"/>
            <w:r w:rsidR="003A3C82" w:rsidRPr="006F774E">
              <w:rPr>
                <w:u w:val="single"/>
              </w:rPr>
              <w:t>the</w:t>
            </w:r>
            <w:proofErr w:type="spellEnd"/>
            <w:r w:rsidR="003A3C82" w:rsidRPr="006F774E">
              <w:rPr>
                <w:u w:val="single"/>
              </w:rPr>
              <w:t xml:space="preserve"> curriculum</w:t>
            </w:r>
          </w:p>
        </w:tc>
        <w:tc>
          <w:tcPr>
            <w:tcW w:w="1479" w:type="dxa"/>
          </w:tcPr>
          <w:p w:rsidR="00541138" w:rsidRDefault="00541138" w:rsidP="00F90E20"/>
        </w:tc>
      </w:tr>
      <w:tr w:rsidR="001B3401" w:rsidTr="00F90E20">
        <w:tc>
          <w:tcPr>
            <w:tcW w:w="534" w:type="dxa"/>
          </w:tcPr>
          <w:p w:rsidR="001B3401" w:rsidRDefault="001B3401" w:rsidP="00F90E20"/>
        </w:tc>
        <w:tc>
          <w:tcPr>
            <w:tcW w:w="567" w:type="dxa"/>
          </w:tcPr>
          <w:p w:rsidR="001B3401" w:rsidRDefault="001B3401" w:rsidP="00F90E20"/>
        </w:tc>
        <w:tc>
          <w:tcPr>
            <w:tcW w:w="6662" w:type="dxa"/>
          </w:tcPr>
          <w:p w:rsidR="001B3401" w:rsidRDefault="001B3401" w:rsidP="00192A78">
            <w:pPr>
              <w:pStyle w:val="PlainText"/>
            </w:pPr>
            <w:r>
              <w:t>CF confirmed that she would discuss the</w:t>
            </w:r>
            <w:r w:rsidR="00192A78">
              <w:t xml:space="preserve">se recommendations </w:t>
            </w:r>
            <w:r w:rsidR="004979DD">
              <w:t xml:space="preserve">with </w:t>
            </w:r>
            <w:r w:rsidR="00192A78">
              <w:t xml:space="preserve">the AVP for Social Responsibility, James Thomson </w:t>
            </w:r>
            <w:proofErr w:type="gramStart"/>
            <w:r w:rsidR="00192A78">
              <w:t>( JT</w:t>
            </w:r>
            <w:proofErr w:type="gramEnd"/>
            <w:r w:rsidR="00192A78">
              <w:t xml:space="preserve">) and with </w:t>
            </w:r>
            <w:r w:rsidR="004979DD">
              <w:t xml:space="preserve">Professor </w:t>
            </w:r>
            <w:r w:rsidR="00D15289">
              <w:t xml:space="preserve">Clive Agnew </w:t>
            </w:r>
            <w:r w:rsidR="00192A78">
              <w:t xml:space="preserve">(VP for teaching, learning and student experience) </w:t>
            </w:r>
            <w:r w:rsidR="00D15289">
              <w:t>.</w:t>
            </w:r>
          </w:p>
        </w:tc>
        <w:tc>
          <w:tcPr>
            <w:tcW w:w="1479" w:type="dxa"/>
          </w:tcPr>
          <w:p w:rsidR="001B3401" w:rsidRDefault="00D15289" w:rsidP="00F90E20">
            <w:r w:rsidRPr="00D15289">
              <w:rPr>
                <w:b/>
              </w:rPr>
              <w:t>Action:</w:t>
            </w:r>
            <w:r>
              <w:t xml:space="preserve">  CF</w:t>
            </w:r>
          </w:p>
        </w:tc>
      </w:tr>
      <w:tr w:rsidR="00D15289" w:rsidTr="00F90E20">
        <w:tc>
          <w:tcPr>
            <w:tcW w:w="534" w:type="dxa"/>
          </w:tcPr>
          <w:p w:rsidR="00D15289" w:rsidRDefault="00D15289" w:rsidP="00F90E20"/>
        </w:tc>
        <w:tc>
          <w:tcPr>
            <w:tcW w:w="567" w:type="dxa"/>
          </w:tcPr>
          <w:p w:rsidR="00D15289" w:rsidRDefault="00D15289" w:rsidP="00F90E20"/>
        </w:tc>
        <w:tc>
          <w:tcPr>
            <w:tcW w:w="6662" w:type="dxa"/>
          </w:tcPr>
          <w:p w:rsidR="00D15289" w:rsidRDefault="00D15289" w:rsidP="00D62FA5">
            <w:pPr>
              <w:pStyle w:val="PlainText"/>
            </w:pPr>
          </w:p>
        </w:tc>
        <w:tc>
          <w:tcPr>
            <w:tcW w:w="1479" w:type="dxa"/>
          </w:tcPr>
          <w:p w:rsidR="00D15289" w:rsidRDefault="00D15289" w:rsidP="00F90E20"/>
        </w:tc>
      </w:tr>
      <w:tr w:rsidR="003A3C82" w:rsidTr="00F90E20">
        <w:tc>
          <w:tcPr>
            <w:tcW w:w="534" w:type="dxa"/>
          </w:tcPr>
          <w:p w:rsidR="003A3C82" w:rsidRDefault="003A3C82" w:rsidP="00F90E20">
            <w:r>
              <w:t xml:space="preserve">4.7 </w:t>
            </w:r>
          </w:p>
        </w:tc>
        <w:tc>
          <w:tcPr>
            <w:tcW w:w="567" w:type="dxa"/>
          </w:tcPr>
          <w:p w:rsidR="003A3C82" w:rsidRDefault="003A3C82" w:rsidP="00F90E20"/>
        </w:tc>
        <w:tc>
          <w:tcPr>
            <w:tcW w:w="6662" w:type="dxa"/>
          </w:tcPr>
          <w:p w:rsidR="003A3C82" w:rsidRPr="006F774E" w:rsidRDefault="006F774E" w:rsidP="00D62FA5">
            <w:pPr>
              <w:pStyle w:val="PlainText"/>
              <w:rPr>
                <w:u w:val="single"/>
              </w:rPr>
            </w:pPr>
            <w:r w:rsidRPr="006F774E">
              <w:rPr>
                <w:u w:val="single"/>
              </w:rPr>
              <w:t>Training of students</w:t>
            </w:r>
          </w:p>
        </w:tc>
        <w:tc>
          <w:tcPr>
            <w:tcW w:w="1479" w:type="dxa"/>
          </w:tcPr>
          <w:p w:rsidR="003A3C82" w:rsidRDefault="003A3C82" w:rsidP="00F90E20"/>
        </w:tc>
      </w:tr>
      <w:tr w:rsidR="00B40C42" w:rsidTr="00F90E20">
        <w:tc>
          <w:tcPr>
            <w:tcW w:w="534" w:type="dxa"/>
          </w:tcPr>
          <w:p w:rsidR="00B40C42" w:rsidRDefault="00B40C42" w:rsidP="00F90E20"/>
        </w:tc>
        <w:tc>
          <w:tcPr>
            <w:tcW w:w="567" w:type="dxa"/>
          </w:tcPr>
          <w:p w:rsidR="00B40C42" w:rsidRDefault="00B40C42" w:rsidP="00F90E20"/>
        </w:tc>
        <w:tc>
          <w:tcPr>
            <w:tcW w:w="6662" w:type="dxa"/>
          </w:tcPr>
          <w:p w:rsidR="00B40C42" w:rsidRDefault="00D15289" w:rsidP="004979DD">
            <w:pPr>
              <w:pStyle w:val="PlainText"/>
            </w:pPr>
            <w:r>
              <w:t>CF and AM to write to JT</w:t>
            </w:r>
            <w:r w:rsidR="00D9572D">
              <w:t xml:space="preserve"> </w:t>
            </w:r>
            <w:r>
              <w:t xml:space="preserve">regarding </w:t>
            </w:r>
            <w:r w:rsidR="004979DD">
              <w:t xml:space="preserve">the recommendation that the </w:t>
            </w:r>
            <w:r w:rsidR="004979DD" w:rsidRPr="004979DD">
              <w:t xml:space="preserve">University can play a role in progressing </w:t>
            </w:r>
            <w:r w:rsidR="004979DD">
              <w:t>e</w:t>
            </w:r>
            <w:r w:rsidR="004979DD" w:rsidRPr="004979DD">
              <w:t xml:space="preserve">quality and </w:t>
            </w:r>
            <w:r w:rsidR="004979DD">
              <w:t>d</w:t>
            </w:r>
            <w:r w:rsidR="004979DD" w:rsidRPr="004979DD">
              <w:t>iversity in society through the way that it recruits and trains it students and supports those already in professional practice (e.g. many of our postgraduates in education, law and business).</w:t>
            </w:r>
            <w:r w:rsidR="004979DD">
              <w:t xml:space="preserve"> </w:t>
            </w:r>
          </w:p>
        </w:tc>
        <w:tc>
          <w:tcPr>
            <w:tcW w:w="1479" w:type="dxa"/>
          </w:tcPr>
          <w:p w:rsidR="00B40C42" w:rsidRDefault="00D15289" w:rsidP="00F90E20">
            <w:r w:rsidRPr="00D15289">
              <w:rPr>
                <w:b/>
              </w:rPr>
              <w:t>Action:</w:t>
            </w:r>
            <w:r>
              <w:t xml:space="preserve">  CF/AM</w:t>
            </w:r>
          </w:p>
        </w:tc>
      </w:tr>
      <w:tr w:rsidR="00D15289" w:rsidTr="00F90E20">
        <w:tc>
          <w:tcPr>
            <w:tcW w:w="534" w:type="dxa"/>
          </w:tcPr>
          <w:p w:rsidR="00D15289" w:rsidRDefault="00D15289" w:rsidP="00F90E20"/>
        </w:tc>
        <w:tc>
          <w:tcPr>
            <w:tcW w:w="567" w:type="dxa"/>
          </w:tcPr>
          <w:p w:rsidR="00D15289" w:rsidRDefault="00D15289" w:rsidP="00F90E20"/>
        </w:tc>
        <w:tc>
          <w:tcPr>
            <w:tcW w:w="6662" w:type="dxa"/>
          </w:tcPr>
          <w:p w:rsidR="00D15289" w:rsidRDefault="00D15289" w:rsidP="00D9572D">
            <w:pPr>
              <w:pStyle w:val="PlainText"/>
            </w:pPr>
          </w:p>
        </w:tc>
        <w:tc>
          <w:tcPr>
            <w:tcW w:w="1479" w:type="dxa"/>
          </w:tcPr>
          <w:p w:rsidR="00D15289" w:rsidRPr="00D15289" w:rsidRDefault="00D15289" w:rsidP="00F90E20">
            <w:pPr>
              <w:rPr>
                <w:b/>
              </w:rPr>
            </w:pPr>
          </w:p>
        </w:tc>
      </w:tr>
      <w:tr w:rsidR="006F774E" w:rsidTr="00F90E20">
        <w:tc>
          <w:tcPr>
            <w:tcW w:w="534" w:type="dxa"/>
          </w:tcPr>
          <w:p w:rsidR="006F774E" w:rsidRDefault="006F774E" w:rsidP="00F90E20">
            <w:r>
              <w:t>4.8</w:t>
            </w:r>
          </w:p>
        </w:tc>
        <w:tc>
          <w:tcPr>
            <w:tcW w:w="567" w:type="dxa"/>
          </w:tcPr>
          <w:p w:rsidR="006F774E" w:rsidRDefault="006F774E" w:rsidP="00F90E20"/>
        </w:tc>
        <w:tc>
          <w:tcPr>
            <w:tcW w:w="6662" w:type="dxa"/>
          </w:tcPr>
          <w:p w:rsidR="006F774E" w:rsidRPr="006F774E" w:rsidRDefault="006F774E" w:rsidP="00D15289">
            <w:pPr>
              <w:pStyle w:val="PlainText"/>
              <w:rPr>
                <w:u w:val="single"/>
              </w:rPr>
            </w:pPr>
            <w:r w:rsidRPr="006F774E">
              <w:rPr>
                <w:u w:val="single"/>
              </w:rPr>
              <w:t>Disability data</w:t>
            </w:r>
          </w:p>
        </w:tc>
        <w:tc>
          <w:tcPr>
            <w:tcW w:w="1479" w:type="dxa"/>
          </w:tcPr>
          <w:p w:rsidR="006F774E" w:rsidRDefault="006F774E" w:rsidP="00F90E20">
            <w:pPr>
              <w:rPr>
                <w:b/>
              </w:rPr>
            </w:pPr>
          </w:p>
        </w:tc>
      </w:tr>
      <w:tr w:rsidR="00D15289" w:rsidTr="00F90E20">
        <w:tc>
          <w:tcPr>
            <w:tcW w:w="534" w:type="dxa"/>
          </w:tcPr>
          <w:p w:rsidR="00D15289" w:rsidRDefault="00D15289" w:rsidP="00F90E20"/>
        </w:tc>
        <w:tc>
          <w:tcPr>
            <w:tcW w:w="567" w:type="dxa"/>
          </w:tcPr>
          <w:p w:rsidR="00D15289" w:rsidRDefault="00D15289" w:rsidP="00F90E20"/>
        </w:tc>
        <w:tc>
          <w:tcPr>
            <w:tcW w:w="6662" w:type="dxa"/>
          </w:tcPr>
          <w:p w:rsidR="00D15289" w:rsidRDefault="00D16F12" w:rsidP="004979DD">
            <w:pPr>
              <w:pStyle w:val="PlainText"/>
            </w:pPr>
            <w:r>
              <w:t xml:space="preserve">Although it is recognised that </w:t>
            </w:r>
            <w:r w:rsidR="004979DD">
              <w:t>d</w:t>
            </w:r>
            <w:r w:rsidRPr="00D16F12">
              <w:t xml:space="preserve">isability is not part of </w:t>
            </w:r>
            <w:r>
              <w:t xml:space="preserve">the WG’s remit,  AM undertook to check and report back on plans being made by Equality and Diversity Unit to conduct an audit of staff </w:t>
            </w:r>
            <w:r w:rsidRPr="00D16F12">
              <w:t>disability.</w:t>
            </w:r>
          </w:p>
        </w:tc>
        <w:tc>
          <w:tcPr>
            <w:tcW w:w="1479" w:type="dxa"/>
          </w:tcPr>
          <w:p w:rsidR="00D15289" w:rsidRPr="00D15289" w:rsidRDefault="00D16F12" w:rsidP="00F90E20">
            <w:pPr>
              <w:rPr>
                <w:b/>
              </w:rPr>
            </w:pPr>
            <w:r>
              <w:rPr>
                <w:b/>
              </w:rPr>
              <w:t xml:space="preserve">Action: </w:t>
            </w:r>
            <w:r w:rsidRPr="00D16F12">
              <w:t>AM</w:t>
            </w:r>
          </w:p>
        </w:tc>
      </w:tr>
      <w:tr w:rsidR="00B40C42" w:rsidTr="00F90E20">
        <w:tc>
          <w:tcPr>
            <w:tcW w:w="534" w:type="dxa"/>
          </w:tcPr>
          <w:p w:rsidR="00B40C42" w:rsidRDefault="00B40C42" w:rsidP="00F90E20"/>
        </w:tc>
        <w:tc>
          <w:tcPr>
            <w:tcW w:w="567" w:type="dxa"/>
          </w:tcPr>
          <w:p w:rsidR="00B40C42" w:rsidRDefault="00B40C42" w:rsidP="00F90E20"/>
        </w:tc>
        <w:tc>
          <w:tcPr>
            <w:tcW w:w="6662" w:type="dxa"/>
          </w:tcPr>
          <w:p w:rsidR="00B40C42" w:rsidRDefault="00B40C42" w:rsidP="00D97665">
            <w:pPr>
              <w:pStyle w:val="PlainText"/>
            </w:pPr>
          </w:p>
        </w:tc>
        <w:tc>
          <w:tcPr>
            <w:tcW w:w="1479" w:type="dxa"/>
          </w:tcPr>
          <w:p w:rsidR="00B40C42" w:rsidRDefault="00B40C42" w:rsidP="00F90E20"/>
        </w:tc>
      </w:tr>
      <w:tr w:rsidR="00627546" w:rsidTr="00F90E20">
        <w:tc>
          <w:tcPr>
            <w:tcW w:w="534" w:type="dxa"/>
          </w:tcPr>
          <w:p w:rsidR="00627546" w:rsidRDefault="00627546" w:rsidP="00F90E20">
            <w:r>
              <w:t>4.9</w:t>
            </w:r>
          </w:p>
        </w:tc>
        <w:tc>
          <w:tcPr>
            <w:tcW w:w="567" w:type="dxa"/>
          </w:tcPr>
          <w:p w:rsidR="00627546" w:rsidRDefault="00627546" w:rsidP="00F90E20"/>
        </w:tc>
        <w:tc>
          <w:tcPr>
            <w:tcW w:w="6662" w:type="dxa"/>
          </w:tcPr>
          <w:p w:rsidR="00627546" w:rsidRPr="00627546" w:rsidRDefault="00627546" w:rsidP="00D97665">
            <w:pPr>
              <w:pStyle w:val="PlainText"/>
              <w:rPr>
                <w:u w:val="single"/>
              </w:rPr>
            </w:pPr>
            <w:r w:rsidRPr="00627546">
              <w:rPr>
                <w:u w:val="single"/>
              </w:rPr>
              <w:t>Fixed term contracts</w:t>
            </w:r>
          </w:p>
        </w:tc>
        <w:tc>
          <w:tcPr>
            <w:tcW w:w="1479" w:type="dxa"/>
          </w:tcPr>
          <w:p w:rsidR="00627546" w:rsidRDefault="00627546" w:rsidP="00F90E20"/>
        </w:tc>
      </w:tr>
      <w:tr w:rsidR="00627546" w:rsidTr="00F90E20">
        <w:tc>
          <w:tcPr>
            <w:tcW w:w="534" w:type="dxa"/>
          </w:tcPr>
          <w:p w:rsidR="00627546" w:rsidRDefault="00627546" w:rsidP="00F90E20"/>
        </w:tc>
        <w:tc>
          <w:tcPr>
            <w:tcW w:w="567" w:type="dxa"/>
          </w:tcPr>
          <w:p w:rsidR="00627546" w:rsidRDefault="00627546" w:rsidP="00F90E20"/>
        </w:tc>
        <w:tc>
          <w:tcPr>
            <w:tcW w:w="6662" w:type="dxa"/>
          </w:tcPr>
          <w:p w:rsidR="00627546" w:rsidRDefault="00627546" w:rsidP="00627546">
            <w:pPr>
              <w:pStyle w:val="PlainText"/>
            </w:pPr>
            <w:r>
              <w:t>Da</w:t>
            </w:r>
            <w:r w:rsidR="004D5C38" w:rsidRPr="00627546">
              <w:t xml:space="preserve">ta </w:t>
            </w:r>
            <w:r>
              <w:t xml:space="preserve">will be collated to </w:t>
            </w:r>
            <w:r w:rsidR="004D5C38" w:rsidRPr="00627546">
              <w:t>show gender/ethnicity profile of academic staff on fixed term/permanent contracts and teaching/teaching and research contracts.</w:t>
            </w:r>
          </w:p>
        </w:tc>
        <w:tc>
          <w:tcPr>
            <w:tcW w:w="1479" w:type="dxa"/>
          </w:tcPr>
          <w:p w:rsidR="00627546" w:rsidRDefault="00627546" w:rsidP="00F90E20">
            <w:r w:rsidRPr="00627546">
              <w:rPr>
                <w:b/>
              </w:rPr>
              <w:t>Action</w:t>
            </w:r>
            <w:r>
              <w:t>: AM</w:t>
            </w:r>
          </w:p>
        </w:tc>
      </w:tr>
      <w:tr w:rsidR="00627546" w:rsidTr="00F90E20">
        <w:tc>
          <w:tcPr>
            <w:tcW w:w="534" w:type="dxa"/>
          </w:tcPr>
          <w:p w:rsidR="00627546" w:rsidRDefault="00627546" w:rsidP="00F90E20"/>
        </w:tc>
        <w:tc>
          <w:tcPr>
            <w:tcW w:w="567" w:type="dxa"/>
          </w:tcPr>
          <w:p w:rsidR="00627546" w:rsidRDefault="00627546" w:rsidP="00F90E20"/>
        </w:tc>
        <w:tc>
          <w:tcPr>
            <w:tcW w:w="6662" w:type="dxa"/>
          </w:tcPr>
          <w:p w:rsidR="00627546" w:rsidRDefault="00627546" w:rsidP="00627546">
            <w:pPr>
              <w:pStyle w:val="PlainText"/>
            </w:pPr>
          </w:p>
        </w:tc>
        <w:tc>
          <w:tcPr>
            <w:tcW w:w="1479" w:type="dxa"/>
          </w:tcPr>
          <w:p w:rsidR="00627546" w:rsidRPr="00627546" w:rsidRDefault="00627546" w:rsidP="00F90E20">
            <w:pPr>
              <w:rPr>
                <w:b/>
              </w:rPr>
            </w:pPr>
          </w:p>
        </w:tc>
      </w:tr>
      <w:tr w:rsidR="006F774E" w:rsidTr="00F90E20">
        <w:tc>
          <w:tcPr>
            <w:tcW w:w="534" w:type="dxa"/>
          </w:tcPr>
          <w:p w:rsidR="006F774E" w:rsidRDefault="00627546" w:rsidP="00F90E20">
            <w:r>
              <w:t>4.10</w:t>
            </w:r>
          </w:p>
        </w:tc>
        <w:tc>
          <w:tcPr>
            <w:tcW w:w="567" w:type="dxa"/>
          </w:tcPr>
          <w:p w:rsidR="006F774E" w:rsidRDefault="006F774E" w:rsidP="00F90E20"/>
        </w:tc>
        <w:tc>
          <w:tcPr>
            <w:tcW w:w="6662" w:type="dxa"/>
          </w:tcPr>
          <w:p w:rsidR="006F774E" w:rsidRPr="006F774E" w:rsidRDefault="006F774E" w:rsidP="00D97665">
            <w:pPr>
              <w:pStyle w:val="PlainText"/>
              <w:rPr>
                <w:u w:val="single"/>
              </w:rPr>
            </w:pPr>
            <w:r w:rsidRPr="006F774E">
              <w:rPr>
                <w:u w:val="single"/>
              </w:rPr>
              <w:t>Monitoring of progress</w:t>
            </w:r>
          </w:p>
        </w:tc>
        <w:tc>
          <w:tcPr>
            <w:tcW w:w="1479" w:type="dxa"/>
          </w:tcPr>
          <w:p w:rsidR="006F774E" w:rsidRDefault="006F774E" w:rsidP="00F90E20"/>
        </w:tc>
      </w:tr>
      <w:tr w:rsidR="00D16F12" w:rsidTr="00F90E20">
        <w:tc>
          <w:tcPr>
            <w:tcW w:w="534" w:type="dxa"/>
          </w:tcPr>
          <w:p w:rsidR="00D16F12" w:rsidRPr="008C24D1" w:rsidRDefault="00D16F12" w:rsidP="00F90E20">
            <w:pPr>
              <w:rPr>
                <w:b/>
              </w:rPr>
            </w:pPr>
          </w:p>
        </w:tc>
        <w:tc>
          <w:tcPr>
            <w:tcW w:w="567" w:type="dxa"/>
          </w:tcPr>
          <w:p w:rsidR="00D16F12" w:rsidRDefault="00D16F12" w:rsidP="00F90E20"/>
        </w:tc>
        <w:tc>
          <w:tcPr>
            <w:tcW w:w="6662" w:type="dxa"/>
          </w:tcPr>
          <w:p w:rsidR="00D16F12" w:rsidRDefault="00D16F12" w:rsidP="00D16F12">
            <w:pPr>
              <w:pStyle w:val="PlainText"/>
            </w:pPr>
            <w:r>
              <w:t>AM agreed to produce a table showing various actions and planned milestones to circulate with the minutes.</w:t>
            </w:r>
          </w:p>
        </w:tc>
        <w:tc>
          <w:tcPr>
            <w:tcW w:w="1479" w:type="dxa"/>
          </w:tcPr>
          <w:p w:rsidR="00D16F12" w:rsidRPr="00D15289" w:rsidRDefault="00D16F12" w:rsidP="00DF3931">
            <w:pPr>
              <w:rPr>
                <w:b/>
              </w:rPr>
            </w:pPr>
            <w:r>
              <w:rPr>
                <w:b/>
              </w:rPr>
              <w:t xml:space="preserve">Action:  </w:t>
            </w:r>
            <w:r w:rsidRPr="00D15289">
              <w:t>AM</w:t>
            </w:r>
          </w:p>
        </w:tc>
      </w:tr>
      <w:tr w:rsidR="00D16F12" w:rsidTr="00F90E20">
        <w:tc>
          <w:tcPr>
            <w:tcW w:w="534" w:type="dxa"/>
          </w:tcPr>
          <w:p w:rsidR="00D16F12" w:rsidRDefault="00D16F12" w:rsidP="00DF3931"/>
        </w:tc>
        <w:tc>
          <w:tcPr>
            <w:tcW w:w="567" w:type="dxa"/>
          </w:tcPr>
          <w:p w:rsidR="00D16F12" w:rsidRDefault="00D16F12" w:rsidP="00DF3931"/>
        </w:tc>
        <w:tc>
          <w:tcPr>
            <w:tcW w:w="6662" w:type="dxa"/>
          </w:tcPr>
          <w:p w:rsidR="00D16F12" w:rsidRPr="00F90E20" w:rsidRDefault="00D16F12" w:rsidP="00995500">
            <w:pPr>
              <w:pStyle w:val="PlainText"/>
              <w:rPr>
                <w:b/>
              </w:rPr>
            </w:pPr>
          </w:p>
        </w:tc>
        <w:tc>
          <w:tcPr>
            <w:tcW w:w="1479" w:type="dxa"/>
          </w:tcPr>
          <w:p w:rsidR="00D16F12" w:rsidRDefault="00D16F12" w:rsidP="00F90E20"/>
        </w:tc>
      </w:tr>
      <w:tr w:rsidR="00D16F12" w:rsidTr="00F90E20">
        <w:tc>
          <w:tcPr>
            <w:tcW w:w="534" w:type="dxa"/>
          </w:tcPr>
          <w:p w:rsidR="00D16F12" w:rsidRDefault="00D16F12" w:rsidP="00DF3931">
            <w:r>
              <w:rPr>
                <w:b/>
              </w:rPr>
              <w:t>5</w:t>
            </w:r>
          </w:p>
        </w:tc>
        <w:tc>
          <w:tcPr>
            <w:tcW w:w="567" w:type="dxa"/>
          </w:tcPr>
          <w:p w:rsidR="00D16F12" w:rsidRDefault="00D16F12" w:rsidP="00DF3931"/>
        </w:tc>
        <w:tc>
          <w:tcPr>
            <w:tcW w:w="6662" w:type="dxa"/>
          </w:tcPr>
          <w:p w:rsidR="00D16F12" w:rsidRDefault="00D16F12" w:rsidP="00DF3931">
            <w:r>
              <w:rPr>
                <w:b/>
              </w:rPr>
              <w:t>Race Equality Charter Mark – update</w:t>
            </w:r>
          </w:p>
        </w:tc>
        <w:tc>
          <w:tcPr>
            <w:tcW w:w="1479" w:type="dxa"/>
          </w:tcPr>
          <w:p w:rsidR="00D16F12" w:rsidRDefault="00D16F12" w:rsidP="00F90E20"/>
        </w:tc>
      </w:tr>
      <w:tr w:rsidR="00D16F12" w:rsidTr="00F90E20">
        <w:tc>
          <w:tcPr>
            <w:tcW w:w="534" w:type="dxa"/>
          </w:tcPr>
          <w:p w:rsidR="00D16F12" w:rsidRDefault="00D16F12" w:rsidP="00DF3931"/>
        </w:tc>
        <w:tc>
          <w:tcPr>
            <w:tcW w:w="567" w:type="dxa"/>
          </w:tcPr>
          <w:p w:rsidR="00D16F12" w:rsidRDefault="00D16F12" w:rsidP="00DF3931"/>
        </w:tc>
        <w:tc>
          <w:tcPr>
            <w:tcW w:w="6662" w:type="dxa"/>
          </w:tcPr>
          <w:p w:rsidR="00D16F12" w:rsidRDefault="00D16F12" w:rsidP="00D16F12">
            <w:pPr>
              <w:pStyle w:val="PlainText"/>
            </w:pPr>
            <w:r>
              <w:t xml:space="preserve">AM explained that the ECU Race Equality Charter Mark would be a similar accreditation to the Athena Swan awards for promoting gender equality.  For organisations to secure the Charter Mark they have to provide evidence in the form of data, proof of progression of BME staff and the identification and promotion of good practice.  The University </w:t>
            </w:r>
            <w:r w:rsidR="00DF3931">
              <w:t xml:space="preserve">set up a self-assessment team </w:t>
            </w:r>
            <w:r w:rsidRPr="00D16F12">
              <w:t xml:space="preserve">(SAT) chaired by </w:t>
            </w:r>
            <w:r w:rsidR="00DF3931">
              <w:t xml:space="preserve">Professor James </w:t>
            </w:r>
            <w:r w:rsidR="00DF3931">
              <w:lastRenderedPageBreak/>
              <w:t xml:space="preserve">Thompson, Associate VP for Social Responsibility </w:t>
            </w:r>
            <w:r w:rsidRPr="00D16F12">
              <w:t xml:space="preserve">to act as an advisory and consultative forum at key stages of the charter mark submission process and to support and contribute to identifying and promoting good practice and the development of the submission action plan.  (Claire Alexander and </w:t>
            </w:r>
            <w:r>
              <w:t xml:space="preserve">AM </w:t>
            </w:r>
            <w:r w:rsidRPr="00D16F12">
              <w:t>are members of the SAT).  Five sub-groups have been set up to take forward the work under the following headings:</w:t>
            </w:r>
          </w:p>
          <w:p w:rsidR="00D16F12" w:rsidRPr="00D16F12" w:rsidRDefault="00D16F12" w:rsidP="00D16F12">
            <w:pPr>
              <w:pStyle w:val="PlainText"/>
              <w:numPr>
                <w:ilvl w:val="0"/>
                <w:numId w:val="17"/>
              </w:numPr>
            </w:pPr>
            <w:r w:rsidRPr="00D16F12">
              <w:t xml:space="preserve">Data  </w:t>
            </w:r>
          </w:p>
          <w:p w:rsidR="00D16F12" w:rsidRPr="00D16F12" w:rsidRDefault="00D16F12" w:rsidP="00D16F12">
            <w:pPr>
              <w:pStyle w:val="PlainText"/>
              <w:numPr>
                <w:ilvl w:val="0"/>
                <w:numId w:val="17"/>
              </w:numPr>
            </w:pPr>
            <w:r w:rsidRPr="00D16F12">
              <w:t>Curriculum</w:t>
            </w:r>
          </w:p>
          <w:p w:rsidR="00D16F12" w:rsidRPr="00D16F12" w:rsidRDefault="00D16F12" w:rsidP="00D16F12">
            <w:pPr>
              <w:pStyle w:val="PlainText"/>
              <w:numPr>
                <w:ilvl w:val="0"/>
                <w:numId w:val="17"/>
              </w:numPr>
            </w:pPr>
            <w:r w:rsidRPr="00D16F12">
              <w:t>Staff recruitment and selection</w:t>
            </w:r>
          </w:p>
          <w:p w:rsidR="00D16F12" w:rsidRPr="00D16F12" w:rsidRDefault="00D16F12" w:rsidP="00D16F12">
            <w:pPr>
              <w:pStyle w:val="PlainText"/>
              <w:numPr>
                <w:ilvl w:val="0"/>
                <w:numId w:val="17"/>
              </w:numPr>
            </w:pPr>
            <w:r w:rsidRPr="00D16F12">
              <w:t xml:space="preserve">Values and culture         </w:t>
            </w:r>
          </w:p>
          <w:p w:rsidR="00D16F12" w:rsidRDefault="00D16F12" w:rsidP="00D16F12">
            <w:pPr>
              <w:pStyle w:val="PlainText"/>
              <w:numPr>
                <w:ilvl w:val="0"/>
                <w:numId w:val="17"/>
              </w:numPr>
            </w:pPr>
            <w:r w:rsidRPr="00D16F12">
              <w:t>Career progression</w:t>
            </w:r>
            <w:r w:rsidR="004979DD">
              <w:t>.</w:t>
            </w:r>
          </w:p>
          <w:p w:rsidR="004979DD" w:rsidRDefault="004979DD" w:rsidP="004979DD">
            <w:pPr>
              <w:pStyle w:val="PlainText"/>
            </w:pPr>
          </w:p>
          <w:p w:rsidR="004979DD" w:rsidRDefault="004979DD" w:rsidP="004979DD">
            <w:pPr>
              <w:pStyle w:val="PlainText"/>
            </w:pPr>
            <w:r>
              <w:t>The University has to submit its application by 10 April 2015.</w:t>
            </w:r>
          </w:p>
          <w:p w:rsidR="00D16F12" w:rsidRDefault="00D16F12" w:rsidP="00D16F12">
            <w:pPr>
              <w:pStyle w:val="PlainText"/>
            </w:pPr>
          </w:p>
          <w:p w:rsidR="00D16F12" w:rsidRDefault="00D16F12" w:rsidP="00D16F12">
            <w:pPr>
              <w:pStyle w:val="PlainText"/>
            </w:pPr>
            <w:r>
              <w:t>It was agreed that AM would enquire about the possibility of DS joining the SAT.</w:t>
            </w:r>
          </w:p>
        </w:tc>
        <w:tc>
          <w:tcPr>
            <w:tcW w:w="1479" w:type="dxa"/>
          </w:tcPr>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16F12" w:rsidRDefault="00D16F12" w:rsidP="00D9572D"/>
          <w:p w:rsidR="00DF3931" w:rsidRDefault="00DF3931" w:rsidP="00D9572D">
            <w:pPr>
              <w:rPr>
                <w:b/>
              </w:rPr>
            </w:pPr>
          </w:p>
          <w:p w:rsidR="004979DD" w:rsidRDefault="004979DD" w:rsidP="00D9572D">
            <w:pPr>
              <w:rPr>
                <w:b/>
              </w:rPr>
            </w:pPr>
          </w:p>
          <w:p w:rsidR="004979DD" w:rsidRDefault="004979DD" w:rsidP="00D9572D">
            <w:pPr>
              <w:rPr>
                <w:b/>
              </w:rPr>
            </w:pPr>
          </w:p>
          <w:p w:rsidR="00D16F12" w:rsidRDefault="00D16F12" w:rsidP="00D9572D">
            <w:r w:rsidRPr="00D16F12">
              <w:rPr>
                <w:b/>
              </w:rPr>
              <w:t>Action:</w:t>
            </w:r>
            <w:r w:rsidRPr="00D16F12">
              <w:t xml:space="preserve"> AM</w:t>
            </w:r>
          </w:p>
        </w:tc>
      </w:tr>
      <w:tr w:rsidR="00D16F12" w:rsidTr="00F90E20">
        <w:tc>
          <w:tcPr>
            <w:tcW w:w="534" w:type="dxa"/>
          </w:tcPr>
          <w:p w:rsidR="00D16F12" w:rsidRDefault="00D16F12" w:rsidP="00DF3931"/>
        </w:tc>
        <w:tc>
          <w:tcPr>
            <w:tcW w:w="567" w:type="dxa"/>
          </w:tcPr>
          <w:p w:rsidR="00D16F12" w:rsidRDefault="00D16F12" w:rsidP="00DF3931"/>
        </w:tc>
        <w:tc>
          <w:tcPr>
            <w:tcW w:w="6662" w:type="dxa"/>
          </w:tcPr>
          <w:p w:rsidR="00D16F12" w:rsidRDefault="00D16F12" w:rsidP="00D97665">
            <w:pPr>
              <w:pStyle w:val="PlainText"/>
            </w:pPr>
          </w:p>
        </w:tc>
        <w:tc>
          <w:tcPr>
            <w:tcW w:w="1479" w:type="dxa"/>
          </w:tcPr>
          <w:p w:rsidR="00D16F12" w:rsidRDefault="00D16F12" w:rsidP="00D9572D"/>
        </w:tc>
      </w:tr>
      <w:tr w:rsidR="00D16F12" w:rsidTr="00F90E20">
        <w:tc>
          <w:tcPr>
            <w:tcW w:w="534" w:type="dxa"/>
          </w:tcPr>
          <w:p w:rsidR="00D16F12" w:rsidRPr="00F90E20" w:rsidRDefault="00D16F12" w:rsidP="00944811">
            <w:pPr>
              <w:rPr>
                <w:b/>
              </w:rPr>
            </w:pPr>
            <w:r>
              <w:rPr>
                <w:b/>
              </w:rPr>
              <w:t>6</w:t>
            </w:r>
          </w:p>
        </w:tc>
        <w:tc>
          <w:tcPr>
            <w:tcW w:w="567" w:type="dxa"/>
          </w:tcPr>
          <w:p w:rsidR="00D16F12" w:rsidRPr="00F90E20" w:rsidRDefault="00D16F12" w:rsidP="00F90E20">
            <w:pPr>
              <w:rPr>
                <w:b/>
              </w:rPr>
            </w:pPr>
          </w:p>
        </w:tc>
        <w:tc>
          <w:tcPr>
            <w:tcW w:w="6662" w:type="dxa"/>
          </w:tcPr>
          <w:p w:rsidR="00D16F12" w:rsidRPr="00F90E20" w:rsidRDefault="00D16F12" w:rsidP="00F90E20">
            <w:pPr>
              <w:rPr>
                <w:b/>
              </w:rPr>
            </w:pPr>
            <w:r>
              <w:rPr>
                <w:b/>
              </w:rPr>
              <w:t>Other updates</w:t>
            </w:r>
          </w:p>
        </w:tc>
        <w:tc>
          <w:tcPr>
            <w:tcW w:w="1479" w:type="dxa"/>
          </w:tcPr>
          <w:p w:rsidR="00D16F12" w:rsidRDefault="00D16F12" w:rsidP="00F90E20"/>
        </w:tc>
      </w:tr>
      <w:tr w:rsidR="00D16F12" w:rsidTr="00F90E20">
        <w:tc>
          <w:tcPr>
            <w:tcW w:w="534" w:type="dxa"/>
          </w:tcPr>
          <w:p w:rsidR="00D16F12" w:rsidRDefault="00D16F12" w:rsidP="00944811">
            <w:pPr>
              <w:rPr>
                <w:b/>
              </w:rPr>
            </w:pPr>
          </w:p>
        </w:tc>
        <w:tc>
          <w:tcPr>
            <w:tcW w:w="567" w:type="dxa"/>
          </w:tcPr>
          <w:p w:rsidR="00D16F12" w:rsidRPr="00F90E20" w:rsidRDefault="00D16F12" w:rsidP="00F90E20">
            <w:pPr>
              <w:rPr>
                <w:b/>
              </w:rPr>
            </w:pPr>
          </w:p>
        </w:tc>
        <w:tc>
          <w:tcPr>
            <w:tcW w:w="6662" w:type="dxa"/>
          </w:tcPr>
          <w:p w:rsidR="00D16F12" w:rsidRDefault="00D16F12" w:rsidP="00F90E20">
            <w:pPr>
              <w:rPr>
                <w:b/>
              </w:rPr>
            </w:pPr>
          </w:p>
        </w:tc>
        <w:tc>
          <w:tcPr>
            <w:tcW w:w="1479" w:type="dxa"/>
          </w:tcPr>
          <w:p w:rsidR="00D16F12" w:rsidRDefault="00D16F12" w:rsidP="00F90E20"/>
        </w:tc>
      </w:tr>
      <w:tr w:rsidR="00D16F12" w:rsidTr="00F90E20">
        <w:tc>
          <w:tcPr>
            <w:tcW w:w="534" w:type="dxa"/>
          </w:tcPr>
          <w:p w:rsidR="00D16F12" w:rsidRDefault="00D16F12" w:rsidP="00F90E20">
            <w:r>
              <w:t>6.1</w:t>
            </w:r>
          </w:p>
        </w:tc>
        <w:tc>
          <w:tcPr>
            <w:tcW w:w="567" w:type="dxa"/>
          </w:tcPr>
          <w:p w:rsidR="00D16F12" w:rsidRDefault="00D16F12" w:rsidP="00F90E20"/>
        </w:tc>
        <w:tc>
          <w:tcPr>
            <w:tcW w:w="6662" w:type="dxa"/>
          </w:tcPr>
          <w:p w:rsidR="00D16F12" w:rsidRPr="006F774E" w:rsidRDefault="00D16F12" w:rsidP="00563A7E">
            <w:pPr>
              <w:pStyle w:val="PlainText"/>
              <w:rPr>
                <w:u w:val="single"/>
              </w:rPr>
            </w:pPr>
            <w:r w:rsidRPr="006F774E">
              <w:rPr>
                <w:u w:val="single"/>
              </w:rPr>
              <w:t>UCEA</w:t>
            </w:r>
            <w:r w:rsidR="00DF3931">
              <w:rPr>
                <w:u w:val="single"/>
              </w:rPr>
              <w:t xml:space="preserve"> Case study on gender pay gaps</w:t>
            </w:r>
          </w:p>
        </w:tc>
        <w:tc>
          <w:tcPr>
            <w:tcW w:w="1479" w:type="dxa"/>
          </w:tcPr>
          <w:p w:rsidR="00D16F12" w:rsidRPr="00B42655" w:rsidRDefault="00D16F12" w:rsidP="00F90E20"/>
        </w:tc>
      </w:tr>
      <w:tr w:rsidR="00D16F12" w:rsidTr="00F90E20">
        <w:tc>
          <w:tcPr>
            <w:tcW w:w="534" w:type="dxa"/>
          </w:tcPr>
          <w:p w:rsidR="00D16F12" w:rsidRDefault="00D16F12" w:rsidP="00F90E20"/>
        </w:tc>
        <w:tc>
          <w:tcPr>
            <w:tcW w:w="567" w:type="dxa"/>
          </w:tcPr>
          <w:p w:rsidR="00D16F12" w:rsidRDefault="00D16F12" w:rsidP="00F90E20"/>
        </w:tc>
        <w:tc>
          <w:tcPr>
            <w:tcW w:w="6662" w:type="dxa"/>
          </w:tcPr>
          <w:p w:rsidR="00D16F12" w:rsidRDefault="00D16F12" w:rsidP="004979DD">
            <w:pPr>
              <w:pStyle w:val="PlainText"/>
            </w:pPr>
            <w:r>
              <w:t xml:space="preserve">AM </w:t>
            </w:r>
            <w:r w:rsidR="004979DD">
              <w:t xml:space="preserve">highlighted </w:t>
            </w:r>
            <w:r>
              <w:t>Manchester's recent participation in a gender pay case study which involved a researcher coming from UCEA and interviewing James Thompson, Philippa Browning</w:t>
            </w:r>
            <w:r w:rsidR="00DF3931">
              <w:t xml:space="preserve"> from UCU</w:t>
            </w:r>
            <w:r>
              <w:t xml:space="preserve">, Patrick Johnson and AM with CF providing her responses in written form.  </w:t>
            </w:r>
            <w:r w:rsidR="00DF3931">
              <w:t xml:space="preserve"> Following an approach by </w:t>
            </w:r>
            <w:r>
              <w:t>UCEA</w:t>
            </w:r>
            <w:r w:rsidR="00DF3931">
              <w:t xml:space="preserve">, AM has agreed </w:t>
            </w:r>
            <w:r>
              <w:t xml:space="preserve"> to </w:t>
            </w:r>
            <w:r w:rsidR="00DF3931">
              <w:t xml:space="preserve">present to the </w:t>
            </w:r>
            <w:r>
              <w:t xml:space="preserve">Trade Unions </w:t>
            </w:r>
            <w:r w:rsidR="00DF3931">
              <w:t>at an event in March,</w:t>
            </w:r>
            <w:r>
              <w:t xml:space="preserve"> as </w:t>
            </w:r>
            <w:r w:rsidR="00DF3931">
              <w:t xml:space="preserve">UCEA are </w:t>
            </w:r>
            <w:r>
              <w:t xml:space="preserve">impressed by the way we are approaching the </w:t>
            </w:r>
            <w:r w:rsidR="00DF3931">
              <w:t>issues.</w:t>
            </w:r>
          </w:p>
        </w:tc>
        <w:tc>
          <w:tcPr>
            <w:tcW w:w="1479" w:type="dxa"/>
          </w:tcPr>
          <w:p w:rsidR="00D16F12" w:rsidRPr="00B42655" w:rsidRDefault="00D16F12" w:rsidP="00F90E20"/>
        </w:tc>
      </w:tr>
      <w:tr w:rsidR="00D16F12" w:rsidTr="00F90E20">
        <w:tc>
          <w:tcPr>
            <w:tcW w:w="534" w:type="dxa"/>
          </w:tcPr>
          <w:p w:rsidR="00D16F12" w:rsidRDefault="00D16F12" w:rsidP="00F90E20"/>
        </w:tc>
        <w:tc>
          <w:tcPr>
            <w:tcW w:w="567" w:type="dxa"/>
          </w:tcPr>
          <w:p w:rsidR="00D16F12" w:rsidRDefault="00D16F12" w:rsidP="00F90E20"/>
        </w:tc>
        <w:tc>
          <w:tcPr>
            <w:tcW w:w="6662" w:type="dxa"/>
          </w:tcPr>
          <w:p w:rsidR="00D16F12" w:rsidRDefault="00D16F12" w:rsidP="00D9572D">
            <w:pPr>
              <w:pStyle w:val="PlainText"/>
            </w:pPr>
          </w:p>
        </w:tc>
        <w:tc>
          <w:tcPr>
            <w:tcW w:w="1479" w:type="dxa"/>
          </w:tcPr>
          <w:p w:rsidR="00D16F12" w:rsidRPr="00B42655" w:rsidRDefault="00D16F12" w:rsidP="00F90E20"/>
        </w:tc>
      </w:tr>
      <w:tr w:rsidR="00D16F12" w:rsidTr="00F90E20">
        <w:tc>
          <w:tcPr>
            <w:tcW w:w="534" w:type="dxa"/>
          </w:tcPr>
          <w:p w:rsidR="00D16F12" w:rsidRDefault="00D16F12" w:rsidP="00F90E20">
            <w:r>
              <w:t>6.2</w:t>
            </w:r>
          </w:p>
        </w:tc>
        <w:tc>
          <w:tcPr>
            <w:tcW w:w="567" w:type="dxa"/>
          </w:tcPr>
          <w:p w:rsidR="00D16F12" w:rsidRDefault="00D16F12" w:rsidP="00F90E20"/>
        </w:tc>
        <w:tc>
          <w:tcPr>
            <w:tcW w:w="6662" w:type="dxa"/>
          </w:tcPr>
          <w:p w:rsidR="00D16F12" w:rsidRPr="00DF3931" w:rsidRDefault="00DF3931" w:rsidP="00314D63">
            <w:pPr>
              <w:pStyle w:val="PlainText"/>
              <w:rPr>
                <w:u w:val="single"/>
              </w:rPr>
            </w:pPr>
            <w:r>
              <w:rPr>
                <w:u w:val="single"/>
              </w:rPr>
              <w:t xml:space="preserve">UCEA </w:t>
            </w:r>
            <w:r w:rsidRPr="00DF3931">
              <w:rPr>
                <w:u w:val="single"/>
              </w:rPr>
              <w:t>Gender equality charter mark</w:t>
            </w:r>
          </w:p>
        </w:tc>
        <w:tc>
          <w:tcPr>
            <w:tcW w:w="1479" w:type="dxa"/>
          </w:tcPr>
          <w:p w:rsidR="00D16F12" w:rsidRDefault="00D16F12" w:rsidP="00F90E20"/>
        </w:tc>
      </w:tr>
      <w:tr w:rsidR="00D16F12" w:rsidTr="00F90E20">
        <w:tc>
          <w:tcPr>
            <w:tcW w:w="534" w:type="dxa"/>
          </w:tcPr>
          <w:p w:rsidR="00D16F12" w:rsidRDefault="00D16F12" w:rsidP="00F90E20"/>
        </w:tc>
        <w:tc>
          <w:tcPr>
            <w:tcW w:w="567" w:type="dxa"/>
          </w:tcPr>
          <w:p w:rsidR="00D16F12" w:rsidRDefault="00D16F12" w:rsidP="00F90E20"/>
        </w:tc>
        <w:tc>
          <w:tcPr>
            <w:tcW w:w="6662" w:type="dxa"/>
          </w:tcPr>
          <w:p w:rsidR="00D16F12" w:rsidRDefault="004979DD" w:rsidP="004979DD">
            <w:pPr>
              <w:pStyle w:val="PlainText"/>
            </w:pPr>
            <w:r>
              <w:t>CF reported</w:t>
            </w:r>
            <w:r w:rsidR="00DF3931">
              <w:t xml:space="preserve"> </w:t>
            </w:r>
            <w:r w:rsidR="00D16F12">
              <w:t xml:space="preserve">ECU's </w:t>
            </w:r>
            <w:r>
              <w:t xml:space="preserve">decision to extend </w:t>
            </w:r>
            <w:r w:rsidR="00D16F12">
              <w:t>Athena Swan principles</w:t>
            </w:r>
            <w:r>
              <w:t xml:space="preserve"> and awards </w:t>
            </w:r>
            <w:r w:rsidR="00D16F12">
              <w:t xml:space="preserve">into non-STEM areas.  The name of the </w:t>
            </w:r>
            <w:r w:rsidR="00DF3931">
              <w:t xml:space="preserve">award will be announced in April.  </w:t>
            </w:r>
            <w:r w:rsidR="00DF3931" w:rsidRPr="00DF3931">
              <w:t>The charter ma</w:t>
            </w:r>
            <w:r w:rsidR="00DF3931">
              <w:t xml:space="preserve">rk </w:t>
            </w:r>
            <w:r w:rsidR="00DF3931" w:rsidRPr="00DF3931">
              <w:t>will encompass e</w:t>
            </w:r>
            <w:r>
              <w:t>quality for men and trans-</w:t>
            </w:r>
            <w:r w:rsidR="00DF3931" w:rsidRPr="00DF3931">
              <w:t xml:space="preserve">staff as well as women, professional and support staff, honorary staff and those on </w:t>
            </w:r>
            <w:r w:rsidR="00DF3931">
              <w:t>“</w:t>
            </w:r>
            <w:r w:rsidR="00DF3931" w:rsidRPr="00DF3931">
              <w:t>atypical</w:t>
            </w:r>
            <w:r w:rsidR="00DF3931">
              <w:t>”</w:t>
            </w:r>
            <w:r w:rsidR="00DF3931" w:rsidRPr="00DF3931">
              <w:t xml:space="preserve"> contracts. </w:t>
            </w:r>
            <w:r w:rsidR="00DF3931">
              <w:t xml:space="preserve"> (</w:t>
            </w:r>
            <w:r w:rsidR="00DF3931" w:rsidRPr="00DF3931">
              <w:t>Athena SWAN will be extended to cover these areas</w:t>
            </w:r>
            <w:r w:rsidR="00DF3931">
              <w:t>)</w:t>
            </w:r>
            <w:r w:rsidR="00DF3931" w:rsidRPr="00DF3931">
              <w:t>.</w:t>
            </w:r>
            <w:r w:rsidR="00DF3931">
              <w:t xml:space="preserve">   It was noted that the work to date should leave Schools in Humanities well placed to apply for the award.</w:t>
            </w:r>
          </w:p>
        </w:tc>
        <w:tc>
          <w:tcPr>
            <w:tcW w:w="1479" w:type="dxa"/>
          </w:tcPr>
          <w:p w:rsidR="00D16F12" w:rsidRDefault="00D16F12" w:rsidP="00F90E20"/>
        </w:tc>
      </w:tr>
      <w:tr w:rsidR="00D16F12" w:rsidTr="00F90E20">
        <w:tc>
          <w:tcPr>
            <w:tcW w:w="534" w:type="dxa"/>
          </w:tcPr>
          <w:p w:rsidR="00D16F12" w:rsidRDefault="00D16F12" w:rsidP="00F90E20"/>
        </w:tc>
        <w:tc>
          <w:tcPr>
            <w:tcW w:w="567" w:type="dxa"/>
          </w:tcPr>
          <w:p w:rsidR="00D16F12" w:rsidRDefault="00D16F12" w:rsidP="00F90E20"/>
        </w:tc>
        <w:tc>
          <w:tcPr>
            <w:tcW w:w="6662" w:type="dxa"/>
          </w:tcPr>
          <w:p w:rsidR="00D16F12" w:rsidRDefault="00D16F12" w:rsidP="00314D63">
            <w:pPr>
              <w:pStyle w:val="PlainText"/>
            </w:pPr>
          </w:p>
        </w:tc>
        <w:tc>
          <w:tcPr>
            <w:tcW w:w="1479" w:type="dxa"/>
          </w:tcPr>
          <w:p w:rsidR="00D16F12" w:rsidRDefault="00D16F12" w:rsidP="00F90E20"/>
        </w:tc>
      </w:tr>
      <w:tr w:rsidR="00D16F12" w:rsidTr="00F90E20">
        <w:tc>
          <w:tcPr>
            <w:tcW w:w="534" w:type="dxa"/>
          </w:tcPr>
          <w:p w:rsidR="00D16F12" w:rsidRPr="00253E95" w:rsidRDefault="00D16F12" w:rsidP="00944811">
            <w:pPr>
              <w:rPr>
                <w:b/>
              </w:rPr>
            </w:pPr>
            <w:r>
              <w:rPr>
                <w:b/>
              </w:rPr>
              <w:t>7</w:t>
            </w:r>
          </w:p>
        </w:tc>
        <w:tc>
          <w:tcPr>
            <w:tcW w:w="567" w:type="dxa"/>
          </w:tcPr>
          <w:p w:rsidR="00D16F12" w:rsidRPr="006F392E" w:rsidRDefault="00D16F12" w:rsidP="00F90E20"/>
        </w:tc>
        <w:tc>
          <w:tcPr>
            <w:tcW w:w="6662" w:type="dxa"/>
          </w:tcPr>
          <w:p w:rsidR="00D16F12" w:rsidRPr="00072B8B" w:rsidRDefault="00072B8B" w:rsidP="00C65209">
            <w:pPr>
              <w:rPr>
                <w:b/>
              </w:rPr>
            </w:pPr>
            <w:r w:rsidRPr="00072B8B">
              <w:rPr>
                <w:b/>
              </w:rPr>
              <w:t>BSI/CIPD Code of Practice</w:t>
            </w:r>
          </w:p>
        </w:tc>
        <w:tc>
          <w:tcPr>
            <w:tcW w:w="1479" w:type="dxa"/>
          </w:tcPr>
          <w:p w:rsidR="00D16F12" w:rsidRDefault="00D16F12" w:rsidP="00005877"/>
        </w:tc>
      </w:tr>
      <w:tr w:rsidR="00D16F12" w:rsidTr="00F90E20">
        <w:tc>
          <w:tcPr>
            <w:tcW w:w="534" w:type="dxa"/>
          </w:tcPr>
          <w:p w:rsidR="00D16F12" w:rsidRDefault="00D16F12" w:rsidP="00F90E20">
            <w:pPr>
              <w:rPr>
                <w:b/>
              </w:rPr>
            </w:pPr>
          </w:p>
        </w:tc>
        <w:tc>
          <w:tcPr>
            <w:tcW w:w="567" w:type="dxa"/>
          </w:tcPr>
          <w:p w:rsidR="00D16F12" w:rsidRPr="006F392E" w:rsidRDefault="00D16F12" w:rsidP="00F90E20"/>
        </w:tc>
        <w:tc>
          <w:tcPr>
            <w:tcW w:w="6662" w:type="dxa"/>
          </w:tcPr>
          <w:p w:rsidR="00D16F12" w:rsidRPr="00CE7C5B" w:rsidRDefault="00D16F12" w:rsidP="004979DD">
            <w:r w:rsidRPr="00CE7C5B">
              <w:t xml:space="preserve">HH informed the meeting that the British Standard Institute </w:t>
            </w:r>
            <w:r w:rsidR="00DF3931">
              <w:t xml:space="preserve">(BSI) </w:t>
            </w:r>
            <w:r w:rsidR="00AD0F0B" w:rsidRPr="00CE7C5B">
              <w:t>is</w:t>
            </w:r>
            <w:r w:rsidRPr="00CE7C5B">
              <w:t xml:space="preserve"> developing a Code of Practice </w:t>
            </w:r>
            <w:r w:rsidR="00DF3931">
              <w:t xml:space="preserve">with the Chartered Institute of Personnel and Development (CIPD) </w:t>
            </w:r>
            <w:r w:rsidRPr="00CE7C5B">
              <w:t xml:space="preserve">to </w:t>
            </w:r>
            <w:r w:rsidR="00DF3931">
              <w:t>cover diversity and social i</w:t>
            </w:r>
            <w:r w:rsidRPr="00CE7C5B">
              <w:t>nclusion.  The standards will be over and above the statutory standards and organisations will be able to apply for</w:t>
            </w:r>
            <w:r w:rsidR="00DF3931">
              <w:t xml:space="preserve"> accreditation</w:t>
            </w:r>
            <w:r w:rsidRPr="00CE7C5B">
              <w:t xml:space="preserve">.  </w:t>
            </w:r>
            <w:r>
              <w:t xml:space="preserve">HH </w:t>
            </w:r>
            <w:r w:rsidR="00072B8B">
              <w:t xml:space="preserve">noted that the BSI/CIPD </w:t>
            </w:r>
            <w:r>
              <w:t xml:space="preserve">would like to use Manchester as a </w:t>
            </w:r>
            <w:r w:rsidR="00072B8B">
              <w:t xml:space="preserve">possible </w:t>
            </w:r>
            <w:r>
              <w:t xml:space="preserve">pilot.  </w:t>
            </w:r>
          </w:p>
        </w:tc>
        <w:tc>
          <w:tcPr>
            <w:tcW w:w="1479" w:type="dxa"/>
          </w:tcPr>
          <w:p w:rsidR="00D16F12" w:rsidRDefault="00D16F12" w:rsidP="00DF3931"/>
        </w:tc>
      </w:tr>
      <w:tr w:rsidR="00D16F12" w:rsidTr="00F90E20">
        <w:tc>
          <w:tcPr>
            <w:tcW w:w="534" w:type="dxa"/>
          </w:tcPr>
          <w:p w:rsidR="00D16F12" w:rsidRDefault="00D16F12" w:rsidP="00F90E20">
            <w:pPr>
              <w:rPr>
                <w:b/>
              </w:rPr>
            </w:pPr>
          </w:p>
        </w:tc>
        <w:tc>
          <w:tcPr>
            <w:tcW w:w="567" w:type="dxa"/>
          </w:tcPr>
          <w:p w:rsidR="00D16F12" w:rsidRPr="006F392E" w:rsidRDefault="00D16F12" w:rsidP="00F90E20"/>
        </w:tc>
        <w:tc>
          <w:tcPr>
            <w:tcW w:w="6662" w:type="dxa"/>
          </w:tcPr>
          <w:p w:rsidR="00D16F12" w:rsidRPr="00CE7C5B" w:rsidRDefault="00D16F12" w:rsidP="002C4F97"/>
        </w:tc>
        <w:tc>
          <w:tcPr>
            <w:tcW w:w="1479" w:type="dxa"/>
          </w:tcPr>
          <w:p w:rsidR="00D16F12" w:rsidRDefault="00D16F12" w:rsidP="00DF3931"/>
        </w:tc>
      </w:tr>
      <w:tr w:rsidR="00D16F12" w:rsidTr="00F90E20">
        <w:tc>
          <w:tcPr>
            <w:tcW w:w="534" w:type="dxa"/>
          </w:tcPr>
          <w:p w:rsidR="00D16F12" w:rsidRDefault="00D16F12" w:rsidP="00F90E20">
            <w:pPr>
              <w:rPr>
                <w:b/>
              </w:rPr>
            </w:pPr>
            <w:r>
              <w:rPr>
                <w:b/>
              </w:rPr>
              <w:t>8</w:t>
            </w:r>
          </w:p>
        </w:tc>
        <w:tc>
          <w:tcPr>
            <w:tcW w:w="567" w:type="dxa"/>
          </w:tcPr>
          <w:p w:rsidR="00D16F12" w:rsidRPr="006F392E" w:rsidRDefault="00D16F12" w:rsidP="00F90E20"/>
        </w:tc>
        <w:tc>
          <w:tcPr>
            <w:tcW w:w="6662" w:type="dxa"/>
          </w:tcPr>
          <w:p w:rsidR="00D16F12" w:rsidRPr="00253E95" w:rsidRDefault="00D16F12" w:rsidP="00D97665">
            <w:pPr>
              <w:rPr>
                <w:b/>
              </w:rPr>
            </w:pPr>
            <w:r>
              <w:rPr>
                <w:b/>
              </w:rPr>
              <w:t>Induction booklet</w:t>
            </w:r>
          </w:p>
        </w:tc>
        <w:tc>
          <w:tcPr>
            <w:tcW w:w="1479" w:type="dxa"/>
          </w:tcPr>
          <w:p w:rsidR="00D16F12" w:rsidRDefault="00D16F12" w:rsidP="00DF3931"/>
        </w:tc>
      </w:tr>
      <w:tr w:rsidR="00D16F12" w:rsidTr="00F90E20">
        <w:tc>
          <w:tcPr>
            <w:tcW w:w="534" w:type="dxa"/>
          </w:tcPr>
          <w:p w:rsidR="00D16F12" w:rsidRDefault="00D16F12" w:rsidP="00F90E20">
            <w:pPr>
              <w:rPr>
                <w:b/>
              </w:rPr>
            </w:pPr>
          </w:p>
        </w:tc>
        <w:tc>
          <w:tcPr>
            <w:tcW w:w="567" w:type="dxa"/>
          </w:tcPr>
          <w:p w:rsidR="00D16F12" w:rsidRPr="006F392E" w:rsidRDefault="00D16F12" w:rsidP="00F90E20"/>
        </w:tc>
        <w:tc>
          <w:tcPr>
            <w:tcW w:w="6662" w:type="dxa"/>
          </w:tcPr>
          <w:p w:rsidR="00D16F12" w:rsidRPr="00253E95" w:rsidRDefault="00D16F12" w:rsidP="00072B8B">
            <w:pPr>
              <w:rPr>
                <w:b/>
              </w:rPr>
            </w:pPr>
            <w:r>
              <w:t xml:space="preserve">The </w:t>
            </w:r>
            <w:r w:rsidR="00072B8B">
              <w:t>n</w:t>
            </w:r>
            <w:r>
              <w:t xml:space="preserve">ew </w:t>
            </w:r>
            <w:r w:rsidR="00072B8B">
              <w:t>s</w:t>
            </w:r>
            <w:r>
              <w:t>tarters</w:t>
            </w:r>
            <w:r w:rsidR="004979DD">
              <w:t>’</w:t>
            </w:r>
            <w:r>
              <w:t xml:space="preserve"> induction booklet was </w:t>
            </w:r>
            <w:r w:rsidR="00072B8B">
              <w:t xml:space="preserve">tabled to illustrate the high profile given to equality and diversity matters.   WG members were </w:t>
            </w:r>
            <w:r>
              <w:t>impressed by the content as it demonstrates organisational commitment and presence.  CF stated t</w:t>
            </w:r>
            <w:r w:rsidR="00072B8B">
              <w:t xml:space="preserve">hat it would be useful for all WG </w:t>
            </w:r>
            <w:r w:rsidR="00072B8B">
              <w:lastRenderedPageBreak/>
              <w:t>members</w:t>
            </w:r>
            <w:r>
              <w:t xml:space="preserve"> to have sight of the information as</w:t>
            </w:r>
            <w:r w:rsidR="00072B8B">
              <w:t xml:space="preserve"> colleagues are unlikely to have seen it before</w:t>
            </w:r>
            <w:r>
              <w:t>.  NTV to send a link to the induction booklet</w:t>
            </w:r>
            <w:r w:rsidR="00492B43">
              <w:t xml:space="preserve">. </w:t>
            </w:r>
            <w:r w:rsidR="00492B43" w:rsidRPr="00492B43">
              <w:t>http://documents.manchester.ac.uk/display.aspx?DocID=21130</w:t>
            </w:r>
          </w:p>
        </w:tc>
        <w:tc>
          <w:tcPr>
            <w:tcW w:w="1479" w:type="dxa"/>
          </w:tcPr>
          <w:p w:rsidR="00D16F12" w:rsidRDefault="00072B8B" w:rsidP="00DF3931">
            <w:r w:rsidRPr="00072B8B">
              <w:rPr>
                <w:b/>
              </w:rPr>
              <w:lastRenderedPageBreak/>
              <w:t>Action:</w:t>
            </w:r>
            <w:r>
              <w:t xml:space="preserve"> NTV</w:t>
            </w:r>
          </w:p>
        </w:tc>
      </w:tr>
      <w:tr w:rsidR="00D16F12" w:rsidTr="00F90E20">
        <w:tc>
          <w:tcPr>
            <w:tcW w:w="534" w:type="dxa"/>
          </w:tcPr>
          <w:p w:rsidR="00D16F12" w:rsidRDefault="00D16F12" w:rsidP="00F90E20">
            <w:pPr>
              <w:rPr>
                <w:b/>
              </w:rPr>
            </w:pPr>
          </w:p>
        </w:tc>
        <w:tc>
          <w:tcPr>
            <w:tcW w:w="567" w:type="dxa"/>
          </w:tcPr>
          <w:p w:rsidR="00D16F12" w:rsidRPr="006F392E" w:rsidRDefault="00D16F12" w:rsidP="00F90E20"/>
        </w:tc>
        <w:tc>
          <w:tcPr>
            <w:tcW w:w="6662" w:type="dxa"/>
          </w:tcPr>
          <w:p w:rsidR="00D16F12" w:rsidRDefault="00D16F12" w:rsidP="00D97665"/>
        </w:tc>
        <w:tc>
          <w:tcPr>
            <w:tcW w:w="1479" w:type="dxa"/>
          </w:tcPr>
          <w:p w:rsidR="00D16F12" w:rsidRDefault="00D16F12" w:rsidP="00DF3931"/>
        </w:tc>
      </w:tr>
      <w:tr w:rsidR="00D16F12" w:rsidTr="00F90E20">
        <w:tc>
          <w:tcPr>
            <w:tcW w:w="534" w:type="dxa"/>
          </w:tcPr>
          <w:p w:rsidR="00D16F12" w:rsidRDefault="00D16F12" w:rsidP="00F90E20">
            <w:pPr>
              <w:rPr>
                <w:b/>
              </w:rPr>
            </w:pPr>
            <w:r>
              <w:rPr>
                <w:b/>
              </w:rPr>
              <w:t>9</w:t>
            </w:r>
          </w:p>
        </w:tc>
        <w:tc>
          <w:tcPr>
            <w:tcW w:w="567" w:type="dxa"/>
          </w:tcPr>
          <w:p w:rsidR="00D16F12" w:rsidRPr="006F392E" w:rsidRDefault="00D16F12" w:rsidP="00F90E20"/>
        </w:tc>
        <w:tc>
          <w:tcPr>
            <w:tcW w:w="6662" w:type="dxa"/>
          </w:tcPr>
          <w:p w:rsidR="00D16F12" w:rsidRPr="00253E95" w:rsidRDefault="00D16F12" w:rsidP="00D97665">
            <w:pPr>
              <w:rPr>
                <w:b/>
              </w:rPr>
            </w:pPr>
            <w:r>
              <w:rPr>
                <w:b/>
              </w:rPr>
              <w:t>Date of the next meeting</w:t>
            </w:r>
          </w:p>
        </w:tc>
        <w:tc>
          <w:tcPr>
            <w:tcW w:w="1479" w:type="dxa"/>
          </w:tcPr>
          <w:p w:rsidR="00D16F12" w:rsidRDefault="00D16F12" w:rsidP="00DF3931"/>
        </w:tc>
      </w:tr>
      <w:tr w:rsidR="00D16F12" w:rsidTr="00F90E20">
        <w:tc>
          <w:tcPr>
            <w:tcW w:w="534" w:type="dxa"/>
          </w:tcPr>
          <w:p w:rsidR="00D16F12" w:rsidRDefault="00D16F12" w:rsidP="00F90E20">
            <w:pPr>
              <w:rPr>
                <w:b/>
              </w:rPr>
            </w:pPr>
          </w:p>
        </w:tc>
        <w:tc>
          <w:tcPr>
            <w:tcW w:w="567" w:type="dxa"/>
          </w:tcPr>
          <w:p w:rsidR="00D16F12" w:rsidRPr="006F392E" w:rsidRDefault="00D16F12" w:rsidP="00F90E20"/>
        </w:tc>
        <w:tc>
          <w:tcPr>
            <w:tcW w:w="6662" w:type="dxa"/>
          </w:tcPr>
          <w:p w:rsidR="00D16F12" w:rsidRPr="00D9572D" w:rsidRDefault="00D16F12" w:rsidP="00D9572D">
            <w:pPr>
              <w:pStyle w:val="PlainText"/>
            </w:pPr>
            <w:r>
              <w:t>NTV to send a Doodle poll request</w:t>
            </w:r>
            <w:r w:rsidR="004979DD">
              <w:t xml:space="preserve"> in order to arrange a meeting in May 2015</w:t>
            </w:r>
            <w:r>
              <w:t xml:space="preserve">.                                                                           </w:t>
            </w:r>
          </w:p>
        </w:tc>
        <w:tc>
          <w:tcPr>
            <w:tcW w:w="1479" w:type="dxa"/>
          </w:tcPr>
          <w:p w:rsidR="00D16F12" w:rsidRDefault="00D16F12" w:rsidP="00DF3931">
            <w:r w:rsidRPr="006D7895">
              <w:rPr>
                <w:b/>
              </w:rPr>
              <w:t>Action:</w:t>
            </w:r>
            <w:r>
              <w:t xml:space="preserve">  NTV</w:t>
            </w:r>
          </w:p>
        </w:tc>
      </w:tr>
    </w:tbl>
    <w:p w:rsidR="00F90E20" w:rsidRDefault="00F90E20" w:rsidP="001F71C7"/>
    <w:sectPr w:rsidR="00F90E2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F6" w:rsidRDefault="00F574F6" w:rsidP="009A0559">
      <w:pPr>
        <w:spacing w:after="0" w:line="240" w:lineRule="auto"/>
      </w:pPr>
      <w:r>
        <w:separator/>
      </w:r>
    </w:p>
  </w:endnote>
  <w:endnote w:type="continuationSeparator" w:id="0">
    <w:p w:rsidR="00F574F6" w:rsidRDefault="00F574F6" w:rsidP="009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426923"/>
      <w:docPartObj>
        <w:docPartGallery w:val="Page Numbers (Bottom of Page)"/>
        <w:docPartUnique/>
      </w:docPartObj>
    </w:sdtPr>
    <w:sdtEndPr/>
    <w:sdtContent>
      <w:sdt>
        <w:sdtPr>
          <w:id w:val="-1669238322"/>
          <w:docPartObj>
            <w:docPartGallery w:val="Page Numbers (Top of Page)"/>
            <w:docPartUnique/>
          </w:docPartObj>
        </w:sdtPr>
        <w:sdtEndPr/>
        <w:sdtContent>
          <w:p w:rsidR="00DF3931" w:rsidRDefault="00DF39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3C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CB4">
              <w:rPr>
                <w:b/>
                <w:bCs/>
                <w:noProof/>
              </w:rPr>
              <w:t>6</w:t>
            </w:r>
            <w:r>
              <w:rPr>
                <w:b/>
                <w:bCs/>
                <w:sz w:val="24"/>
                <w:szCs w:val="24"/>
              </w:rPr>
              <w:fldChar w:fldCharType="end"/>
            </w:r>
          </w:p>
        </w:sdtContent>
      </w:sdt>
    </w:sdtContent>
  </w:sdt>
  <w:p w:rsidR="00DF3931" w:rsidRDefault="00DF3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F6" w:rsidRDefault="00F574F6" w:rsidP="009A0559">
      <w:pPr>
        <w:spacing w:after="0" w:line="240" w:lineRule="auto"/>
      </w:pPr>
      <w:r>
        <w:separator/>
      </w:r>
    </w:p>
  </w:footnote>
  <w:footnote w:type="continuationSeparator" w:id="0">
    <w:p w:rsidR="00F574F6" w:rsidRDefault="00F574F6" w:rsidP="009A0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7C6"/>
    <w:multiLevelType w:val="hybridMultilevel"/>
    <w:tmpl w:val="66E86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A805C8"/>
    <w:multiLevelType w:val="hybridMultilevel"/>
    <w:tmpl w:val="15302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007753"/>
    <w:multiLevelType w:val="hybridMultilevel"/>
    <w:tmpl w:val="FE64D58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5741BF"/>
    <w:multiLevelType w:val="hybridMultilevel"/>
    <w:tmpl w:val="A73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A0A13"/>
    <w:multiLevelType w:val="hybridMultilevel"/>
    <w:tmpl w:val="38462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9C037A"/>
    <w:multiLevelType w:val="hybridMultilevel"/>
    <w:tmpl w:val="FFA86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1445C2"/>
    <w:multiLevelType w:val="hybridMultilevel"/>
    <w:tmpl w:val="720821E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7">
    <w:nsid w:val="535B0712"/>
    <w:multiLevelType w:val="hybridMultilevel"/>
    <w:tmpl w:val="EF063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5F315A2"/>
    <w:multiLevelType w:val="hybridMultilevel"/>
    <w:tmpl w:val="5E0A3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7CF6B98"/>
    <w:multiLevelType w:val="hybridMultilevel"/>
    <w:tmpl w:val="FB8A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8D5426"/>
    <w:multiLevelType w:val="hybridMultilevel"/>
    <w:tmpl w:val="0868C000"/>
    <w:lvl w:ilvl="0" w:tplc="08090001">
      <w:start w:val="1"/>
      <w:numFmt w:val="bullet"/>
      <w:lvlText w:val=""/>
      <w:lvlJc w:val="left"/>
      <w:pPr>
        <w:ind w:left="393" w:hanging="360"/>
      </w:pPr>
      <w:rPr>
        <w:rFonts w:ascii="Symbol" w:hAnsi="Symbol" w:hint="default"/>
      </w:rPr>
    </w:lvl>
    <w:lvl w:ilvl="1" w:tplc="08090003">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1">
    <w:nsid w:val="691342EA"/>
    <w:multiLevelType w:val="hybridMultilevel"/>
    <w:tmpl w:val="8D52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513E4F"/>
    <w:multiLevelType w:val="hybridMultilevel"/>
    <w:tmpl w:val="270C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B95627"/>
    <w:multiLevelType w:val="hybridMultilevel"/>
    <w:tmpl w:val="A5460E0C"/>
    <w:lvl w:ilvl="0" w:tplc="0809000B">
      <w:start w:val="1"/>
      <w:numFmt w:val="bullet"/>
      <w:lvlText w:val=""/>
      <w:lvlJc w:val="left"/>
      <w:pPr>
        <w:ind w:left="393" w:hanging="360"/>
      </w:pPr>
      <w:rPr>
        <w:rFonts w:ascii="Wingdings" w:hAnsi="Wingdings"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4">
    <w:nsid w:val="6EAE65F9"/>
    <w:multiLevelType w:val="hybridMultilevel"/>
    <w:tmpl w:val="F4A63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515B7D"/>
    <w:multiLevelType w:val="hybridMultilevel"/>
    <w:tmpl w:val="0FDE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C50647D"/>
    <w:multiLevelType w:val="hybridMultilevel"/>
    <w:tmpl w:val="D14C063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num w:numId="1">
    <w:abstractNumId w:val="0"/>
  </w:num>
  <w:num w:numId="2">
    <w:abstractNumId w:val="15"/>
  </w:num>
  <w:num w:numId="3">
    <w:abstractNumId w:val="1"/>
  </w:num>
  <w:num w:numId="4">
    <w:abstractNumId w:val="12"/>
  </w:num>
  <w:num w:numId="5">
    <w:abstractNumId w:val="14"/>
  </w:num>
  <w:num w:numId="6">
    <w:abstractNumId w:val="2"/>
  </w:num>
  <w:num w:numId="7">
    <w:abstractNumId w:val="16"/>
  </w:num>
  <w:num w:numId="8">
    <w:abstractNumId w:val="6"/>
  </w:num>
  <w:num w:numId="9">
    <w:abstractNumId w:val="13"/>
  </w:num>
  <w:num w:numId="10">
    <w:abstractNumId w:val="10"/>
  </w:num>
  <w:num w:numId="11">
    <w:abstractNumId w:val="8"/>
  </w:num>
  <w:num w:numId="12">
    <w:abstractNumId w:val="7"/>
  </w:num>
  <w:num w:numId="13">
    <w:abstractNumId w:val="5"/>
  </w:num>
  <w:num w:numId="14">
    <w:abstractNumId w:val="9"/>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20"/>
    <w:rsid w:val="00005877"/>
    <w:rsid w:val="00021B4A"/>
    <w:rsid w:val="00031449"/>
    <w:rsid w:val="00034E34"/>
    <w:rsid w:val="000632CA"/>
    <w:rsid w:val="00067093"/>
    <w:rsid w:val="000677F3"/>
    <w:rsid w:val="00072B8B"/>
    <w:rsid w:val="00075C08"/>
    <w:rsid w:val="00080B29"/>
    <w:rsid w:val="00087F54"/>
    <w:rsid w:val="00097AF5"/>
    <w:rsid w:val="000B332F"/>
    <w:rsid w:val="000B5C96"/>
    <w:rsid w:val="000E737E"/>
    <w:rsid w:val="000F1B23"/>
    <w:rsid w:val="001024F4"/>
    <w:rsid w:val="00112A09"/>
    <w:rsid w:val="00146761"/>
    <w:rsid w:val="00152386"/>
    <w:rsid w:val="00192A78"/>
    <w:rsid w:val="001B3401"/>
    <w:rsid w:val="001B526F"/>
    <w:rsid w:val="001C4688"/>
    <w:rsid w:val="001D14CF"/>
    <w:rsid w:val="001D3E18"/>
    <w:rsid w:val="001D4631"/>
    <w:rsid w:val="001E361F"/>
    <w:rsid w:val="001E6085"/>
    <w:rsid w:val="001E6964"/>
    <w:rsid w:val="001F71C7"/>
    <w:rsid w:val="002228E1"/>
    <w:rsid w:val="00253E95"/>
    <w:rsid w:val="00257ECF"/>
    <w:rsid w:val="00276CB0"/>
    <w:rsid w:val="002912C2"/>
    <w:rsid w:val="002A4AC0"/>
    <w:rsid w:val="002C2A04"/>
    <w:rsid w:val="002C4F97"/>
    <w:rsid w:val="002E459A"/>
    <w:rsid w:val="00300114"/>
    <w:rsid w:val="00303B78"/>
    <w:rsid w:val="00314D63"/>
    <w:rsid w:val="003159F5"/>
    <w:rsid w:val="0032329F"/>
    <w:rsid w:val="003328F2"/>
    <w:rsid w:val="0034469A"/>
    <w:rsid w:val="00367E62"/>
    <w:rsid w:val="00373261"/>
    <w:rsid w:val="003A3C82"/>
    <w:rsid w:val="003D6EDA"/>
    <w:rsid w:val="00411624"/>
    <w:rsid w:val="00412996"/>
    <w:rsid w:val="004333FE"/>
    <w:rsid w:val="00460831"/>
    <w:rsid w:val="00472F5D"/>
    <w:rsid w:val="00474CEB"/>
    <w:rsid w:val="00492756"/>
    <w:rsid w:val="00492B43"/>
    <w:rsid w:val="004979DD"/>
    <w:rsid w:val="004B20A1"/>
    <w:rsid w:val="004D5C38"/>
    <w:rsid w:val="004E240E"/>
    <w:rsid w:val="004F7363"/>
    <w:rsid w:val="0052483F"/>
    <w:rsid w:val="00534A01"/>
    <w:rsid w:val="00541138"/>
    <w:rsid w:val="00563A7E"/>
    <w:rsid w:val="005663CF"/>
    <w:rsid w:val="005733F2"/>
    <w:rsid w:val="00577815"/>
    <w:rsid w:val="005923C5"/>
    <w:rsid w:val="00595AF1"/>
    <w:rsid w:val="00596971"/>
    <w:rsid w:val="005A0C49"/>
    <w:rsid w:val="005B75A5"/>
    <w:rsid w:val="005E5A7F"/>
    <w:rsid w:val="005F4583"/>
    <w:rsid w:val="005F713F"/>
    <w:rsid w:val="00617078"/>
    <w:rsid w:val="006211E7"/>
    <w:rsid w:val="0062746D"/>
    <w:rsid w:val="00627546"/>
    <w:rsid w:val="0068427F"/>
    <w:rsid w:val="00691435"/>
    <w:rsid w:val="006D7895"/>
    <w:rsid w:val="006E28FC"/>
    <w:rsid w:val="006F392E"/>
    <w:rsid w:val="006F774E"/>
    <w:rsid w:val="00710883"/>
    <w:rsid w:val="00725CE6"/>
    <w:rsid w:val="00727AD7"/>
    <w:rsid w:val="007439CB"/>
    <w:rsid w:val="00787948"/>
    <w:rsid w:val="00797B49"/>
    <w:rsid w:val="007C104F"/>
    <w:rsid w:val="007E214B"/>
    <w:rsid w:val="007F6945"/>
    <w:rsid w:val="008010FC"/>
    <w:rsid w:val="008033B2"/>
    <w:rsid w:val="00803CB4"/>
    <w:rsid w:val="00804162"/>
    <w:rsid w:val="0081630C"/>
    <w:rsid w:val="00853CD2"/>
    <w:rsid w:val="00866FEC"/>
    <w:rsid w:val="00890572"/>
    <w:rsid w:val="008C24D1"/>
    <w:rsid w:val="008C26C6"/>
    <w:rsid w:val="00944811"/>
    <w:rsid w:val="009449C4"/>
    <w:rsid w:val="009639E0"/>
    <w:rsid w:val="00964ED4"/>
    <w:rsid w:val="00975AE2"/>
    <w:rsid w:val="00975F7D"/>
    <w:rsid w:val="0097642E"/>
    <w:rsid w:val="00992E49"/>
    <w:rsid w:val="00995500"/>
    <w:rsid w:val="009A0559"/>
    <w:rsid w:val="009A7E0F"/>
    <w:rsid w:val="009B7CF3"/>
    <w:rsid w:val="009C4160"/>
    <w:rsid w:val="009D41AB"/>
    <w:rsid w:val="009E0C1F"/>
    <w:rsid w:val="00A37852"/>
    <w:rsid w:val="00A53D40"/>
    <w:rsid w:val="00A953B1"/>
    <w:rsid w:val="00AA26DE"/>
    <w:rsid w:val="00AC39C1"/>
    <w:rsid w:val="00AD0F0B"/>
    <w:rsid w:val="00AD4C3C"/>
    <w:rsid w:val="00AE4C13"/>
    <w:rsid w:val="00AE5E6A"/>
    <w:rsid w:val="00AE6A5A"/>
    <w:rsid w:val="00B1100D"/>
    <w:rsid w:val="00B40C42"/>
    <w:rsid w:val="00B42655"/>
    <w:rsid w:val="00B86C63"/>
    <w:rsid w:val="00B87272"/>
    <w:rsid w:val="00B90EF0"/>
    <w:rsid w:val="00BA3121"/>
    <w:rsid w:val="00BF1D42"/>
    <w:rsid w:val="00C133F2"/>
    <w:rsid w:val="00C26ED0"/>
    <w:rsid w:val="00C344B3"/>
    <w:rsid w:val="00C45318"/>
    <w:rsid w:val="00C65209"/>
    <w:rsid w:val="00CC3F65"/>
    <w:rsid w:val="00CE3E03"/>
    <w:rsid w:val="00CE7C5B"/>
    <w:rsid w:val="00D01F14"/>
    <w:rsid w:val="00D15289"/>
    <w:rsid w:val="00D16F12"/>
    <w:rsid w:val="00D424BC"/>
    <w:rsid w:val="00D51704"/>
    <w:rsid w:val="00D62FA5"/>
    <w:rsid w:val="00D65326"/>
    <w:rsid w:val="00D941CF"/>
    <w:rsid w:val="00D9572D"/>
    <w:rsid w:val="00D97665"/>
    <w:rsid w:val="00DA2ABE"/>
    <w:rsid w:val="00DC16ED"/>
    <w:rsid w:val="00DF3931"/>
    <w:rsid w:val="00E010F7"/>
    <w:rsid w:val="00E10355"/>
    <w:rsid w:val="00E95606"/>
    <w:rsid w:val="00EA6C6F"/>
    <w:rsid w:val="00EB6517"/>
    <w:rsid w:val="00EB7467"/>
    <w:rsid w:val="00EC283B"/>
    <w:rsid w:val="00EC435C"/>
    <w:rsid w:val="00ED0FE3"/>
    <w:rsid w:val="00EF3239"/>
    <w:rsid w:val="00F12ADC"/>
    <w:rsid w:val="00F30874"/>
    <w:rsid w:val="00F574F6"/>
    <w:rsid w:val="00F80B26"/>
    <w:rsid w:val="00F90E20"/>
    <w:rsid w:val="00FA7F60"/>
    <w:rsid w:val="00FB1AF4"/>
    <w:rsid w:val="00FB32F1"/>
    <w:rsid w:val="00FD195A"/>
    <w:rsid w:val="00FE0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0E2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90E20"/>
    <w:rPr>
      <w:rFonts w:ascii="Calibri" w:hAnsi="Calibri" w:cs="Consolas"/>
      <w:szCs w:val="21"/>
    </w:rPr>
  </w:style>
  <w:style w:type="paragraph" w:styleId="ListParagraph">
    <w:name w:val="List Paragraph"/>
    <w:basedOn w:val="Normal"/>
    <w:uiPriority w:val="34"/>
    <w:qFormat/>
    <w:rsid w:val="00B42655"/>
    <w:pPr>
      <w:ind w:left="720"/>
      <w:contextualSpacing/>
    </w:pPr>
  </w:style>
  <w:style w:type="paragraph" w:styleId="Header">
    <w:name w:val="header"/>
    <w:basedOn w:val="Normal"/>
    <w:link w:val="HeaderChar"/>
    <w:uiPriority w:val="99"/>
    <w:unhideWhenUsed/>
    <w:rsid w:val="009A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559"/>
  </w:style>
  <w:style w:type="paragraph" w:styleId="Footer">
    <w:name w:val="footer"/>
    <w:basedOn w:val="Normal"/>
    <w:link w:val="FooterChar"/>
    <w:uiPriority w:val="99"/>
    <w:unhideWhenUsed/>
    <w:rsid w:val="009A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559"/>
  </w:style>
  <w:style w:type="paragraph" w:styleId="BalloonText">
    <w:name w:val="Balloon Text"/>
    <w:basedOn w:val="Normal"/>
    <w:link w:val="BalloonTextChar"/>
    <w:uiPriority w:val="99"/>
    <w:semiHidden/>
    <w:unhideWhenUsed/>
    <w:rsid w:val="0043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E"/>
    <w:rPr>
      <w:rFonts w:ascii="Tahoma" w:hAnsi="Tahoma" w:cs="Tahoma"/>
      <w:sz w:val="16"/>
      <w:szCs w:val="16"/>
    </w:rPr>
  </w:style>
  <w:style w:type="character" w:styleId="CommentReference">
    <w:name w:val="annotation reference"/>
    <w:basedOn w:val="DefaultParagraphFont"/>
    <w:uiPriority w:val="99"/>
    <w:semiHidden/>
    <w:unhideWhenUsed/>
    <w:rsid w:val="002A4AC0"/>
    <w:rPr>
      <w:sz w:val="16"/>
      <w:szCs w:val="16"/>
    </w:rPr>
  </w:style>
  <w:style w:type="paragraph" w:styleId="CommentText">
    <w:name w:val="annotation text"/>
    <w:basedOn w:val="Normal"/>
    <w:link w:val="CommentTextChar"/>
    <w:uiPriority w:val="99"/>
    <w:semiHidden/>
    <w:unhideWhenUsed/>
    <w:rsid w:val="002A4AC0"/>
    <w:pPr>
      <w:spacing w:line="240" w:lineRule="auto"/>
    </w:pPr>
    <w:rPr>
      <w:sz w:val="20"/>
      <w:szCs w:val="20"/>
    </w:rPr>
  </w:style>
  <w:style w:type="character" w:customStyle="1" w:styleId="CommentTextChar">
    <w:name w:val="Comment Text Char"/>
    <w:basedOn w:val="DefaultParagraphFont"/>
    <w:link w:val="CommentText"/>
    <w:uiPriority w:val="99"/>
    <w:semiHidden/>
    <w:rsid w:val="002A4AC0"/>
    <w:rPr>
      <w:sz w:val="20"/>
      <w:szCs w:val="20"/>
    </w:rPr>
  </w:style>
  <w:style w:type="paragraph" w:styleId="CommentSubject">
    <w:name w:val="annotation subject"/>
    <w:basedOn w:val="CommentText"/>
    <w:next w:val="CommentText"/>
    <w:link w:val="CommentSubjectChar"/>
    <w:uiPriority w:val="99"/>
    <w:semiHidden/>
    <w:unhideWhenUsed/>
    <w:rsid w:val="002A4AC0"/>
    <w:rPr>
      <w:b/>
      <w:bCs/>
    </w:rPr>
  </w:style>
  <w:style w:type="character" w:customStyle="1" w:styleId="CommentSubjectChar">
    <w:name w:val="Comment Subject Char"/>
    <w:basedOn w:val="CommentTextChar"/>
    <w:link w:val="CommentSubject"/>
    <w:uiPriority w:val="99"/>
    <w:semiHidden/>
    <w:rsid w:val="002A4AC0"/>
    <w:rPr>
      <w:b/>
      <w:bCs/>
      <w:sz w:val="20"/>
      <w:szCs w:val="20"/>
    </w:rPr>
  </w:style>
  <w:style w:type="character" w:styleId="Hyperlink">
    <w:name w:val="Hyperlink"/>
    <w:basedOn w:val="DefaultParagraphFont"/>
    <w:uiPriority w:val="99"/>
    <w:semiHidden/>
    <w:unhideWhenUsed/>
    <w:rsid w:val="00492B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0E2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90E20"/>
    <w:rPr>
      <w:rFonts w:ascii="Calibri" w:hAnsi="Calibri" w:cs="Consolas"/>
      <w:szCs w:val="21"/>
    </w:rPr>
  </w:style>
  <w:style w:type="paragraph" w:styleId="ListParagraph">
    <w:name w:val="List Paragraph"/>
    <w:basedOn w:val="Normal"/>
    <w:uiPriority w:val="34"/>
    <w:qFormat/>
    <w:rsid w:val="00B42655"/>
    <w:pPr>
      <w:ind w:left="720"/>
      <w:contextualSpacing/>
    </w:pPr>
  </w:style>
  <w:style w:type="paragraph" w:styleId="Header">
    <w:name w:val="header"/>
    <w:basedOn w:val="Normal"/>
    <w:link w:val="HeaderChar"/>
    <w:uiPriority w:val="99"/>
    <w:unhideWhenUsed/>
    <w:rsid w:val="009A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559"/>
  </w:style>
  <w:style w:type="paragraph" w:styleId="Footer">
    <w:name w:val="footer"/>
    <w:basedOn w:val="Normal"/>
    <w:link w:val="FooterChar"/>
    <w:uiPriority w:val="99"/>
    <w:unhideWhenUsed/>
    <w:rsid w:val="009A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559"/>
  </w:style>
  <w:style w:type="paragraph" w:styleId="BalloonText">
    <w:name w:val="Balloon Text"/>
    <w:basedOn w:val="Normal"/>
    <w:link w:val="BalloonTextChar"/>
    <w:uiPriority w:val="99"/>
    <w:semiHidden/>
    <w:unhideWhenUsed/>
    <w:rsid w:val="0043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E"/>
    <w:rPr>
      <w:rFonts w:ascii="Tahoma" w:hAnsi="Tahoma" w:cs="Tahoma"/>
      <w:sz w:val="16"/>
      <w:szCs w:val="16"/>
    </w:rPr>
  </w:style>
  <w:style w:type="character" w:styleId="CommentReference">
    <w:name w:val="annotation reference"/>
    <w:basedOn w:val="DefaultParagraphFont"/>
    <w:uiPriority w:val="99"/>
    <w:semiHidden/>
    <w:unhideWhenUsed/>
    <w:rsid w:val="002A4AC0"/>
    <w:rPr>
      <w:sz w:val="16"/>
      <w:szCs w:val="16"/>
    </w:rPr>
  </w:style>
  <w:style w:type="paragraph" w:styleId="CommentText">
    <w:name w:val="annotation text"/>
    <w:basedOn w:val="Normal"/>
    <w:link w:val="CommentTextChar"/>
    <w:uiPriority w:val="99"/>
    <w:semiHidden/>
    <w:unhideWhenUsed/>
    <w:rsid w:val="002A4AC0"/>
    <w:pPr>
      <w:spacing w:line="240" w:lineRule="auto"/>
    </w:pPr>
    <w:rPr>
      <w:sz w:val="20"/>
      <w:szCs w:val="20"/>
    </w:rPr>
  </w:style>
  <w:style w:type="character" w:customStyle="1" w:styleId="CommentTextChar">
    <w:name w:val="Comment Text Char"/>
    <w:basedOn w:val="DefaultParagraphFont"/>
    <w:link w:val="CommentText"/>
    <w:uiPriority w:val="99"/>
    <w:semiHidden/>
    <w:rsid w:val="002A4AC0"/>
    <w:rPr>
      <w:sz w:val="20"/>
      <w:szCs w:val="20"/>
    </w:rPr>
  </w:style>
  <w:style w:type="paragraph" w:styleId="CommentSubject">
    <w:name w:val="annotation subject"/>
    <w:basedOn w:val="CommentText"/>
    <w:next w:val="CommentText"/>
    <w:link w:val="CommentSubjectChar"/>
    <w:uiPriority w:val="99"/>
    <w:semiHidden/>
    <w:unhideWhenUsed/>
    <w:rsid w:val="002A4AC0"/>
    <w:rPr>
      <w:b/>
      <w:bCs/>
    </w:rPr>
  </w:style>
  <w:style w:type="character" w:customStyle="1" w:styleId="CommentSubjectChar">
    <w:name w:val="Comment Subject Char"/>
    <w:basedOn w:val="CommentTextChar"/>
    <w:link w:val="CommentSubject"/>
    <w:uiPriority w:val="99"/>
    <w:semiHidden/>
    <w:rsid w:val="002A4AC0"/>
    <w:rPr>
      <w:b/>
      <w:bCs/>
      <w:sz w:val="20"/>
      <w:szCs w:val="20"/>
    </w:rPr>
  </w:style>
  <w:style w:type="character" w:styleId="Hyperlink">
    <w:name w:val="Hyperlink"/>
    <w:basedOn w:val="DefaultParagraphFont"/>
    <w:uiPriority w:val="99"/>
    <w:semiHidden/>
    <w:unhideWhenUsed/>
    <w:rsid w:val="00492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0539">
      <w:bodyDiv w:val="1"/>
      <w:marLeft w:val="0"/>
      <w:marRight w:val="0"/>
      <w:marTop w:val="0"/>
      <w:marBottom w:val="0"/>
      <w:divBdr>
        <w:top w:val="none" w:sz="0" w:space="0" w:color="auto"/>
        <w:left w:val="none" w:sz="0" w:space="0" w:color="auto"/>
        <w:bottom w:val="none" w:sz="0" w:space="0" w:color="auto"/>
        <w:right w:val="none" w:sz="0" w:space="0" w:color="auto"/>
      </w:divBdr>
    </w:div>
    <w:div w:id="665399780">
      <w:bodyDiv w:val="1"/>
      <w:marLeft w:val="0"/>
      <w:marRight w:val="0"/>
      <w:marTop w:val="0"/>
      <w:marBottom w:val="0"/>
      <w:divBdr>
        <w:top w:val="none" w:sz="0" w:space="0" w:color="auto"/>
        <w:left w:val="none" w:sz="0" w:space="0" w:color="auto"/>
        <w:bottom w:val="none" w:sz="0" w:space="0" w:color="auto"/>
        <w:right w:val="none" w:sz="0" w:space="0" w:color="auto"/>
      </w:divBdr>
    </w:div>
    <w:div w:id="756437964">
      <w:bodyDiv w:val="1"/>
      <w:marLeft w:val="0"/>
      <w:marRight w:val="0"/>
      <w:marTop w:val="0"/>
      <w:marBottom w:val="0"/>
      <w:divBdr>
        <w:top w:val="none" w:sz="0" w:space="0" w:color="auto"/>
        <w:left w:val="none" w:sz="0" w:space="0" w:color="auto"/>
        <w:bottom w:val="none" w:sz="0" w:space="0" w:color="auto"/>
        <w:right w:val="none" w:sz="0" w:space="0" w:color="auto"/>
      </w:divBdr>
    </w:div>
    <w:div w:id="848255351">
      <w:bodyDiv w:val="1"/>
      <w:marLeft w:val="0"/>
      <w:marRight w:val="0"/>
      <w:marTop w:val="0"/>
      <w:marBottom w:val="0"/>
      <w:divBdr>
        <w:top w:val="none" w:sz="0" w:space="0" w:color="auto"/>
        <w:left w:val="none" w:sz="0" w:space="0" w:color="auto"/>
        <w:bottom w:val="none" w:sz="0" w:space="0" w:color="auto"/>
        <w:right w:val="none" w:sz="0" w:space="0" w:color="auto"/>
      </w:divBdr>
    </w:div>
    <w:div w:id="877476978">
      <w:bodyDiv w:val="1"/>
      <w:marLeft w:val="0"/>
      <w:marRight w:val="0"/>
      <w:marTop w:val="0"/>
      <w:marBottom w:val="0"/>
      <w:divBdr>
        <w:top w:val="none" w:sz="0" w:space="0" w:color="auto"/>
        <w:left w:val="none" w:sz="0" w:space="0" w:color="auto"/>
        <w:bottom w:val="none" w:sz="0" w:space="0" w:color="auto"/>
        <w:right w:val="none" w:sz="0" w:space="0" w:color="auto"/>
      </w:divBdr>
    </w:div>
    <w:div w:id="934287559">
      <w:bodyDiv w:val="1"/>
      <w:marLeft w:val="0"/>
      <w:marRight w:val="0"/>
      <w:marTop w:val="0"/>
      <w:marBottom w:val="0"/>
      <w:divBdr>
        <w:top w:val="none" w:sz="0" w:space="0" w:color="auto"/>
        <w:left w:val="none" w:sz="0" w:space="0" w:color="auto"/>
        <w:bottom w:val="none" w:sz="0" w:space="0" w:color="auto"/>
        <w:right w:val="none" w:sz="0" w:space="0" w:color="auto"/>
      </w:divBdr>
    </w:div>
    <w:div w:id="983702659">
      <w:bodyDiv w:val="1"/>
      <w:marLeft w:val="0"/>
      <w:marRight w:val="0"/>
      <w:marTop w:val="0"/>
      <w:marBottom w:val="0"/>
      <w:divBdr>
        <w:top w:val="none" w:sz="0" w:space="0" w:color="auto"/>
        <w:left w:val="none" w:sz="0" w:space="0" w:color="auto"/>
        <w:bottom w:val="none" w:sz="0" w:space="0" w:color="auto"/>
        <w:right w:val="none" w:sz="0" w:space="0" w:color="auto"/>
      </w:divBdr>
    </w:div>
    <w:div w:id="1081220984">
      <w:bodyDiv w:val="1"/>
      <w:marLeft w:val="0"/>
      <w:marRight w:val="0"/>
      <w:marTop w:val="0"/>
      <w:marBottom w:val="0"/>
      <w:divBdr>
        <w:top w:val="none" w:sz="0" w:space="0" w:color="auto"/>
        <w:left w:val="none" w:sz="0" w:space="0" w:color="auto"/>
        <w:bottom w:val="none" w:sz="0" w:space="0" w:color="auto"/>
        <w:right w:val="none" w:sz="0" w:space="0" w:color="auto"/>
      </w:divBdr>
    </w:div>
    <w:div w:id="1135102325">
      <w:bodyDiv w:val="1"/>
      <w:marLeft w:val="0"/>
      <w:marRight w:val="0"/>
      <w:marTop w:val="0"/>
      <w:marBottom w:val="0"/>
      <w:divBdr>
        <w:top w:val="none" w:sz="0" w:space="0" w:color="auto"/>
        <w:left w:val="none" w:sz="0" w:space="0" w:color="auto"/>
        <w:bottom w:val="none" w:sz="0" w:space="0" w:color="auto"/>
        <w:right w:val="none" w:sz="0" w:space="0" w:color="auto"/>
      </w:divBdr>
    </w:div>
    <w:div w:id="1169055188">
      <w:bodyDiv w:val="1"/>
      <w:marLeft w:val="0"/>
      <w:marRight w:val="0"/>
      <w:marTop w:val="0"/>
      <w:marBottom w:val="0"/>
      <w:divBdr>
        <w:top w:val="none" w:sz="0" w:space="0" w:color="auto"/>
        <w:left w:val="none" w:sz="0" w:space="0" w:color="auto"/>
        <w:bottom w:val="none" w:sz="0" w:space="0" w:color="auto"/>
        <w:right w:val="none" w:sz="0" w:space="0" w:color="auto"/>
      </w:divBdr>
    </w:div>
    <w:div w:id="1306161329">
      <w:bodyDiv w:val="1"/>
      <w:marLeft w:val="0"/>
      <w:marRight w:val="0"/>
      <w:marTop w:val="0"/>
      <w:marBottom w:val="0"/>
      <w:divBdr>
        <w:top w:val="none" w:sz="0" w:space="0" w:color="auto"/>
        <w:left w:val="none" w:sz="0" w:space="0" w:color="auto"/>
        <w:bottom w:val="none" w:sz="0" w:space="0" w:color="auto"/>
        <w:right w:val="none" w:sz="0" w:space="0" w:color="auto"/>
      </w:divBdr>
    </w:div>
    <w:div w:id="1411851370">
      <w:bodyDiv w:val="1"/>
      <w:marLeft w:val="0"/>
      <w:marRight w:val="0"/>
      <w:marTop w:val="0"/>
      <w:marBottom w:val="0"/>
      <w:divBdr>
        <w:top w:val="none" w:sz="0" w:space="0" w:color="auto"/>
        <w:left w:val="none" w:sz="0" w:space="0" w:color="auto"/>
        <w:bottom w:val="none" w:sz="0" w:space="0" w:color="auto"/>
        <w:right w:val="none" w:sz="0" w:space="0" w:color="auto"/>
      </w:divBdr>
    </w:div>
    <w:div w:id="1466922357">
      <w:bodyDiv w:val="1"/>
      <w:marLeft w:val="0"/>
      <w:marRight w:val="0"/>
      <w:marTop w:val="0"/>
      <w:marBottom w:val="0"/>
      <w:divBdr>
        <w:top w:val="none" w:sz="0" w:space="0" w:color="auto"/>
        <w:left w:val="none" w:sz="0" w:space="0" w:color="auto"/>
        <w:bottom w:val="none" w:sz="0" w:space="0" w:color="auto"/>
        <w:right w:val="none" w:sz="0" w:space="0" w:color="auto"/>
      </w:divBdr>
    </w:div>
    <w:div w:id="1838768319">
      <w:bodyDiv w:val="1"/>
      <w:marLeft w:val="0"/>
      <w:marRight w:val="0"/>
      <w:marTop w:val="0"/>
      <w:marBottom w:val="0"/>
      <w:divBdr>
        <w:top w:val="none" w:sz="0" w:space="0" w:color="auto"/>
        <w:left w:val="none" w:sz="0" w:space="0" w:color="auto"/>
        <w:bottom w:val="none" w:sz="0" w:space="0" w:color="auto"/>
        <w:right w:val="none" w:sz="0" w:space="0" w:color="auto"/>
      </w:divBdr>
    </w:div>
    <w:div w:id="1892888639">
      <w:bodyDiv w:val="1"/>
      <w:marLeft w:val="0"/>
      <w:marRight w:val="0"/>
      <w:marTop w:val="0"/>
      <w:marBottom w:val="0"/>
      <w:divBdr>
        <w:top w:val="none" w:sz="0" w:space="0" w:color="auto"/>
        <w:left w:val="none" w:sz="0" w:space="0" w:color="auto"/>
        <w:bottom w:val="none" w:sz="0" w:space="0" w:color="auto"/>
        <w:right w:val="none" w:sz="0" w:space="0" w:color="auto"/>
      </w:divBdr>
    </w:div>
    <w:div w:id="1956399839">
      <w:bodyDiv w:val="1"/>
      <w:marLeft w:val="0"/>
      <w:marRight w:val="0"/>
      <w:marTop w:val="0"/>
      <w:marBottom w:val="0"/>
      <w:divBdr>
        <w:top w:val="none" w:sz="0" w:space="0" w:color="auto"/>
        <w:left w:val="none" w:sz="0" w:space="0" w:color="auto"/>
        <w:bottom w:val="none" w:sz="0" w:space="0" w:color="auto"/>
        <w:right w:val="none" w:sz="0" w:space="0" w:color="auto"/>
      </w:divBdr>
    </w:div>
    <w:div w:id="1960449621">
      <w:bodyDiv w:val="1"/>
      <w:marLeft w:val="0"/>
      <w:marRight w:val="0"/>
      <w:marTop w:val="0"/>
      <w:marBottom w:val="0"/>
      <w:divBdr>
        <w:top w:val="none" w:sz="0" w:space="0" w:color="auto"/>
        <w:left w:val="none" w:sz="0" w:space="0" w:color="auto"/>
        <w:bottom w:val="none" w:sz="0" w:space="0" w:color="auto"/>
        <w:right w:val="none" w:sz="0" w:space="0" w:color="auto"/>
      </w:divBdr>
    </w:div>
    <w:div w:id="1976793498">
      <w:bodyDiv w:val="1"/>
      <w:marLeft w:val="0"/>
      <w:marRight w:val="0"/>
      <w:marTop w:val="0"/>
      <w:marBottom w:val="0"/>
      <w:divBdr>
        <w:top w:val="none" w:sz="0" w:space="0" w:color="auto"/>
        <w:left w:val="none" w:sz="0" w:space="0" w:color="auto"/>
        <w:bottom w:val="none" w:sz="0" w:space="0" w:color="auto"/>
        <w:right w:val="none" w:sz="0" w:space="0" w:color="auto"/>
      </w:divBdr>
    </w:div>
    <w:div w:id="2059164201">
      <w:bodyDiv w:val="1"/>
      <w:marLeft w:val="0"/>
      <w:marRight w:val="0"/>
      <w:marTop w:val="0"/>
      <w:marBottom w:val="0"/>
      <w:divBdr>
        <w:top w:val="none" w:sz="0" w:space="0" w:color="auto"/>
        <w:left w:val="none" w:sz="0" w:space="0" w:color="auto"/>
        <w:bottom w:val="none" w:sz="0" w:space="0" w:color="auto"/>
        <w:right w:val="none" w:sz="0" w:space="0" w:color="auto"/>
      </w:divBdr>
    </w:div>
    <w:div w:id="20677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net.manchester.ac.uk/services/equality-and-diversity/training/understanding-bi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qualityhumanrights.com/private-and-public-sector-guidance/employing-people/managing-workers/career-development/using-positive-action-target-training-or-promote-wider-rang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Thompson-Vassel</dc:creator>
  <cp:lastModifiedBy>Andrew Mullen</cp:lastModifiedBy>
  <cp:revision>2</cp:revision>
  <cp:lastPrinted>2015-02-20T13:59:00Z</cp:lastPrinted>
  <dcterms:created xsi:type="dcterms:W3CDTF">2015-05-05T08:27:00Z</dcterms:created>
  <dcterms:modified xsi:type="dcterms:W3CDTF">2015-05-05T08:27:00Z</dcterms:modified>
</cp:coreProperties>
</file>