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E41" w:rsidRPr="00BD6B42" w:rsidRDefault="00403E41" w:rsidP="00403E41">
      <w:pPr>
        <w:jc w:val="center"/>
        <w:rPr>
          <w:b/>
          <w:sz w:val="28"/>
          <w:szCs w:val="28"/>
        </w:rPr>
      </w:pPr>
      <w:bookmarkStart w:id="0" w:name="_GoBack"/>
      <w:bookmarkEnd w:id="0"/>
      <w:r w:rsidRPr="00BD6B42">
        <w:rPr>
          <w:b/>
          <w:sz w:val="28"/>
          <w:szCs w:val="28"/>
        </w:rPr>
        <w:t xml:space="preserve">Humanities Equality and Diversity Working Group: </w:t>
      </w:r>
      <w:r>
        <w:rPr>
          <w:b/>
          <w:sz w:val="28"/>
          <w:szCs w:val="28"/>
        </w:rPr>
        <w:t>mid-year p</w:t>
      </w:r>
      <w:r w:rsidRPr="00BD6B42">
        <w:rPr>
          <w:b/>
          <w:sz w:val="28"/>
          <w:szCs w:val="28"/>
        </w:rPr>
        <w:t>rogress report for year 2 (2014-15)</w:t>
      </w:r>
    </w:p>
    <w:p w:rsidR="00FA7037" w:rsidRDefault="00FA7037" w:rsidP="00F7560A">
      <w:pPr>
        <w:rPr>
          <w:b/>
          <w:sz w:val="28"/>
          <w:szCs w:val="28"/>
        </w:rPr>
      </w:pPr>
    </w:p>
    <w:p w:rsidR="00F7560A" w:rsidRDefault="00403E41" w:rsidP="00F7560A">
      <w:pPr>
        <w:rPr>
          <w:b/>
          <w:sz w:val="28"/>
          <w:szCs w:val="28"/>
        </w:rPr>
      </w:pPr>
      <w:r>
        <w:rPr>
          <w:b/>
          <w:sz w:val="28"/>
          <w:szCs w:val="28"/>
        </w:rPr>
        <w:t xml:space="preserve">Background and </w:t>
      </w:r>
      <w:r w:rsidRPr="00BD6B42">
        <w:rPr>
          <w:b/>
          <w:sz w:val="28"/>
          <w:szCs w:val="28"/>
        </w:rPr>
        <w:t>Introduction</w:t>
      </w:r>
    </w:p>
    <w:p w:rsidR="00403E41" w:rsidRDefault="00403E41" w:rsidP="006E79A8">
      <w:pPr>
        <w:jc w:val="both"/>
      </w:pPr>
      <w:r>
        <w:t>The Working Group commenced in November 2013. It is charged with developing a systematic action plan for promoting and advancing the Faculty’s progress to meet its headline 2020 staff diversity targets (Box 1).</w:t>
      </w:r>
    </w:p>
    <w:p w:rsidR="00403E41" w:rsidRPr="00F647E4" w:rsidRDefault="00403E41" w:rsidP="00403E41">
      <w:pPr>
        <w:pBdr>
          <w:top w:val="single" w:sz="8" w:space="1" w:color="auto"/>
          <w:left w:val="single" w:sz="8" w:space="4" w:color="auto"/>
          <w:bottom w:val="single" w:sz="8" w:space="1" w:color="auto"/>
          <w:right w:val="single" w:sz="8" w:space="4" w:color="auto"/>
        </w:pBdr>
        <w:spacing w:after="120"/>
        <w:jc w:val="both"/>
        <w:rPr>
          <w:b/>
        </w:rPr>
      </w:pPr>
      <w:r w:rsidRPr="00F647E4">
        <w:rPr>
          <w:b/>
        </w:rPr>
        <w:t>Box 1. The Faculty of Humanities headline gender and BME staff diversity targets for 2020</w:t>
      </w:r>
    </w:p>
    <w:p w:rsidR="00403E41" w:rsidRDefault="00403E41" w:rsidP="00403E41">
      <w:pPr>
        <w:pStyle w:val="ListParagraph"/>
        <w:numPr>
          <w:ilvl w:val="0"/>
          <w:numId w:val="2"/>
        </w:numPr>
        <w:pBdr>
          <w:top w:val="single" w:sz="8" w:space="1" w:color="auto"/>
          <w:left w:val="single" w:sz="8" w:space="4" w:color="auto"/>
          <w:bottom w:val="single" w:sz="8" w:space="1" w:color="auto"/>
          <w:right w:val="single" w:sz="8" w:space="4" w:color="auto"/>
        </w:pBdr>
        <w:spacing w:after="120"/>
        <w:jc w:val="both"/>
      </w:pPr>
      <w:r>
        <w:t>Female staff to hold at least 47% of the academic positions at senior lecturer/professorial level and in academic leadership and management roles</w:t>
      </w:r>
    </w:p>
    <w:p w:rsidR="00403E41" w:rsidRDefault="00403E41" w:rsidP="00403E41">
      <w:pPr>
        <w:pStyle w:val="ListParagraph"/>
        <w:numPr>
          <w:ilvl w:val="0"/>
          <w:numId w:val="2"/>
        </w:numPr>
        <w:pBdr>
          <w:top w:val="single" w:sz="8" w:space="1" w:color="auto"/>
          <w:left w:val="single" w:sz="8" w:space="4" w:color="auto"/>
          <w:bottom w:val="single" w:sz="8" w:space="1" w:color="auto"/>
          <w:right w:val="single" w:sz="8" w:space="4" w:color="auto"/>
        </w:pBdr>
        <w:spacing w:after="120"/>
        <w:jc w:val="both"/>
      </w:pPr>
      <w:r>
        <w:t>BME staff to hold at least 15% of academic positions at senior lecturer/professorial level positions and in academic leadership and management roles</w:t>
      </w:r>
    </w:p>
    <w:p w:rsidR="00403E41" w:rsidRDefault="00403E41" w:rsidP="00403E41">
      <w:pPr>
        <w:pStyle w:val="ListParagraph"/>
        <w:numPr>
          <w:ilvl w:val="0"/>
          <w:numId w:val="2"/>
        </w:numPr>
        <w:pBdr>
          <w:top w:val="single" w:sz="8" w:space="1" w:color="auto"/>
          <w:left w:val="single" w:sz="8" w:space="4" w:color="auto"/>
          <w:bottom w:val="single" w:sz="8" w:space="1" w:color="auto"/>
          <w:right w:val="single" w:sz="8" w:space="4" w:color="auto"/>
        </w:pBdr>
        <w:spacing w:after="120"/>
        <w:jc w:val="both"/>
      </w:pPr>
      <w:r>
        <w:t>To increase the BME representation among PSS staff from 7 per cent to 12 per cent, which is the proportion of BME men and women in the working population of Greater Manchester.</w:t>
      </w:r>
    </w:p>
    <w:p w:rsidR="00403E41" w:rsidRDefault="00403E41" w:rsidP="00403E41">
      <w:pPr>
        <w:spacing w:after="120"/>
        <w:jc w:val="both"/>
      </w:pPr>
      <w:r>
        <w:t>The detail of the terms of reference and activity undertaken during 2013/14 are contained in a previous report to HPRC (HPRC14-15-11). When HPRC received that report it agreed to the recommendation that the Working Group should</w:t>
      </w:r>
    </w:p>
    <w:p w:rsidR="00403E41" w:rsidRDefault="00403E41" w:rsidP="00403E41">
      <w:pPr>
        <w:pStyle w:val="ListParagraph"/>
        <w:numPr>
          <w:ilvl w:val="0"/>
          <w:numId w:val="1"/>
        </w:numPr>
        <w:spacing w:after="120"/>
        <w:jc w:val="both"/>
      </w:pPr>
      <w:r>
        <w:t>Continue to meet three or four times a year to support the development, implementation and monitoring of the School and Faculty Office Action Plans</w:t>
      </w:r>
    </w:p>
    <w:p w:rsidR="00403E41" w:rsidRDefault="00403E41" w:rsidP="00403E41">
      <w:pPr>
        <w:pStyle w:val="ListParagraph"/>
        <w:numPr>
          <w:ilvl w:val="0"/>
          <w:numId w:val="1"/>
        </w:numPr>
        <w:spacing w:after="120"/>
        <w:jc w:val="both"/>
      </w:pPr>
      <w:r>
        <w:t>Submit a mid-year (May/June) and end-year (November) report to HPRC to coincide with the University Human Resource Sub-Committee’s mid-year and end-year reports on Staff Equality and Diversity Review as part of the Annual Performance Review (APR) cycle.</w:t>
      </w:r>
    </w:p>
    <w:p w:rsidR="00403E41" w:rsidRDefault="00403E41" w:rsidP="00403E41">
      <w:pPr>
        <w:spacing w:after="120"/>
      </w:pPr>
      <w:r>
        <w:t>This is the mid-year progress report for 2014-15.</w:t>
      </w:r>
    </w:p>
    <w:p w:rsidR="00403E41" w:rsidRPr="007920C9" w:rsidRDefault="00403E41" w:rsidP="00403E41">
      <w:pPr>
        <w:pStyle w:val="ListParagraph"/>
        <w:numPr>
          <w:ilvl w:val="0"/>
          <w:numId w:val="3"/>
        </w:numPr>
        <w:spacing w:after="120"/>
        <w:ind w:left="357" w:hanging="357"/>
        <w:rPr>
          <w:b/>
          <w:sz w:val="24"/>
          <w:szCs w:val="24"/>
        </w:rPr>
      </w:pPr>
      <w:r w:rsidRPr="007920C9">
        <w:rPr>
          <w:b/>
          <w:sz w:val="24"/>
          <w:szCs w:val="24"/>
        </w:rPr>
        <w:t>School and Faculty Action Plans</w:t>
      </w:r>
    </w:p>
    <w:p w:rsidR="00403E41" w:rsidRDefault="00403E41" w:rsidP="00403E41">
      <w:pPr>
        <w:spacing w:after="120"/>
        <w:jc w:val="both"/>
      </w:pPr>
      <w:r w:rsidRPr="007920C9">
        <w:t>The School</w:t>
      </w:r>
      <w:r>
        <w:t xml:space="preserve"> Action Plans and progress against plans are presented in </w:t>
      </w:r>
      <w:r w:rsidRPr="007920C9">
        <w:rPr>
          <w:b/>
        </w:rPr>
        <w:t>appendix 1.</w:t>
      </w:r>
      <w:r>
        <w:t xml:space="preserve"> </w:t>
      </w:r>
    </w:p>
    <w:p w:rsidR="00FA7037" w:rsidRDefault="00403E41" w:rsidP="00FA7037">
      <w:pPr>
        <w:spacing w:after="120"/>
        <w:jc w:val="both"/>
      </w:pPr>
      <w:r>
        <w:t>The Faculty Action Plan is not included; it is being refreshed as part of a handover due to staff changes. However, it should be noted that the positive action plan for BME applicants for PSS roles has been initiated as a result of one of their earlier recommendations (see 5 below).</w:t>
      </w:r>
    </w:p>
    <w:p w:rsidR="00403E41" w:rsidRPr="007920C9" w:rsidRDefault="00403E41" w:rsidP="00FA7037">
      <w:pPr>
        <w:pStyle w:val="ListParagraph"/>
        <w:numPr>
          <w:ilvl w:val="0"/>
          <w:numId w:val="3"/>
        </w:numPr>
        <w:spacing w:before="240" w:after="120"/>
        <w:ind w:left="357" w:hanging="357"/>
        <w:contextualSpacing w:val="0"/>
        <w:rPr>
          <w:b/>
          <w:sz w:val="24"/>
          <w:szCs w:val="24"/>
        </w:rPr>
      </w:pPr>
      <w:r w:rsidRPr="007920C9">
        <w:rPr>
          <w:b/>
          <w:sz w:val="24"/>
          <w:szCs w:val="24"/>
        </w:rPr>
        <w:t>Equality and Diversity Profile for Humanities</w:t>
      </w:r>
    </w:p>
    <w:p w:rsidR="00D822FF" w:rsidRDefault="00403E41" w:rsidP="006E79A8">
      <w:pPr>
        <w:spacing w:after="120"/>
        <w:jc w:val="both"/>
      </w:pPr>
      <w:r w:rsidRPr="007920C9">
        <w:t xml:space="preserve">The analysis which we undertook in the 2014 report has been updated with 2015 data. The </w:t>
      </w:r>
      <w:r w:rsidR="00D822FF">
        <w:t xml:space="preserve">information will be reported to </w:t>
      </w:r>
      <w:r w:rsidR="00F7560A">
        <w:t xml:space="preserve">the Working Group </w:t>
      </w:r>
      <w:r w:rsidR="00D822FF">
        <w:t>and is available on request.</w:t>
      </w:r>
    </w:p>
    <w:p w:rsidR="00403E41" w:rsidRPr="00AC1582" w:rsidRDefault="00403E41" w:rsidP="00403E41">
      <w:pPr>
        <w:spacing w:after="120"/>
      </w:pPr>
      <w:r w:rsidRPr="00AC1582">
        <w:t xml:space="preserve">The </w:t>
      </w:r>
      <w:r>
        <w:t xml:space="preserve">Faculty </w:t>
      </w:r>
      <w:r w:rsidRPr="00AC1582">
        <w:t>headlines are</w:t>
      </w:r>
      <w:r>
        <w:t>:</w:t>
      </w:r>
    </w:p>
    <w:p w:rsidR="00403E41" w:rsidRPr="00AC1582" w:rsidRDefault="00403E41" w:rsidP="00403E41">
      <w:pPr>
        <w:spacing w:after="0"/>
        <w:rPr>
          <w:rFonts w:eastAsia="Times New Roman" w:cs="Segoe UI"/>
          <w:b/>
          <w:i/>
          <w:color w:val="000000"/>
          <w:lang w:eastAsia="en-GB"/>
        </w:rPr>
      </w:pPr>
      <w:r w:rsidRPr="00AC1582">
        <w:rPr>
          <w:rFonts w:eastAsia="Times New Roman" w:cs="Segoe UI"/>
          <w:b/>
          <w:i/>
          <w:color w:val="000000"/>
          <w:lang w:eastAsia="en-GB"/>
        </w:rPr>
        <w:t xml:space="preserve">For PSS staff </w:t>
      </w:r>
    </w:p>
    <w:p w:rsidR="00403E41" w:rsidRPr="00AC1582" w:rsidRDefault="00403E41" w:rsidP="00403E41">
      <w:pPr>
        <w:pStyle w:val="ListParagraph"/>
        <w:numPr>
          <w:ilvl w:val="0"/>
          <w:numId w:val="5"/>
        </w:numPr>
        <w:spacing w:after="120"/>
        <w:ind w:left="714" w:hanging="357"/>
        <w:rPr>
          <w:rFonts w:eastAsia="Times New Roman" w:cs="Segoe UI"/>
          <w:color w:val="000000"/>
          <w:lang w:eastAsia="en-GB"/>
        </w:rPr>
      </w:pPr>
      <w:r w:rsidRPr="00AC1582">
        <w:rPr>
          <w:rFonts w:eastAsia="Times New Roman" w:cs="Segoe UI"/>
          <w:color w:val="000000"/>
          <w:lang w:eastAsia="en-GB"/>
        </w:rPr>
        <w:t>The drop in female representation at Grade 8/9 is less pronounced now than last year. </w:t>
      </w:r>
    </w:p>
    <w:p w:rsidR="00403E41" w:rsidRPr="00F15139" w:rsidRDefault="00403E41" w:rsidP="00403E41">
      <w:pPr>
        <w:pStyle w:val="ListParagraph"/>
        <w:numPr>
          <w:ilvl w:val="0"/>
          <w:numId w:val="4"/>
        </w:numPr>
        <w:spacing w:after="120"/>
        <w:ind w:left="714" w:hanging="357"/>
        <w:rPr>
          <w:rFonts w:eastAsia="Times New Roman" w:cs="Segoe UI"/>
          <w:color w:val="000000"/>
          <w:lang w:eastAsia="en-GB"/>
        </w:rPr>
      </w:pPr>
      <w:r w:rsidRPr="00AC1582">
        <w:rPr>
          <w:rFonts w:eastAsia="Times New Roman" w:cs="Segoe UI"/>
          <w:color w:val="000000"/>
          <w:lang w:eastAsia="en-GB"/>
        </w:rPr>
        <w:t xml:space="preserve">BME representation at Grades 1-4 has increased </w:t>
      </w:r>
      <w:r>
        <w:rPr>
          <w:rFonts w:eastAsia="Times New Roman" w:cs="Segoe UI"/>
          <w:color w:val="000000"/>
          <w:lang w:eastAsia="en-GB"/>
        </w:rPr>
        <w:t xml:space="preserve">from just over 7% to just </w:t>
      </w:r>
      <w:proofErr w:type="gramStart"/>
      <w:r>
        <w:rPr>
          <w:rFonts w:eastAsia="Times New Roman" w:cs="Segoe UI"/>
          <w:color w:val="000000"/>
          <w:lang w:eastAsia="en-GB"/>
        </w:rPr>
        <w:t>under</w:t>
      </w:r>
      <w:proofErr w:type="gramEnd"/>
      <w:r>
        <w:rPr>
          <w:rFonts w:eastAsia="Times New Roman" w:cs="Segoe UI"/>
          <w:color w:val="000000"/>
          <w:lang w:eastAsia="en-GB"/>
        </w:rPr>
        <w:t xml:space="preserve"> 10%.</w:t>
      </w:r>
    </w:p>
    <w:p w:rsidR="00403E41" w:rsidRPr="00AC1582" w:rsidRDefault="00403E41" w:rsidP="00403E41">
      <w:pPr>
        <w:pStyle w:val="ListParagraph"/>
        <w:numPr>
          <w:ilvl w:val="0"/>
          <w:numId w:val="4"/>
        </w:numPr>
        <w:spacing w:after="120"/>
        <w:rPr>
          <w:rFonts w:eastAsia="Times New Roman" w:cs="Segoe UI"/>
          <w:color w:val="000000"/>
          <w:lang w:eastAsia="en-GB"/>
        </w:rPr>
      </w:pPr>
      <w:r w:rsidRPr="00AC1582">
        <w:rPr>
          <w:rFonts w:eastAsia="Times New Roman" w:cs="Segoe UI"/>
          <w:color w:val="000000"/>
          <w:lang w:eastAsia="en-GB"/>
        </w:rPr>
        <w:t>Overall BME representation amongst PSS staff remains below the 12% target at 8%.</w:t>
      </w:r>
    </w:p>
    <w:p w:rsidR="00403E41" w:rsidRPr="00AC1582" w:rsidRDefault="00403E41" w:rsidP="00403E41">
      <w:pPr>
        <w:spacing w:after="0"/>
        <w:rPr>
          <w:rFonts w:eastAsia="Times New Roman" w:cs="Segoe UI"/>
          <w:b/>
          <w:i/>
          <w:color w:val="000000"/>
          <w:lang w:eastAsia="en-GB"/>
        </w:rPr>
      </w:pPr>
      <w:r w:rsidRPr="00AC1582">
        <w:rPr>
          <w:rFonts w:eastAsia="Times New Roman" w:cs="Segoe UI"/>
          <w:b/>
          <w:i/>
          <w:color w:val="000000"/>
          <w:lang w:eastAsia="en-GB"/>
        </w:rPr>
        <w:lastRenderedPageBreak/>
        <w:t>For Academic staff</w:t>
      </w:r>
    </w:p>
    <w:p w:rsidR="00403E41" w:rsidRPr="00AC1582" w:rsidRDefault="00403E41" w:rsidP="00403E41">
      <w:pPr>
        <w:pStyle w:val="ListParagraph"/>
        <w:numPr>
          <w:ilvl w:val="0"/>
          <w:numId w:val="4"/>
        </w:numPr>
        <w:spacing w:after="120"/>
        <w:rPr>
          <w:rFonts w:eastAsia="Times New Roman" w:cs="Segoe UI"/>
          <w:color w:val="000000"/>
          <w:lang w:eastAsia="en-GB"/>
        </w:rPr>
      </w:pPr>
      <w:r w:rsidRPr="00AC1582">
        <w:rPr>
          <w:rFonts w:eastAsia="Times New Roman" w:cs="Segoe UI"/>
          <w:color w:val="000000"/>
          <w:lang w:eastAsia="en-GB"/>
        </w:rPr>
        <w:t xml:space="preserve">Female representation at Lecturer level </w:t>
      </w:r>
      <w:r>
        <w:rPr>
          <w:rFonts w:eastAsia="Times New Roman" w:cs="Segoe UI"/>
          <w:color w:val="000000"/>
          <w:lang w:eastAsia="en-GB"/>
        </w:rPr>
        <w:t xml:space="preserve">is </w:t>
      </w:r>
      <w:r w:rsidRPr="00AC1582">
        <w:rPr>
          <w:rFonts w:eastAsia="Times New Roman" w:cs="Segoe UI"/>
          <w:color w:val="000000"/>
          <w:lang w:eastAsia="en-GB"/>
        </w:rPr>
        <w:t>stable at 47%</w:t>
      </w:r>
      <w:r>
        <w:rPr>
          <w:rFonts w:eastAsia="Times New Roman" w:cs="Segoe UI"/>
          <w:color w:val="000000"/>
          <w:lang w:eastAsia="en-GB"/>
        </w:rPr>
        <w:t xml:space="preserve"> </w:t>
      </w:r>
    </w:p>
    <w:p w:rsidR="00403E41" w:rsidRPr="00AC1582" w:rsidRDefault="00403E41" w:rsidP="00403E41">
      <w:pPr>
        <w:pStyle w:val="ListParagraph"/>
        <w:numPr>
          <w:ilvl w:val="0"/>
          <w:numId w:val="4"/>
        </w:numPr>
        <w:spacing w:after="120"/>
        <w:rPr>
          <w:rFonts w:eastAsia="Times New Roman" w:cs="Segoe UI"/>
          <w:color w:val="000000"/>
          <w:lang w:eastAsia="en-GB"/>
        </w:rPr>
      </w:pPr>
      <w:r w:rsidRPr="00AC1582">
        <w:rPr>
          <w:rFonts w:eastAsia="Times New Roman" w:cs="Segoe UI"/>
          <w:color w:val="000000"/>
          <w:lang w:eastAsia="en-GB"/>
        </w:rPr>
        <w:t>Female representation at S</w:t>
      </w:r>
      <w:r>
        <w:rPr>
          <w:rFonts w:eastAsia="Times New Roman" w:cs="Segoe UI"/>
          <w:color w:val="000000"/>
          <w:lang w:eastAsia="en-GB"/>
        </w:rPr>
        <w:t xml:space="preserve">enior Lecturer </w:t>
      </w:r>
      <w:r w:rsidRPr="00AC1582">
        <w:rPr>
          <w:rFonts w:eastAsia="Times New Roman" w:cs="Segoe UI"/>
          <w:color w:val="000000"/>
          <w:lang w:eastAsia="en-GB"/>
        </w:rPr>
        <w:t xml:space="preserve">level </w:t>
      </w:r>
      <w:r>
        <w:rPr>
          <w:rFonts w:eastAsia="Times New Roman" w:cs="Segoe UI"/>
          <w:color w:val="000000"/>
          <w:lang w:eastAsia="en-GB"/>
        </w:rPr>
        <w:t xml:space="preserve">has risen to </w:t>
      </w:r>
      <w:r w:rsidRPr="00AC1582">
        <w:rPr>
          <w:rFonts w:eastAsia="Times New Roman" w:cs="Segoe UI"/>
          <w:color w:val="000000"/>
          <w:lang w:eastAsia="en-GB"/>
        </w:rPr>
        <w:t>39%</w:t>
      </w:r>
      <w:r>
        <w:rPr>
          <w:rFonts w:eastAsia="Times New Roman" w:cs="Segoe UI"/>
          <w:color w:val="000000"/>
          <w:lang w:eastAsia="en-GB"/>
        </w:rPr>
        <w:t>, and is now close to ‘balanced’ (where each sex holds between 40-60% of positions within an occupational group)</w:t>
      </w:r>
    </w:p>
    <w:p w:rsidR="00403E41" w:rsidRDefault="00403E41" w:rsidP="00403E41">
      <w:pPr>
        <w:pStyle w:val="ListParagraph"/>
        <w:numPr>
          <w:ilvl w:val="0"/>
          <w:numId w:val="4"/>
        </w:numPr>
        <w:spacing w:after="120"/>
        <w:rPr>
          <w:rFonts w:eastAsia="Times New Roman" w:cs="Segoe UI"/>
          <w:color w:val="000000"/>
          <w:lang w:eastAsia="en-GB"/>
        </w:rPr>
      </w:pPr>
      <w:r w:rsidRPr="00AC1582">
        <w:rPr>
          <w:rFonts w:eastAsia="Times New Roman" w:cs="Segoe UI"/>
          <w:color w:val="000000"/>
          <w:lang w:eastAsia="en-GB"/>
        </w:rPr>
        <w:t>Female representation a</w:t>
      </w:r>
      <w:r>
        <w:rPr>
          <w:rFonts w:eastAsia="Times New Roman" w:cs="Segoe UI"/>
          <w:color w:val="000000"/>
          <w:lang w:eastAsia="en-GB"/>
        </w:rPr>
        <w:t>mong the</w:t>
      </w:r>
      <w:r w:rsidRPr="00AC1582">
        <w:rPr>
          <w:rFonts w:eastAsia="Times New Roman" w:cs="Segoe UI"/>
          <w:color w:val="000000"/>
          <w:lang w:eastAsia="en-GB"/>
        </w:rPr>
        <w:t xml:space="preserve"> professoriate </w:t>
      </w:r>
      <w:r>
        <w:rPr>
          <w:rFonts w:eastAsia="Times New Roman" w:cs="Segoe UI"/>
          <w:color w:val="000000"/>
          <w:lang w:eastAsia="en-GB"/>
        </w:rPr>
        <w:t xml:space="preserve">has risen </w:t>
      </w:r>
      <w:r w:rsidRPr="00AC1582">
        <w:rPr>
          <w:rFonts w:eastAsia="Times New Roman" w:cs="Segoe UI"/>
          <w:color w:val="000000"/>
          <w:lang w:eastAsia="en-GB"/>
        </w:rPr>
        <w:t>to 30%</w:t>
      </w:r>
    </w:p>
    <w:p w:rsidR="00403E41" w:rsidRDefault="00403E41" w:rsidP="00403E41">
      <w:pPr>
        <w:pStyle w:val="ListParagraph"/>
        <w:numPr>
          <w:ilvl w:val="0"/>
          <w:numId w:val="4"/>
        </w:numPr>
        <w:spacing w:after="120"/>
        <w:rPr>
          <w:rFonts w:eastAsia="Times New Roman" w:cs="Segoe UI"/>
          <w:color w:val="000000"/>
          <w:lang w:eastAsia="en-GB"/>
        </w:rPr>
      </w:pPr>
      <w:r w:rsidRPr="00F15139">
        <w:rPr>
          <w:rFonts w:eastAsia="Times New Roman" w:cs="Segoe UI"/>
          <w:color w:val="000000"/>
          <w:lang w:eastAsia="en-GB"/>
        </w:rPr>
        <w:t xml:space="preserve">BME representation is now 15% at Lecturer, 11% at Senior Lecturer and 9% at Professor </w:t>
      </w:r>
      <w:proofErr w:type="gramStart"/>
      <w:r w:rsidRPr="00F15139">
        <w:rPr>
          <w:rFonts w:eastAsia="Times New Roman" w:cs="Segoe UI"/>
          <w:color w:val="000000"/>
          <w:lang w:eastAsia="en-GB"/>
        </w:rPr>
        <w:t>level</w:t>
      </w:r>
      <w:proofErr w:type="gramEnd"/>
      <w:r w:rsidRPr="00F15139">
        <w:rPr>
          <w:rFonts w:eastAsia="Times New Roman" w:cs="Segoe UI"/>
          <w:color w:val="000000"/>
          <w:lang w:eastAsia="en-GB"/>
        </w:rPr>
        <w:t xml:space="preserve">.  The overall rate is 13%, below target. </w:t>
      </w:r>
    </w:p>
    <w:p w:rsidR="00403E41" w:rsidRPr="00F15139" w:rsidRDefault="00403E41" w:rsidP="006E79A8">
      <w:pPr>
        <w:spacing w:after="120"/>
        <w:jc w:val="both"/>
        <w:rPr>
          <w:rFonts w:eastAsia="Times New Roman" w:cs="Segoe UI"/>
          <w:color w:val="000000"/>
          <w:lang w:eastAsia="en-GB"/>
        </w:rPr>
      </w:pPr>
      <w:r w:rsidRPr="00F15139">
        <w:rPr>
          <w:rFonts w:eastAsia="Times New Roman" w:cs="Segoe UI"/>
          <w:color w:val="000000"/>
          <w:lang w:eastAsia="en-GB"/>
        </w:rPr>
        <w:t>School variations persist</w:t>
      </w:r>
      <w:r>
        <w:rPr>
          <w:rFonts w:eastAsia="Times New Roman" w:cs="Segoe UI"/>
          <w:color w:val="000000"/>
          <w:lang w:eastAsia="en-GB"/>
        </w:rPr>
        <w:t xml:space="preserve"> within this Faculty aggregate picture, and it is these salient differences which inform the local action plans. For example</w:t>
      </w:r>
      <w:r w:rsidRPr="00F15139">
        <w:rPr>
          <w:rFonts w:eastAsia="Times New Roman" w:cs="Segoe UI"/>
          <w:color w:val="000000"/>
          <w:lang w:eastAsia="en-GB"/>
        </w:rPr>
        <w:t xml:space="preserve">: </w:t>
      </w:r>
    </w:p>
    <w:p w:rsidR="00403E41" w:rsidRDefault="00403E41" w:rsidP="00403E41">
      <w:pPr>
        <w:pStyle w:val="ListParagraph"/>
        <w:numPr>
          <w:ilvl w:val="0"/>
          <w:numId w:val="4"/>
        </w:numPr>
        <w:spacing w:after="120"/>
        <w:rPr>
          <w:rFonts w:eastAsia="Times New Roman" w:cs="Segoe UI"/>
          <w:color w:val="000000"/>
          <w:lang w:eastAsia="en-GB"/>
        </w:rPr>
      </w:pPr>
      <w:r w:rsidRPr="00F15139">
        <w:rPr>
          <w:rFonts w:eastAsia="Times New Roman" w:cs="Segoe UI"/>
          <w:color w:val="000000"/>
          <w:lang w:eastAsia="en-GB"/>
        </w:rPr>
        <w:t>women’s representation at professor level is lowest in Law (25%) and highest in SALC at 35%</w:t>
      </w:r>
    </w:p>
    <w:p w:rsidR="00403E41" w:rsidRPr="00F15139" w:rsidRDefault="00403E41" w:rsidP="00403E41">
      <w:pPr>
        <w:pStyle w:val="ListParagraph"/>
        <w:numPr>
          <w:ilvl w:val="0"/>
          <w:numId w:val="4"/>
        </w:numPr>
        <w:spacing w:after="120"/>
        <w:rPr>
          <w:rFonts w:eastAsia="Times New Roman" w:cs="Segoe UI"/>
          <w:color w:val="000000"/>
          <w:lang w:eastAsia="en-GB"/>
        </w:rPr>
      </w:pPr>
      <w:r>
        <w:rPr>
          <w:rFonts w:eastAsia="Times New Roman" w:cs="Segoe UI"/>
          <w:color w:val="000000"/>
          <w:lang w:eastAsia="en-GB"/>
        </w:rPr>
        <w:t>In SALC the gender profile at Senior Lecture is now close to target (women hold 45% of these positions)</w:t>
      </w:r>
    </w:p>
    <w:p w:rsidR="00403E41" w:rsidRPr="00BB10E4" w:rsidRDefault="00403E41" w:rsidP="00403E41">
      <w:pPr>
        <w:pStyle w:val="ListParagraph"/>
        <w:numPr>
          <w:ilvl w:val="0"/>
          <w:numId w:val="4"/>
        </w:numPr>
        <w:spacing w:after="120"/>
        <w:rPr>
          <w:rFonts w:ascii="Calibri" w:eastAsia="Times New Roman" w:hAnsi="Calibri" w:cs="Segoe UI"/>
          <w:color w:val="000000"/>
          <w:lang w:eastAsia="en-GB"/>
        </w:rPr>
      </w:pPr>
      <w:r w:rsidRPr="00BB10E4">
        <w:rPr>
          <w:rFonts w:eastAsia="Times New Roman" w:cs="Segoe UI"/>
          <w:color w:val="000000"/>
          <w:lang w:eastAsia="en-GB"/>
        </w:rPr>
        <w:t xml:space="preserve">MBS and </w:t>
      </w:r>
      <w:proofErr w:type="spellStart"/>
      <w:r w:rsidRPr="00BB10E4">
        <w:rPr>
          <w:rFonts w:eastAsia="Times New Roman" w:cs="Segoe UI"/>
          <w:color w:val="000000"/>
          <w:lang w:eastAsia="en-GB"/>
        </w:rPr>
        <w:t>SoSS</w:t>
      </w:r>
      <w:proofErr w:type="spellEnd"/>
      <w:r w:rsidRPr="00BB10E4">
        <w:rPr>
          <w:rFonts w:eastAsia="Times New Roman" w:cs="Segoe UI"/>
          <w:color w:val="000000"/>
          <w:lang w:eastAsia="en-GB"/>
        </w:rPr>
        <w:t xml:space="preserve"> have the highest representation of BME staff among academic staff.</w:t>
      </w:r>
    </w:p>
    <w:p w:rsidR="00FA7037" w:rsidRDefault="00FA7037" w:rsidP="00403E41">
      <w:pPr>
        <w:spacing w:after="120"/>
        <w:rPr>
          <w:rFonts w:ascii="Calibri" w:eastAsia="Times New Roman" w:hAnsi="Calibri" w:cs="Segoe UI"/>
          <w:b/>
          <w:i/>
          <w:color w:val="000000"/>
          <w:lang w:eastAsia="en-GB"/>
        </w:rPr>
      </w:pPr>
    </w:p>
    <w:p w:rsidR="00403E41" w:rsidRPr="004F04B1" w:rsidRDefault="00403E41" w:rsidP="00403E41">
      <w:pPr>
        <w:spacing w:after="120"/>
        <w:rPr>
          <w:rFonts w:ascii="Calibri" w:eastAsia="Times New Roman" w:hAnsi="Calibri" w:cs="Segoe UI"/>
          <w:b/>
          <w:i/>
          <w:color w:val="000000"/>
          <w:lang w:eastAsia="en-GB"/>
        </w:rPr>
      </w:pPr>
      <w:r w:rsidRPr="004F04B1">
        <w:rPr>
          <w:rFonts w:ascii="Calibri" w:eastAsia="Times New Roman" w:hAnsi="Calibri" w:cs="Segoe UI"/>
          <w:b/>
          <w:i/>
          <w:color w:val="000000"/>
          <w:lang w:eastAsia="en-GB"/>
        </w:rPr>
        <w:t>Diversity profile of management and leadership positions</w:t>
      </w:r>
    </w:p>
    <w:p w:rsidR="00403E41" w:rsidRPr="00944E66" w:rsidRDefault="00403E41" w:rsidP="006E79A8">
      <w:pPr>
        <w:spacing w:after="120"/>
        <w:jc w:val="both"/>
        <w:rPr>
          <w:rFonts w:ascii="Calibri" w:eastAsia="Times New Roman" w:hAnsi="Calibri" w:cs="Segoe UI"/>
          <w:color w:val="000000"/>
          <w:highlight w:val="yellow"/>
          <w:lang w:eastAsia="en-GB"/>
        </w:rPr>
      </w:pPr>
      <w:r w:rsidRPr="00944E66">
        <w:rPr>
          <w:rFonts w:ascii="Calibri" w:eastAsia="Times New Roman" w:hAnsi="Calibri" w:cs="Segoe UI"/>
          <w:color w:val="000000"/>
          <w:lang w:eastAsia="en-GB"/>
        </w:rPr>
        <w:t xml:space="preserve">One of the new pieces of analysis we have undertaken this year is to examine </w:t>
      </w:r>
      <w:r>
        <w:rPr>
          <w:rFonts w:ascii="Calibri" w:eastAsia="Times New Roman" w:hAnsi="Calibri" w:cs="Segoe UI"/>
          <w:color w:val="000000"/>
          <w:lang w:eastAsia="en-GB"/>
        </w:rPr>
        <w:t xml:space="preserve">the gender and BME profile for management teams </w:t>
      </w:r>
      <w:r w:rsidRPr="00944E66">
        <w:rPr>
          <w:rFonts w:ascii="Calibri" w:eastAsia="Times New Roman" w:hAnsi="Calibri" w:cs="Segoe UI"/>
          <w:color w:val="000000"/>
          <w:lang w:eastAsia="en-GB"/>
        </w:rPr>
        <w:t>at School level plus Research Centre Heads/Deputy Heads</w:t>
      </w:r>
      <w:r>
        <w:rPr>
          <w:rFonts w:ascii="Calibri" w:eastAsia="Times New Roman" w:hAnsi="Calibri" w:cs="Segoe UI"/>
          <w:color w:val="000000"/>
          <w:lang w:eastAsia="en-GB"/>
        </w:rPr>
        <w:t xml:space="preserve">. This is presented </w:t>
      </w:r>
      <w:r w:rsidRPr="00F07A3A">
        <w:rPr>
          <w:rFonts w:ascii="Calibri" w:eastAsia="Times New Roman" w:hAnsi="Calibri" w:cs="Segoe UI"/>
          <w:color w:val="000000"/>
          <w:lang w:eastAsia="en-GB"/>
        </w:rPr>
        <w:t>in table 1. The</w:t>
      </w:r>
      <w:r w:rsidRPr="00944E66">
        <w:rPr>
          <w:rFonts w:ascii="Calibri" w:eastAsia="Times New Roman" w:hAnsi="Calibri" w:cs="Segoe UI"/>
          <w:color w:val="000000"/>
          <w:lang w:eastAsia="en-GB"/>
        </w:rPr>
        <w:t xml:space="preserve"> results show</w:t>
      </w:r>
      <w:r>
        <w:rPr>
          <w:rFonts w:ascii="Calibri" w:eastAsia="Times New Roman" w:hAnsi="Calibri" w:cs="Segoe UI"/>
          <w:color w:val="000000"/>
          <w:lang w:eastAsia="en-GB"/>
        </w:rPr>
        <w:t xml:space="preserve"> that:</w:t>
      </w:r>
    </w:p>
    <w:p w:rsidR="006E79A8" w:rsidRDefault="00403E41" w:rsidP="00403E41">
      <w:pPr>
        <w:pStyle w:val="ListParagraph"/>
        <w:numPr>
          <w:ilvl w:val="0"/>
          <w:numId w:val="6"/>
        </w:numPr>
        <w:spacing w:after="120"/>
        <w:rPr>
          <w:rFonts w:ascii="Calibri" w:eastAsia="Times New Roman" w:hAnsi="Calibri" w:cs="Segoe UI"/>
          <w:color w:val="000000"/>
          <w:lang w:eastAsia="en-GB"/>
        </w:rPr>
      </w:pPr>
      <w:r w:rsidRPr="00944E66">
        <w:rPr>
          <w:rFonts w:ascii="Calibri" w:eastAsia="Times New Roman" w:hAnsi="Calibri" w:cs="Segoe UI"/>
          <w:color w:val="000000"/>
          <w:lang w:eastAsia="en-GB"/>
        </w:rPr>
        <w:t>The gender representation is exactly equal</w:t>
      </w:r>
    </w:p>
    <w:p w:rsidR="00403E41" w:rsidRPr="00944E66" w:rsidRDefault="006E79A8" w:rsidP="006E79A8">
      <w:pPr>
        <w:pStyle w:val="ListParagraph"/>
        <w:numPr>
          <w:ilvl w:val="1"/>
          <w:numId w:val="6"/>
        </w:numPr>
        <w:spacing w:after="120"/>
        <w:rPr>
          <w:rFonts w:ascii="Calibri" w:eastAsia="Times New Roman" w:hAnsi="Calibri" w:cs="Segoe UI"/>
          <w:color w:val="000000"/>
          <w:lang w:eastAsia="en-GB"/>
        </w:rPr>
      </w:pPr>
      <w:r>
        <w:rPr>
          <w:rFonts w:ascii="Calibri" w:eastAsia="Times New Roman" w:hAnsi="Calibri" w:cs="Segoe UI"/>
          <w:color w:val="000000"/>
          <w:lang w:eastAsia="en-GB"/>
        </w:rPr>
        <w:t>But a more detailed breakdown shows women are under-represented in the most senior positions (Heads of School, Directors of Research Institutes)</w:t>
      </w:r>
      <w:r w:rsidR="00403E41" w:rsidRPr="00944E66">
        <w:rPr>
          <w:rFonts w:ascii="Calibri" w:eastAsia="Times New Roman" w:hAnsi="Calibri" w:cs="Segoe UI"/>
          <w:color w:val="000000"/>
          <w:lang w:eastAsia="en-GB"/>
        </w:rPr>
        <w:t xml:space="preserve">.  </w:t>
      </w:r>
    </w:p>
    <w:p w:rsidR="00403E41" w:rsidRPr="00D822FF" w:rsidRDefault="006E79A8" w:rsidP="00403E41">
      <w:pPr>
        <w:pStyle w:val="ListParagraph"/>
        <w:numPr>
          <w:ilvl w:val="0"/>
          <w:numId w:val="6"/>
        </w:numPr>
        <w:spacing w:after="120"/>
        <w:rPr>
          <w:rFonts w:eastAsia="Times New Roman" w:cs="Segoe UI"/>
          <w:b/>
          <w:color w:val="000000"/>
          <w:sz w:val="24"/>
          <w:szCs w:val="24"/>
          <w:lang w:eastAsia="en-GB"/>
        </w:rPr>
      </w:pPr>
      <w:r>
        <w:rPr>
          <w:rFonts w:ascii="Calibri" w:eastAsia="Times New Roman" w:hAnsi="Calibri" w:cs="Segoe UI"/>
          <w:color w:val="000000"/>
          <w:lang w:eastAsia="en-GB"/>
        </w:rPr>
        <w:t xml:space="preserve">However, </w:t>
      </w:r>
      <w:r w:rsidR="00403E41" w:rsidRPr="00944E66">
        <w:rPr>
          <w:rFonts w:ascii="Calibri" w:eastAsia="Times New Roman" w:hAnsi="Calibri" w:cs="Segoe UI"/>
          <w:color w:val="000000"/>
          <w:lang w:eastAsia="en-GB"/>
        </w:rPr>
        <w:t>BME colleagues occupy only 7% of these positions.  </w:t>
      </w:r>
    </w:p>
    <w:p w:rsidR="00403E41" w:rsidRDefault="00403E41" w:rsidP="00403E41">
      <w:r w:rsidRPr="00BB10E4">
        <w:rPr>
          <w:b/>
        </w:rPr>
        <w:t>Table 1</w:t>
      </w:r>
      <w:r w:rsidR="006E79A8">
        <w:t xml:space="preserve">: </w:t>
      </w:r>
      <w:r w:rsidRPr="006E79A8">
        <w:rPr>
          <w:b/>
        </w:rPr>
        <w:t>Gender/Ethnicity composition of management Teams at School level plus Research Centre Heads/Deputy Heads as at May 2015</w:t>
      </w:r>
    </w:p>
    <w:tbl>
      <w:tblPr>
        <w:tblStyle w:val="TableGrid"/>
        <w:tblW w:w="0" w:type="auto"/>
        <w:tblLook w:val="04A0" w:firstRow="1" w:lastRow="0" w:firstColumn="1" w:lastColumn="0" w:noHBand="0" w:noVBand="1"/>
      </w:tblPr>
      <w:tblGrid>
        <w:gridCol w:w="1915"/>
        <w:gridCol w:w="1028"/>
        <w:gridCol w:w="1134"/>
        <w:gridCol w:w="851"/>
        <w:gridCol w:w="709"/>
      </w:tblGrid>
      <w:tr w:rsidR="00403E41" w:rsidTr="006E79A8">
        <w:tc>
          <w:tcPr>
            <w:tcW w:w="1915" w:type="dxa"/>
            <w:tcBorders>
              <w:top w:val="single" w:sz="4" w:space="0" w:color="auto"/>
              <w:left w:val="single" w:sz="4" w:space="0" w:color="auto"/>
              <w:bottom w:val="single" w:sz="4" w:space="0" w:color="auto"/>
              <w:right w:val="single" w:sz="4" w:space="0" w:color="auto"/>
            </w:tcBorders>
            <w:shd w:val="clear" w:color="auto" w:fill="000000" w:themeFill="text1"/>
          </w:tcPr>
          <w:p w:rsidR="00403E41" w:rsidRDefault="00403E41" w:rsidP="00D822FF"/>
        </w:tc>
        <w:tc>
          <w:tcPr>
            <w:tcW w:w="1028" w:type="dxa"/>
            <w:tcBorders>
              <w:top w:val="single" w:sz="4" w:space="0" w:color="auto"/>
              <w:left w:val="single" w:sz="4" w:space="0" w:color="auto"/>
              <w:bottom w:val="single" w:sz="4" w:space="0" w:color="auto"/>
              <w:right w:val="single" w:sz="4" w:space="0" w:color="auto"/>
            </w:tcBorders>
            <w:hideMark/>
          </w:tcPr>
          <w:p w:rsidR="00403E41" w:rsidRDefault="00403E41" w:rsidP="00D822FF">
            <w:r>
              <w:t>Male</w:t>
            </w:r>
          </w:p>
        </w:tc>
        <w:tc>
          <w:tcPr>
            <w:tcW w:w="1134" w:type="dxa"/>
            <w:tcBorders>
              <w:top w:val="single" w:sz="4" w:space="0" w:color="auto"/>
              <w:left w:val="single" w:sz="4" w:space="0" w:color="auto"/>
              <w:bottom w:val="single" w:sz="4" w:space="0" w:color="auto"/>
              <w:right w:val="single" w:sz="4" w:space="0" w:color="auto"/>
            </w:tcBorders>
            <w:hideMark/>
          </w:tcPr>
          <w:p w:rsidR="00403E41" w:rsidRDefault="00403E41" w:rsidP="00D822FF">
            <w:r>
              <w:t>Female</w:t>
            </w:r>
          </w:p>
        </w:tc>
        <w:tc>
          <w:tcPr>
            <w:tcW w:w="851" w:type="dxa"/>
            <w:tcBorders>
              <w:top w:val="single" w:sz="4" w:space="0" w:color="auto"/>
              <w:left w:val="single" w:sz="4" w:space="0" w:color="auto"/>
              <w:bottom w:val="single" w:sz="4" w:space="0" w:color="auto"/>
              <w:right w:val="single" w:sz="4" w:space="0" w:color="auto"/>
            </w:tcBorders>
            <w:hideMark/>
          </w:tcPr>
          <w:p w:rsidR="00403E41" w:rsidRDefault="00403E41" w:rsidP="00D822FF">
            <w:r>
              <w:t xml:space="preserve">Total </w:t>
            </w:r>
          </w:p>
        </w:tc>
        <w:tc>
          <w:tcPr>
            <w:tcW w:w="709" w:type="dxa"/>
            <w:tcBorders>
              <w:top w:val="single" w:sz="4" w:space="0" w:color="auto"/>
              <w:left w:val="single" w:sz="4" w:space="0" w:color="auto"/>
              <w:bottom w:val="single" w:sz="4" w:space="0" w:color="auto"/>
              <w:right w:val="single" w:sz="4" w:space="0" w:color="auto"/>
            </w:tcBorders>
          </w:tcPr>
          <w:p w:rsidR="00403E41" w:rsidRDefault="00403E41" w:rsidP="00D822FF">
            <w:r>
              <w:t>%</w:t>
            </w:r>
          </w:p>
        </w:tc>
      </w:tr>
      <w:tr w:rsidR="00403E41" w:rsidTr="006E79A8">
        <w:tc>
          <w:tcPr>
            <w:tcW w:w="1915" w:type="dxa"/>
            <w:tcBorders>
              <w:top w:val="single" w:sz="4" w:space="0" w:color="auto"/>
              <w:left w:val="single" w:sz="4" w:space="0" w:color="auto"/>
              <w:bottom w:val="single" w:sz="4" w:space="0" w:color="auto"/>
              <w:right w:val="single" w:sz="4" w:space="0" w:color="auto"/>
            </w:tcBorders>
            <w:hideMark/>
          </w:tcPr>
          <w:p w:rsidR="00403E41" w:rsidRDefault="00403E41" w:rsidP="00D822FF">
            <w:r>
              <w:t>White</w:t>
            </w:r>
          </w:p>
        </w:tc>
        <w:tc>
          <w:tcPr>
            <w:tcW w:w="1028" w:type="dxa"/>
            <w:tcBorders>
              <w:top w:val="single" w:sz="4" w:space="0" w:color="auto"/>
              <w:left w:val="single" w:sz="4" w:space="0" w:color="auto"/>
              <w:bottom w:val="single" w:sz="4" w:space="0" w:color="auto"/>
              <w:right w:val="single" w:sz="4" w:space="0" w:color="auto"/>
            </w:tcBorders>
            <w:hideMark/>
          </w:tcPr>
          <w:p w:rsidR="00403E41" w:rsidRDefault="00403E41" w:rsidP="00D822FF">
            <w:r>
              <w:t>62</w:t>
            </w:r>
          </w:p>
        </w:tc>
        <w:tc>
          <w:tcPr>
            <w:tcW w:w="1134" w:type="dxa"/>
            <w:tcBorders>
              <w:top w:val="single" w:sz="4" w:space="0" w:color="auto"/>
              <w:left w:val="single" w:sz="4" w:space="0" w:color="auto"/>
              <w:bottom w:val="single" w:sz="4" w:space="0" w:color="auto"/>
              <w:right w:val="single" w:sz="4" w:space="0" w:color="auto"/>
            </w:tcBorders>
            <w:hideMark/>
          </w:tcPr>
          <w:p w:rsidR="00403E41" w:rsidRDefault="00403E41" w:rsidP="00D822FF">
            <w:r>
              <w:t>61</w:t>
            </w:r>
          </w:p>
        </w:tc>
        <w:tc>
          <w:tcPr>
            <w:tcW w:w="851" w:type="dxa"/>
            <w:tcBorders>
              <w:top w:val="single" w:sz="4" w:space="0" w:color="auto"/>
              <w:left w:val="single" w:sz="4" w:space="0" w:color="auto"/>
              <w:bottom w:val="single" w:sz="4" w:space="0" w:color="auto"/>
              <w:right w:val="single" w:sz="4" w:space="0" w:color="auto"/>
            </w:tcBorders>
            <w:hideMark/>
          </w:tcPr>
          <w:p w:rsidR="00403E41" w:rsidRDefault="00403E41" w:rsidP="00D822FF">
            <w:r>
              <w:t>123</w:t>
            </w:r>
          </w:p>
        </w:tc>
        <w:tc>
          <w:tcPr>
            <w:tcW w:w="709" w:type="dxa"/>
            <w:tcBorders>
              <w:top w:val="single" w:sz="4" w:space="0" w:color="auto"/>
              <w:left w:val="single" w:sz="4" w:space="0" w:color="auto"/>
              <w:bottom w:val="single" w:sz="4" w:space="0" w:color="auto"/>
              <w:right w:val="single" w:sz="4" w:space="0" w:color="auto"/>
            </w:tcBorders>
          </w:tcPr>
          <w:p w:rsidR="00403E41" w:rsidRDefault="00403E41" w:rsidP="00D822FF">
            <w:r>
              <w:t>93</w:t>
            </w:r>
          </w:p>
        </w:tc>
      </w:tr>
      <w:tr w:rsidR="00403E41" w:rsidTr="006E79A8">
        <w:tc>
          <w:tcPr>
            <w:tcW w:w="1915" w:type="dxa"/>
            <w:tcBorders>
              <w:top w:val="single" w:sz="4" w:space="0" w:color="auto"/>
              <w:left w:val="single" w:sz="4" w:space="0" w:color="auto"/>
              <w:bottom w:val="single" w:sz="4" w:space="0" w:color="auto"/>
              <w:right w:val="single" w:sz="4" w:space="0" w:color="auto"/>
            </w:tcBorders>
            <w:hideMark/>
          </w:tcPr>
          <w:p w:rsidR="00403E41" w:rsidRDefault="00403E41" w:rsidP="00D822FF">
            <w:r>
              <w:t>BME</w:t>
            </w:r>
          </w:p>
        </w:tc>
        <w:tc>
          <w:tcPr>
            <w:tcW w:w="1028" w:type="dxa"/>
            <w:tcBorders>
              <w:top w:val="single" w:sz="4" w:space="0" w:color="auto"/>
              <w:left w:val="single" w:sz="4" w:space="0" w:color="auto"/>
              <w:bottom w:val="single" w:sz="4" w:space="0" w:color="auto"/>
              <w:right w:val="single" w:sz="4" w:space="0" w:color="auto"/>
            </w:tcBorders>
            <w:hideMark/>
          </w:tcPr>
          <w:p w:rsidR="00403E41" w:rsidRDefault="00403E41" w:rsidP="00D822FF">
            <w:r>
              <w:t>4</w:t>
            </w:r>
          </w:p>
        </w:tc>
        <w:tc>
          <w:tcPr>
            <w:tcW w:w="1134" w:type="dxa"/>
            <w:tcBorders>
              <w:top w:val="single" w:sz="4" w:space="0" w:color="auto"/>
              <w:left w:val="single" w:sz="4" w:space="0" w:color="auto"/>
              <w:bottom w:val="single" w:sz="4" w:space="0" w:color="auto"/>
              <w:right w:val="single" w:sz="4" w:space="0" w:color="auto"/>
            </w:tcBorders>
            <w:hideMark/>
          </w:tcPr>
          <w:p w:rsidR="00403E41" w:rsidRDefault="00403E41" w:rsidP="00D822FF">
            <w:r>
              <w:t>5</w:t>
            </w:r>
          </w:p>
        </w:tc>
        <w:tc>
          <w:tcPr>
            <w:tcW w:w="851" w:type="dxa"/>
            <w:tcBorders>
              <w:top w:val="single" w:sz="4" w:space="0" w:color="auto"/>
              <w:left w:val="single" w:sz="4" w:space="0" w:color="auto"/>
              <w:bottom w:val="single" w:sz="4" w:space="0" w:color="auto"/>
              <w:right w:val="single" w:sz="4" w:space="0" w:color="auto"/>
            </w:tcBorders>
            <w:hideMark/>
          </w:tcPr>
          <w:p w:rsidR="00403E41" w:rsidRDefault="00403E41" w:rsidP="00D822FF">
            <w:r>
              <w:t>9</w:t>
            </w:r>
          </w:p>
        </w:tc>
        <w:tc>
          <w:tcPr>
            <w:tcW w:w="709" w:type="dxa"/>
            <w:tcBorders>
              <w:top w:val="single" w:sz="4" w:space="0" w:color="auto"/>
              <w:left w:val="single" w:sz="4" w:space="0" w:color="auto"/>
              <w:bottom w:val="single" w:sz="4" w:space="0" w:color="auto"/>
              <w:right w:val="single" w:sz="4" w:space="0" w:color="auto"/>
            </w:tcBorders>
          </w:tcPr>
          <w:p w:rsidR="00403E41" w:rsidRDefault="00403E41" w:rsidP="00D822FF">
            <w:r>
              <w:t>7</w:t>
            </w:r>
          </w:p>
        </w:tc>
      </w:tr>
      <w:tr w:rsidR="00403E41" w:rsidTr="006E79A8">
        <w:tc>
          <w:tcPr>
            <w:tcW w:w="1915" w:type="dxa"/>
            <w:tcBorders>
              <w:top w:val="single" w:sz="4" w:space="0" w:color="auto"/>
              <w:left w:val="single" w:sz="4" w:space="0" w:color="auto"/>
              <w:bottom w:val="single" w:sz="4" w:space="0" w:color="auto"/>
              <w:right w:val="single" w:sz="4" w:space="0" w:color="auto"/>
            </w:tcBorders>
            <w:hideMark/>
          </w:tcPr>
          <w:p w:rsidR="00403E41" w:rsidRDefault="00403E41" w:rsidP="00D822FF">
            <w:r>
              <w:t xml:space="preserve">Total </w:t>
            </w:r>
          </w:p>
        </w:tc>
        <w:tc>
          <w:tcPr>
            <w:tcW w:w="1028" w:type="dxa"/>
            <w:tcBorders>
              <w:top w:val="single" w:sz="4" w:space="0" w:color="auto"/>
              <w:left w:val="single" w:sz="4" w:space="0" w:color="auto"/>
              <w:bottom w:val="single" w:sz="4" w:space="0" w:color="auto"/>
              <w:right w:val="single" w:sz="4" w:space="0" w:color="auto"/>
            </w:tcBorders>
            <w:hideMark/>
          </w:tcPr>
          <w:p w:rsidR="00403E41" w:rsidRDefault="00403E41" w:rsidP="00D822FF">
            <w:r>
              <w:t>66</w:t>
            </w:r>
          </w:p>
        </w:tc>
        <w:tc>
          <w:tcPr>
            <w:tcW w:w="1134" w:type="dxa"/>
            <w:tcBorders>
              <w:top w:val="single" w:sz="4" w:space="0" w:color="auto"/>
              <w:left w:val="single" w:sz="4" w:space="0" w:color="auto"/>
              <w:bottom w:val="single" w:sz="4" w:space="0" w:color="auto"/>
              <w:right w:val="single" w:sz="4" w:space="0" w:color="auto"/>
            </w:tcBorders>
            <w:hideMark/>
          </w:tcPr>
          <w:p w:rsidR="00403E41" w:rsidRDefault="00403E41" w:rsidP="00D822FF">
            <w:r>
              <w:t>66</w:t>
            </w:r>
          </w:p>
        </w:tc>
        <w:tc>
          <w:tcPr>
            <w:tcW w:w="851" w:type="dxa"/>
            <w:tcBorders>
              <w:top w:val="single" w:sz="4" w:space="0" w:color="auto"/>
              <w:left w:val="single" w:sz="4" w:space="0" w:color="auto"/>
              <w:bottom w:val="single" w:sz="4" w:space="0" w:color="auto"/>
              <w:right w:val="single" w:sz="4" w:space="0" w:color="auto"/>
            </w:tcBorders>
            <w:hideMark/>
          </w:tcPr>
          <w:p w:rsidR="00403E41" w:rsidRDefault="00403E41" w:rsidP="00D822FF">
            <w:r>
              <w:t>132</w:t>
            </w:r>
          </w:p>
        </w:tc>
        <w:tc>
          <w:tcPr>
            <w:tcW w:w="709" w:type="dxa"/>
            <w:tcBorders>
              <w:top w:val="single" w:sz="4" w:space="0" w:color="auto"/>
              <w:left w:val="single" w:sz="4" w:space="0" w:color="auto"/>
              <w:bottom w:val="single" w:sz="4" w:space="0" w:color="auto"/>
              <w:right w:val="single" w:sz="4" w:space="0" w:color="auto"/>
            </w:tcBorders>
          </w:tcPr>
          <w:p w:rsidR="00403E41" w:rsidRDefault="00403E41" w:rsidP="00D822FF">
            <w:r>
              <w:t>100</w:t>
            </w:r>
          </w:p>
        </w:tc>
      </w:tr>
      <w:tr w:rsidR="00403E41" w:rsidTr="006E79A8">
        <w:tc>
          <w:tcPr>
            <w:tcW w:w="1915" w:type="dxa"/>
            <w:tcBorders>
              <w:top w:val="single" w:sz="4" w:space="0" w:color="auto"/>
              <w:left w:val="single" w:sz="4" w:space="0" w:color="auto"/>
              <w:bottom w:val="single" w:sz="4" w:space="0" w:color="auto"/>
              <w:right w:val="single" w:sz="4" w:space="0" w:color="auto"/>
            </w:tcBorders>
          </w:tcPr>
          <w:p w:rsidR="00403E41" w:rsidRDefault="00403E41" w:rsidP="00D822FF">
            <w:r>
              <w:t>%</w:t>
            </w:r>
          </w:p>
        </w:tc>
        <w:tc>
          <w:tcPr>
            <w:tcW w:w="1028" w:type="dxa"/>
            <w:tcBorders>
              <w:top w:val="single" w:sz="4" w:space="0" w:color="auto"/>
              <w:left w:val="single" w:sz="4" w:space="0" w:color="auto"/>
              <w:bottom w:val="single" w:sz="4" w:space="0" w:color="auto"/>
              <w:right w:val="single" w:sz="4" w:space="0" w:color="auto"/>
            </w:tcBorders>
          </w:tcPr>
          <w:p w:rsidR="00403E41" w:rsidRDefault="00403E41" w:rsidP="00D822FF">
            <w:r>
              <w:t>50</w:t>
            </w:r>
          </w:p>
        </w:tc>
        <w:tc>
          <w:tcPr>
            <w:tcW w:w="1134" w:type="dxa"/>
            <w:tcBorders>
              <w:top w:val="single" w:sz="4" w:space="0" w:color="auto"/>
              <w:left w:val="single" w:sz="4" w:space="0" w:color="auto"/>
              <w:bottom w:val="single" w:sz="4" w:space="0" w:color="auto"/>
              <w:right w:val="single" w:sz="4" w:space="0" w:color="auto"/>
            </w:tcBorders>
          </w:tcPr>
          <w:p w:rsidR="00403E41" w:rsidRDefault="00403E41" w:rsidP="00D822FF">
            <w:r>
              <w:t>50</w:t>
            </w:r>
          </w:p>
        </w:tc>
        <w:tc>
          <w:tcPr>
            <w:tcW w:w="851" w:type="dxa"/>
            <w:tcBorders>
              <w:top w:val="single" w:sz="4" w:space="0" w:color="auto"/>
              <w:left w:val="single" w:sz="4" w:space="0" w:color="auto"/>
              <w:bottom w:val="single" w:sz="4" w:space="0" w:color="auto"/>
              <w:right w:val="single" w:sz="4" w:space="0" w:color="auto"/>
            </w:tcBorders>
          </w:tcPr>
          <w:p w:rsidR="00403E41" w:rsidRDefault="00403E41" w:rsidP="00D822FF">
            <w:r>
              <w:t>100</w:t>
            </w:r>
          </w:p>
        </w:tc>
        <w:tc>
          <w:tcPr>
            <w:tcW w:w="709" w:type="dxa"/>
            <w:tcBorders>
              <w:top w:val="single" w:sz="4" w:space="0" w:color="auto"/>
              <w:left w:val="single" w:sz="4" w:space="0" w:color="auto"/>
              <w:bottom w:val="single" w:sz="4" w:space="0" w:color="auto"/>
              <w:right w:val="single" w:sz="4" w:space="0" w:color="auto"/>
            </w:tcBorders>
          </w:tcPr>
          <w:p w:rsidR="00403E41" w:rsidRDefault="00403E41" w:rsidP="00D822FF">
            <w:r>
              <w:t>100</w:t>
            </w:r>
          </w:p>
        </w:tc>
      </w:tr>
    </w:tbl>
    <w:p w:rsidR="00AD1B3A" w:rsidRDefault="00AD1B3A" w:rsidP="00AD1B3A">
      <w:pPr>
        <w:pStyle w:val="NoSpacing"/>
      </w:pPr>
    </w:p>
    <w:p w:rsidR="00AD1B3A" w:rsidRDefault="00AD1B3A" w:rsidP="00403E41">
      <w:pPr>
        <w:spacing w:after="120"/>
      </w:pPr>
      <w:r>
        <w:t>The data in table 2 was gathered for the University’s application for the Race Equality Charter Mark and shows a very similar profile of representation at in Faculty level fora.</w:t>
      </w:r>
    </w:p>
    <w:p w:rsidR="00AD1B3A" w:rsidRDefault="00AD1B3A" w:rsidP="00AD1B3A">
      <w:pPr>
        <w:pStyle w:val="ListParagraph"/>
        <w:numPr>
          <w:ilvl w:val="0"/>
          <w:numId w:val="21"/>
        </w:numPr>
        <w:spacing w:after="120"/>
      </w:pPr>
      <w:r>
        <w:t>Women occupy 49% of roles</w:t>
      </w:r>
    </w:p>
    <w:p w:rsidR="00AD1B3A" w:rsidRDefault="00AD1B3A" w:rsidP="00403E41">
      <w:pPr>
        <w:pStyle w:val="ListParagraph"/>
        <w:numPr>
          <w:ilvl w:val="0"/>
          <w:numId w:val="21"/>
        </w:numPr>
        <w:spacing w:after="120"/>
      </w:pPr>
      <w:r>
        <w:t>BME colleagues occupy 6% of roles.</w:t>
      </w:r>
    </w:p>
    <w:p w:rsidR="006E79A8" w:rsidRDefault="006E79A8">
      <w:pPr>
        <w:rPr>
          <w:b/>
        </w:rPr>
      </w:pPr>
      <w:r>
        <w:rPr>
          <w:b/>
        </w:rPr>
        <w:br w:type="page"/>
      </w:r>
    </w:p>
    <w:p w:rsidR="00D822FF" w:rsidRPr="006E79A8" w:rsidRDefault="006E79A8" w:rsidP="00403E41">
      <w:pPr>
        <w:spacing w:after="120"/>
        <w:rPr>
          <w:b/>
        </w:rPr>
      </w:pPr>
      <w:r>
        <w:rPr>
          <w:b/>
        </w:rPr>
        <w:lastRenderedPageBreak/>
        <w:t xml:space="preserve">Table 2: </w:t>
      </w:r>
      <w:r w:rsidR="00AD1B3A" w:rsidRPr="006E79A8">
        <w:rPr>
          <w:b/>
        </w:rPr>
        <w:t>Gender/Ethnicity composition of management teams/decision making fora at Faculty level</w:t>
      </w:r>
    </w:p>
    <w:tbl>
      <w:tblPr>
        <w:tblW w:w="3687" w:type="pct"/>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6"/>
        <w:gridCol w:w="2290"/>
        <w:gridCol w:w="1512"/>
        <w:gridCol w:w="1287"/>
      </w:tblGrid>
      <w:tr w:rsidR="00D822FF" w:rsidRPr="00D822FF" w:rsidTr="00D822FF">
        <w:trPr>
          <w:trHeight w:val="270"/>
        </w:trPr>
        <w:tc>
          <w:tcPr>
            <w:tcW w:w="1267" w:type="pct"/>
            <w:vMerge w:val="restart"/>
            <w:tcBorders>
              <w:top w:val="single" w:sz="8" w:space="0" w:color="auto"/>
              <w:left w:val="single" w:sz="4" w:space="0" w:color="auto"/>
              <w:bottom w:val="single" w:sz="4" w:space="0" w:color="auto"/>
              <w:right w:val="single" w:sz="4" w:space="0" w:color="auto"/>
            </w:tcBorders>
            <w:vAlign w:val="center"/>
            <w:hideMark/>
          </w:tcPr>
          <w:p w:rsidR="00D822FF" w:rsidRPr="00D822FF" w:rsidRDefault="00AD1B3A" w:rsidP="00D822FF">
            <w:pPr>
              <w:spacing w:after="0"/>
              <w:jc w:val="center"/>
              <w:rPr>
                <w:b/>
                <w:sz w:val="20"/>
                <w:szCs w:val="20"/>
              </w:rPr>
            </w:pPr>
            <w:r>
              <w:rPr>
                <w:b/>
                <w:sz w:val="20"/>
                <w:szCs w:val="20"/>
              </w:rPr>
              <w:t>Committee</w:t>
            </w:r>
          </w:p>
        </w:tc>
        <w:tc>
          <w:tcPr>
            <w:tcW w:w="1680" w:type="pct"/>
            <w:vMerge w:val="restart"/>
            <w:tcBorders>
              <w:top w:val="single" w:sz="8" w:space="0" w:color="auto"/>
              <w:left w:val="single" w:sz="4" w:space="0" w:color="auto"/>
              <w:bottom w:val="single" w:sz="4" w:space="0" w:color="auto"/>
              <w:right w:val="single" w:sz="4" w:space="0" w:color="auto"/>
            </w:tcBorders>
            <w:noWrap/>
            <w:vAlign w:val="center"/>
            <w:hideMark/>
          </w:tcPr>
          <w:p w:rsidR="00D822FF" w:rsidRPr="00D822FF" w:rsidRDefault="00D822FF" w:rsidP="00D822FF">
            <w:pPr>
              <w:spacing w:after="0"/>
              <w:jc w:val="center"/>
              <w:rPr>
                <w:b/>
                <w:sz w:val="20"/>
                <w:szCs w:val="20"/>
              </w:rPr>
            </w:pPr>
            <w:r w:rsidRPr="00D822FF">
              <w:rPr>
                <w:b/>
                <w:sz w:val="20"/>
                <w:szCs w:val="20"/>
              </w:rPr>
              <w:t>Gender</w:t>
            </w:r>
          </w:p>
        </w:tc>
        <w:tc>
          <w:tcPr>
            <w:tcW w:w="2053" w:type="pct"/>
            <w:gridSpan w:val="2"/>
            <w:tcBorders>
              <w:top w:val="single" w:sz="8" w:space="0" w:color="auto"/>
              <w:left w:val="single" w:sz="4" w:space="0" w:color="auto"/>
              <w:bottom w:val="single" w:sz="4" w:space="0" w:color="auto"/>
              <w:right w:val="single" w:sz="4" w:space="0" w:color="auto"/>
            </w:tcBorders>
            <w:vAlign w:val="center"/>
            <w:hideMark/>
          </w:tcPr>
          <w:p w:rsidR="00D822FF" w:rsidRPr="00D822FF" w:rsidRDefault="00D822FF" w:rsidP="00D822FF">
            <w:pPr>
              <w:spacing w:after="0"/>
              <w:jc w:val="center"/>
              <w:rPr>
                <w:b/>
                <w:sz w:val="20"/>
                <w:szCs w:val="20"/>
              </w:rPr>
            </w:pPr>
            <w:r w:rsidRPr="00D822FF">
              <w:rPr>
                <w:b/>
                <w:sz w:val="20"/>
                <w:szCs w:val="20"/>
              </w:rPr>
              <w:t>2015</w:t>
            </w:r>
          </w:p>
        </w:tc>
      </w:tr>
      <w:tr w:rsidR="00D822FF" w:rsidRPr="00D822FF" w:rsidTr="00D822FF">
        <w:trPr>
          <w:trHeight w:val="270"/>
        </w:trPr>
        <w:tc>
          <w:tcPr>
            <w:tcW w:w="0" w:type="auto"/>
            <w:vMerge/>
            <w:tcBorders>
              <w:top w:val="single" w:sz="8" w:space="0" w:color="auto"/>
              <w:left w:val="single" w:sz="4" w:space="0" w:color="auto"/>
              <w:bottom w:val="single" w:sz="4" w:space="0" w:color="auto"/>
              <w:right w:val="single" w:sz="4" w:space="0" w:color="auto"/>
            </w:tcBorders>
            <w:vAlign w:val="center"/>
            <w:hideMark/>
          </w:tcPr>
          <w:p w:rsidR="00D822FF" w:rsidRPr="00D822FF" w:rsidRDefault="00D822FF" w:rsidP="00D822FF">
            <w:pPr>
              <w:spacing w:after="0" w:line="240" w:lineRule="auto"/>
              <w:rPr>
                <w:b/>
                <w:sz w:val="20"/>
                <w:szCs w:val="20"/>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D822FF" w:rsidRPr="00D822FF" w:rsidRDefault="00D822FF" w:rsidP="00D822FF">
            <w:pPr>
              <w:spacing w:after="0" w:line="240" w:lineRule="auto"/>
              <w:rPr>
                <w:b/>
                <w:sz w:val="20"/>
                <w:szCs w:val="20"/>
              </w:rPr>
            </w:pPr>
          </w:p>
        </w:tc>
        <w:tc>
          <w:tcPr>
            <w:tcW w:w="1109" w:type="pct"/>
            <w:tcBorders>
              <w:top w:val="single" w:sz="4" w:space="0" w:color="auto"/>
              <w:left w:val="single" w:sz="4" w:space="0" w:color="auto"/>
              <w:bottom w:val="single" w:sz="4" w:space="0" w:color="auto"/>
              <w:right w:val="single" w:sz="4" w:space="0" w:color="auto"/>
            </w:tcBorders>
            <w:vAlign w:val="center"/>
            <w:hideMark/>
          </w:tcPr>
          <w:p w:rsidR="00D822FF" w:rsidRPr="00D822FF" w:rsidRDefault="00D822FF" w:rsidP="00D822FF">
            <w:pPr>
              <w:spacing w:after="0"/>
              <w:jc w:val="center"/>
              <w:rPr>
                <w:sz w:val="20"/>
                <w:szCs w:val="20"/>
              </w:rPr>
            </w:pPr>
            <w:r w:rsidRPr="00D822FF">
              <w:rPr>
                <w:sz w:val="20"/>
                <w:szCs w:val="20"/>
              </w:rPr>
              <w:t>BME</w:t>
            </w:r>
          </w:p>
        </w:tc>
        <w:tc>
          <w:tcPr>
            <w:tcW w:w="945" w:type="pct"/>
            <w:tcBorders>
              <w:top w:val="single" w:sz="4" w:space="0" w:color="auto"/>
              <w:left w:val="single" w:sz="4" w:space="0" w:color="auto"/>
              <w:bottom w:val="single" w:sz="4" w:space="0" w:color="auto"/>
              <w:right w:val="single" w:sz="4" w:space="0" w:color="auto"/>
            </w:tcBorders>
            <w:vAlign w:val="center"/>
            <w:hideMark/>
          </w:tcPr>
          <w:p w:rsidR="00D822FF" w:rsidRPr="00D822FF" w:rsidRDefault="00D822FF" w:rsidP="00D822FF">
            <w:pPr>
              <w:spacing w:after="0"/>
              <w:jc w:val="center"/>
              <w:rPr>
                <w:sz w:val="20"/>
                <w:szCs w:val="20"/>
              </w:rPr>
            </w:pPr>
            <w:r w:rsidRPr="00D822FF">
              <w:rPr>
                <w:sz w:val="20"/>
                <w:szCs w:val="20"/>
              </w:rPr>
              <w:t>White</w:t>
            </w:r>
          </w:p>
        </w:tc>
      </w:tr>
      <w:tr w:rsidR="00D822FF" w:rsidRPr="00D822FF" w:rsidTr="00D822FF">
        <w:trPr>
          <w:trHeight w:val="270"/>
        </w:trPr>
        <w:tc>
          <w:tcPr>
            <w:tcW w:w="1267"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D822FF" w:rsidRPr="00D822FF" w:rsidRDefault="00D822FF" w:rsidP="00AD1B3A">
            <w:pPr>
              <w:spacing w:after="0"/>
              <w:jc w:val="center"/>
              <w:rPr>
                <w:rFonts w:cs="Arial"/>
                <w:b/>
                <w:sz w:val="20"/>
                <w:szCs w:val="20"/>
              </w:rPr>
            </w:pPr>
            <w:r w:rsidRPr="00D822FF">
              <w:rPr>
                <w:rFonts w:cs="Arial"/>
                <w:sz w:val="20"/>
                <w:szCs w:val="20"/>
              </w:rPr>
              <w:t xml:space="preserve">Faculty </w:t>
            </w:r>
            <w:r w:rsidR="00AD1B3A">
              <w:rPr>
                <w:rFonts w:cs="Arial"/>
                <w:sz w:val="20"/>
                <w:szCs w:val="20"/>
              </w:rPr>
              <w:t>SMT</w:t>
            </w:r>
          </w:p>
        </w:tc>
        <w:tc>
          <w:tcPr>
            <w:tcW w:w="1680"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D822FF" w:rsidRPr="00D822FF" w:rsidRDefault="00D822FF" w:rsidP="00D822FF">
            <w:pPr>
              <w:spacing w:after="0"/>
              <w:jc w:val="center"/>
              <w:rPr>
                <w:rFonts w:cs="Arial"/>
                <w:sz w:val="20"/>
                <w:szCs w:val="20"/>
              </w:rPr>
            </w:pPr>
            <w:r w:rsidRPr="00D822FF">
              <w:rPr>
                <w:rFonts w:cs="Arial"/>
                <w:sz w:val="20"/>
                <w:szCs w:val="20"/>
              </w:rPr>
              <w:t>Female</w:t>
            </w:r>
          </w:p>
        </w:tc>
        <w:tc>
          <w:tcPr>
            <w:tcW w:w="1109"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D822FF" w:rsidRPr="00D822FF" w:rsidRDefault="00D822FF" w:rsidP="00D822FF">
            <w:pPr>
              <w:spacing w:after="0"/>
              <w:jc w:val="center"/>
              <w:rPr>
                <w:sz w:val="20"/>
                <w:szCs w:val="20"/>
              </w:rPr>
            </w:pPr>
            <w:r w:rsidRPr="00D822FF">
              <w:rPr>
                <w:sz w:val="20"/>
                <w:szCs w:val="20"/>
              </w:rPr>
              <w:t>0</w:t>
            </w:r>
          </w:p>
        </w:tc>
        <w:tc>
          <w:tcPr>
            <w:tcW w:w="945"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D822FF" w:rsidRPr="00D822FF" w:rsidRDefault="00D822FF" w:rsidP="00D822FF">
            <w:pPr>
              <w:spacing w:after="0"/>
              <w:jc w:val="center"/>
              <w:rPr>
                <w:sz w:val="20"/>
                <w:szCs w:val="20"/>
              </w:rPr>
            </w:pPr>
            <w:r w:rsidRPr="00D822FF">
              <w:rPr>
                <w:sz w:val="20"/>
                <w:szCs w:val="20"/>
              </w:rPr>
              <w:t>5</w:t>
            </w:r>
          </w:p>
        </w:tc>
      </w:tr>
      <w:tr w:rsidR="00D822FF" w:rsidRPr="00D822FF" w:rsidTr="00D822FF">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22FF" w:rsidRPr="00D822FF" w:rsidRDefault="00D822FF" w:rsidP="00D822FF">
            <w:pPr>
              <w:spacing w:after="0" w:line="240" w:lineRule="auto"/>
              <w:rPr>
                <w:rFonts w:cs="Arial"/>
                <w:b/>
                <w:sz w:val="20"/>
                <w:szCs w:val="20"/>
              </w:rPr>
            </w:pPr>
          </w:p>
        </w:tc>
        <w:tc>
          <w:tcPr>
            <w:tcW w:w="1680"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D822FF" w:rsidRPr="00D822FF" w:rsidRDefault="00D822FF" w:rsidP="00D822FF">
            <w:pPr>
              <w:spacing w:after="0"/>
              <w:jc w:val="center"/>
              <w:rPr>
                <w:rFonts w:cs="Arial"/>
                <w:sz w:val="20"/>
                <w:szCs w:val="20"/>
              </w:rPr>
            </w:pPr>
            <w:r w:rsidRPr="00D822FF">
              <w:rPr>
                <w:rFonts w:cs="Arial"/>
                <w:sz w:val="20"/>
                <w:szCs w:val="20"/>
              </w:rPr>
              <w:t>Male</w:t>
            </w:r>
          </w:p>
        </w:tc>
        <w:tc>
          <w:tcPr>
            <w:tcW w:w="1109"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D822FF" w:rsidRPr="00D822FF" w:rsidRDefault="00D822FF" w:rsidP="00D822FF">
            <w:pPr>
              <w:spacing w:after="0"/>
              <w:jc w:val="center"/>
              <w:rPr>
                <w:sz w:val="20"/>
                <w:szCs w:val="20"/>
              </w:rPr>
            </w:pPr>
            <w:r w:rsidRPr="00D822FF">
              <w:rPr>
                <w:sz w:val="20"/>
                <w:szCs w:val="20"/>
              </w:rPr>
              <w:t>0</w:t>
            </w:r>
          </w:p>
        </w:tc>
        <w:tc>
          <w:tcPr>
            <w:tcW w:w="945"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D822FF" w:rsidRPr="00D822FF" w:rsidRDefault="00D822FF" w:rsidP="00D822FF">
            <w:pPr>
              <w:spacing w:after="0"/>
              <w:jc w:val="center"/>
              <w:rPr>
                <w:sz w:val="20"/>
                <w:szCs w:val="20"/>
              </w:rPr>
            </w:pPr>
            <w:r w:rsidRPr="00D822FF">
              <w:rPr>
                <w:sz w:val="20"/>
                <w:szCs w:val="20"/>
              </w:rPr>
              <w:t>9</w:t>
            </w:r>
          </w:p>
        </w:tc>
      </w:tr>
      <w:tr w:rsidR="00D822FF" w:rsidRPr="00D822FF" w:rsidTr="00D822FF">
        <w:trPr>
          <w:trHeight w:val="270"/>
        </w:trPr>
        <w:tc>
          <w:tcPr>
            <w:tcW w:w="2947"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D822FF" w:rsidRPr="00D822FF" w:rsidRDefault="00AD1B3A" w:rsidP="00D822FF">
            <w:pPr>
              <w:spacing w:after="0"/>
              <w:jc w:val="center"/>
              <w:rPr>
                <w:rFonts w:cs="Arial"/>
                <w:b/>
                <w:sz w:val="20"/>
                <w:szCs w:val="20"/>
              </w:rPr>
            </w:pPr>
            <w:r>
              <w:rPr>
                <w:rFonts w:cs="Arial"/>
                <w:b/>
                <w:sz w:val="20"/>
                <w:szCs w:val="20"/>
              </w:rPr>
              <w:t xml:space="preserve">SMT </w:t>
            </w:r>
            <w:r w:rsidR="00D822FF" w:rsidRPr="00D822FF">
              <w:rPr>
                <w:rFonts w:cs="Arial"/>
                <w:b/>
                <w:sz w:val="20"/>
                <w:szCs w:val="20"/>
              </w:rPr>
              <w:t>Total</w:t>
            </w:r>
          </w:p>
        </w:tc>
        <w:tc>
          <w:tcPr>
            <w:tcW w:w="1109"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D822FF" w:rsidRPr="00D822FF" w:rsidRDefault="00D822FF" w:rsidP="00D822FF">
            <w:pPr>
              <w:spacing w:after="0"/>
              <w:jc w:val="center"/>
              <w:rPr>
                <w:sz w:val="20"/>
                <w:szCs w:val="20"/>
              </w:rPr>
            </w:pPr>
            <w:r w:rsidRPr="00D822FF">
              <w:rPr>
                <w:sz w:val="20"/>
                <w:szCs w:val="20"/>
              </w:rPr>
              <w:t>0</w:t>
            </w:r>
          </w:p>
        </w:tc>
        <w:tc>
          <w:tcPr>
            <w:tcW w:w="945"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D822FF" w:rsidRPr="00D822FF" w:rsidRDefault="00D822FF" w:rsidP="00D822FF">
            <w:pPr>
              <w:spacing w:after="0"/>
              <w:jc w:val="center"/>
              <w:rPr>
                <w:sz w:val="20"/>
                <w:szCs w:val="20"/>
              </w:rPr>
            </w:pPr>
            <w:r w:rsidRPr="00D822FF">
              <w:rPr>
                <w:sz w:val="20"/>
                <w:szCs w:val="20"/>
              </w:rPr>
              <w:t>14</w:t>
            </w:r>
          </w:p>
        </w:tc>
      </w:tr>
      <w:tr w:rsidR="00D822FF" w:rsidRPr="00D822FF" w:rsidTr="00D822FF">
        <w:trPr>
          <w:trHeight w:val="270"/>
        </w:trPr>
        <w:tc>
          <w:tcPr>
            <w:tcW w:w="1267" w:type="pct"/>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D822FF" w:rsidRPr="00D822FF" w:rsidRDefault="00D822FF" w:rsidP="00D822FF">
            <w:pPr>
              <w:spacing w:after="0"/>
              <w:jc w:val="center"/>
              <w:rPr>
                <w:rFonts w:cs="Arial"/>
                <w:sz w:val="20"/>
                <w:szCs w:val="20"/>
              </w:rPr>
            </w:pPr>
            <w:r w:rsidRPr="00D822FF">
              <w:rPr>
                <w:rFonts w:cs="Arial"/>
                <w:sz w:val="20"/>
                <w:szCs w:val="20"/>
              </w:rPr>
              <w:t>PSS Leadership Team</w:t>
            </w:r>
          </w:p>
        </w:tc>
        <w:tc>
          <w:tcPr>
            <w:tcW w:w="1680"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D822FF" w:rsidRPr="00D822FF" w:rsidRDefault="00D822FF" w:rsidP="00D822FF">
            <w:pPr>
              <w:spacing w:after="0"/>
              <w:jc w:val="center"/>
              <w:rPr>
                <w:rFonts w:cs="Arial"/>
                <w:sz w:val="20"/>
                <w:szCs w:val="20"/>
              </w:rPr>
            </w:pPr>
            <w:r w:rsidRPr="00D822FF">
              <w:rPr>
                <w:rFonts w:cs="Arial"/>
                <w:sz w:val="20"/>
                <w:szCs w:val="20"/>
              </w:rPr>
              <w:t>Female</w:t>
            </w:r>
          </w:p>
        </w:tc>
        <w:tc>
          <w:tcPr>
            <w:tcW w:w="1109"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D822FF" w:rsidRPr="00D822FF" w:rsidRDefault="00D822FF" w:rsidP="00D822FF">
            <w:pPr>
              <w:spacing w:after="0"/>
              <w:jc w:val="center"/>
              <w:rPr>
                <w:sz w:val="20"/>
                <w:szCs w:val="20"/>
              </w:rPr>
            </w:pPr>
            <w:r w:rsidRPr="00D822FF">
              <w:rPr>
                <w:sz w:val="20"/>
                <w:szCs w:val="20"/>
              </w:rPr>
              <w:t>0</w:t>
            </w:r>
          </w:p>
        </w:tc>
        <w:tc>
          <w:tcPr>
            <w:tcW w:w="945"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D822FF" w:rsidRPr="00D822FF" w:rsidRDefault="00D822FF" w:rsidP="00D822FF">
            <w:pPr>
              <w:spacing w:after="0"/>
              <w:jc w:val="center"/>
              <w:rPr>
                <w:sz w:val="20"/>
                <w:szCs w:val="20"/>
              </w:rPr>
            </w:pPr>
            <w:r w:rsidRPr="00D822FF">
              <w:rPr>
                <w:sz w:val="20"/>
                <w:szCs w:val="20"/>
              </w:rPr>
              <w:t>8</w:t>
            </w:r>
          </w:p>
        </w:tc>
      </w:tr>
      <w:tr w:rsidR="00D822FF" w:rsidRPr="00D822FF" w:rsidTr="00D822F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22FF" w:rsidRPr="00D822FF" w:rsidRDefault="00D822FF" w:rsidP="00D822FF">
            <w:pPr>
              <w:spacing w:after="0" w:line="240" w:lineRule="auto"/>
              <w:rPr>
                <w:rFonts w:cs="Arial"/>
                <w:sz w:val="20"/>
                <w:szCs w:val="20"/>
              </w:rPr>
            </w:pPr>
          </w:p>
        </w:tc>
        <w:tc>
          <w:tcPr>
            <w:tcW w:w="1680"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D822FF" w:rsidRPr="00D822FF" w:rsidRDefault="00D822FF" w:rsidP="00D822FF">
            <w:pPr>
              <w:spacing w:after="0"/>
              <w:jc w:val="center"/>
              <w:rPr>
                <w:rFonts w:cs="Arial"/>
                <w:sz w:val="20"/>
                <w:szCs w:val="20"/>
              </w:rPr>
            </w:pPr>
            <w:r w:rsidRPr="00D822FF">
              <w:rPr>
                <w:rFonts w:cs="Arial"/>
                <w:sz w:val="20"/>
                <w:szCs w:val="20"/>
              </w:rPr>
              <w:t>Male</w:t>
            </w:r>
          </w:p>
        </w:tc>
        <w:tc>
          <w:tcPr>
            <w:tcW w:w="1109"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D822FF" w:rsidRPr="00D822FF" w:rsidRDefault="00D822FF" w:rsidP="00D822FF">
            <w:pPr>
              <w:spacing w:after="0"/>
              <w:jc w:val="center"/>
              <w:rPr>
                <w:sz w:val="20"/>
                <w:szCs w:val="20"/>
              </w:rPr>
            </w:pPr>
            <w:r w:rsidRPr="00D822FF">
              <w:rPr>
                <w:sz w:val="20"/>
                <w:szCs w:val="20"/>
              </w:rPr>
              <w:t>0</w:t>
            </w:r>
          </w:p>
        </w:tc>
        <w:tc>
          <w:tcPr>
            <w:tcW w:w="945"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D822FF" w:rsidRPr="00D822FF" w:rsidRDefault="00D822FF" w:rsidP="00D822FF">
            <w:pPr>
              <w:spacing w:after="0"/>
              <w:jc w:val="center"/>
              <w:rPr>
                <w:sz w:val="20"/>
                <w:szCs w:val="20"/>
              </w:rPr>
            </w:pPr>
            <w:r w:rsidRPr="00D822FF">
              <w:rPr>
                <w:sz w:val="20"/>
                <w:szCs w:val="20"/>
              </w:rPr>
              <w:t>2</w:t>
            </w:r>
          </w:p>
        </w:tc>
      </w:tr>
      <w:tr w:rsidR="00D822FF" w:rsidRPr="00D822FF" w:rsidTr="00D822FF">
        <w:trPr>
          <w:trHeight w:val="270"/>
        </w:trPr>
        <w:tc>
          <w:tcPr>
            <w:tcW w:w="2947" w:type="pct"/>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D822FF" w:rsidRPr="00D822FF" w:rsidRDefault="00D822FF" w:rsidP="00D822FF">
            <w:pPr>
              <w:spacing w:after="0"/>
              <w:jc w:val="center"/>
              <w:rPr>
                <w:rFonts w:cs="Arial"/>
                <w:b/>
                <w:sz w:val="20"/>
                <w:szCs w:val="20"/>
              </w:rPr>
            </w:pPr>
            <w:r w:rsidRPr="00D822FF">
              <w:rPr>
                <w:rFonts w:cs="Arial"/>
                <w:b/>
                <w:sz w:val="20"/>
                <w:szCs w:val="20"/>
              </w:rPr>
              <w:t>PSS Leadership Team Total</w:t>
            </w:r>
          </w:p>
        </w:tc>
        <w:tc>
          <w:tcPr>
            <w:tcW w:w="1109"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D822FF" w:rsidRPr="00D822FF" w:rsidRDefault="00D822FF" w:rsidP="00D822FF">
            <w:pPr>
              <w:spacing w:after="0"/>
              <w:jc w:val="center"/>
              <w:rPr>
                <w:sz w:val="20"/>
                <w:szCs w:val="20"/>
              </w:rPr>
            </w:pPr>
            <w:r w:rsidRPr="00D822FF">
              <w:rPr>
                <w:sz w:val="20"/>
                <w:szCs w:val="20"/>
              </w:rPr>
              <w:t>0</w:t>
            </w:r>
          </w:p>
        </w:tc>
        <w:tc>
          <w:tcPr>
            <w:tcW w:w="945"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D822FF" w:rsidRPr="00D822FF" w:rsidRDefault="00D822FF" w:rsidP="00D822FF">
            <w:pPr>
              <w:spacing w:after="0"/>
              <w:jc w:val="center"/>
              <w:rPr>
                <w:sz w:val="20"/>
                <w:szCs w:val="20"/>
              </w:rPr>
            </w:pPr>
            <w:r w:rsidRPr="00D822FF">
              <w:rPr>
                <w:sz w:val="20"/>
                <w:szCs w:val="20"/>
              </w:rPr>
              <w:t>10</w:t>
            </w:r>
          </w:p>
        </w:tc>
      </w:tr>
      <w:tr w:rsidR="00D822FF" w:rsidRPr="00D822FF" w:rsidTr="00D822FF">
        <w:trPr>
          <w:trHeight w:val="270"/>
        </w:trPr>
        <w:tc>
          <w:tcPr>
            <w:tcW w:w="1267" w:type="pct"/>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822FF" w:rsidRPr="00D822FF" w:rsidRDefault="00D822FF" w:rsidP="00D822FF">
            <w:pPr>
              <w:spacing w:after="0"/>
              <w:jc w:val="center"/>
              <w:rPr>
                <w:rFonts w:cs="Arial"/>
                <w:b/>
                <w:sz w:val="20"/>
                <w:szCs w:val="20"/>
              </w:rPr>
            </w:pPr>
            <w:r w:rsidRPr="00D822FF">
              <w:rPr>
                <w:rFonts w:cs="Arial"/>
                <w:sz w:val="20"/>
                <w:szCs w:val="20"/>
              </w:rPr>
              <w:t>Promotions Committee</w:t>
            </w:r>
          </w:p>
        </w:tc>
        <w:tc>
          <w:tcPr>
            <w:tcW w:w="1680" w:type="pct"/>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D822FF" w:rsidRPr="00D822FF" w:rsidRDefault="00D822FF" w:rsidP="00D822FF">
            <w:pPr>
              <w:spacing w:after="0"/>
              <w:jc w:val="center"/>
              <w:rPr>
                <w:rFonts w:cs="Arial"/>
                <w:sz w:val="20"/>
                <w:szCs w:val="20"/>
              </w:rPr>
            </w:pPr>
            <w:r w:rsidRPr="00D822FF">
              <w:rPr>
                <w:rFonts w:cs="Arial"/>
                <w:sz w:val="20"/>
                <w:szCs w:val="20"/>
              </w:rPr>
              <w:t>Female</w:t>
            </w:r>
          </w:p>
        </w:tc>
        <w:tc>
          <w:tcPr>
            <w:tcW w:w="1109"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822FF" w:rsidRPr="00D822FF" w:rsidRDefault="00D822FF" w:rsidP="00D822FF">
            <w:pPr>
              <w:spacing w:after="0"/>
              <w:jc w:val="center"/>
              <w:rPr>
                <w:sz w:val="20"/>
                <w:szCs w:val="20"/>
              </w:rPr>
            </w:pPr>
            <w:r w:rsidRPr="00D822FF">
              <w:rPr>
                <w:sz w:val="20"/>
                <w:szCs w:val="20"/>
              </w:rPr>
              <w:t>0</w:t>
            </w:r>
          </w:p>
        </w:tc>
        <w:tc>
          <w:tcPr>
            <w:tcW w:w="945"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822FF" w:rsidRPr="00AD1B3A" w:rsidRDefault="00D822FF" w:rsidP="00D822FF">
            <w:pPr>
              <w:spacing w:after="0"/>
              <w:jc w:val="center"/>
              <w:rPr>
                <w:sz w:val="20"/>
                <w:szCs w:val="20"/>
              </w:rPr>
            </w:pPr>
            <w:r w:rsidRPr="00AD1B3A">
              <w:rPr>
                <w:sz w:val="20"/>
                <w:szCs w:val="20"/>
              </w:rPr>
              <w:t>8</w:t>
            </w:r>
          </w:p>
        </w:tc>
      </w:tr>
      <w:tr w:rsidR="00D822FF" w:rsidRPr="00D822FF" w:rsidTr="00D822F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22FF" w:rsidRPr="00D822FF" w:rsidRDefault="00D822FF" w:rsidP="00D822FF">
            <w:pPr>
              <w:spacing w:after="0" w:line="240" w:lineRule="auto"/>
              <w:rPr>
                <w:rFonts w:cs="Arial"/>
                <w:b/>
                <w:sz w:val="20"/>
                <w:szCs w:val="20"/>
              </w:rPr>
            </w:pPr>
          </w:p>
        </w:tc>
        <w:tc>
          <w:tcPr>
            <w:tcW w:w="1680" w:type="pct"/>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D822FF" w:rsidRPr="00D822FF" w:rsidRDefault="00D822FF" w:rsidP="00D822FF">
            <w:pPr>
              <w:spacing w:after="0"/>
              <w:jc w:val="center"/>
              <w:rPr>
                <w:rFonts w:cs="Arial"/>
                <w:sz w:val="20"/>
                <w:szCs w:val="20"/>
              </w:rPr>
            </w:pPr>
            <w:r w:rsidRPr="00D822FF">
              <w:rPr>
                <w:rFonts w:cs="Arial"/>
                <w:sz w:val="20"/>
                <w:szCs w:val="20"/>
              </w:rPr>
              <w:t>Male</w:t>
            </w:r>
          </w:p>
        </w:tc>
        <w:tc>
          <w:tcPr>
            <w:tcW w:w="1109"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822FF" w:rsidRPr="00D822FF" w:rsidRDefault="00D822FF" w:rsidP="00D822FF">
            <w:pPr>
              <w:spacing w:after="0"/>
              <w:jc w:val="center"/>
              <w:rPr>
                <w:sz w:val="20"/>
                <w:szCs w:val="20"/>
              </w:rPr>
            </w:pPr>
            <w:r w:rsidRPr="00D822FF">
              <w:rPr>
                <w:sz w:val="20"/>
                <w:szCs w:val="20"/>
              </w:rPr>
              <w:t>3</w:t>
            </w:r>
          </w:p>
        </w:tc>
        <w:tc>
          <w:tcPr>
            <w:tcW w:w="945"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822FF" w:rsidRPr="00D822FF" w:rsidRDefault="00D822FF" w:rsidP="00D822FF">
            <w:pPr>
              <w:spacing w:after="0"/>
              <w:jc w:val="center"/>
              <w:rPr>
                <w:sz w:val="20"/>
                <w:szCs w:val="20"/>
              </w:rPr>
            </w:pPr>
            <w:r w:rsidRPr="00D822FF">
              <w:rPr>
                <w:sz w:val="20"/>
                <w:szCs w:val="20"/>
              </w:rPr>
              <w:t>8</w:t>
            </w:r>
          </w:p>
        </w:tc>
      </w:tr>
      <w:tr w:rsidR="00D822FF" w:rsidRPr="00D822FF" w:rsidTr="00D822FF">
        <w:trPr>
          <w:trHeight w:val="270"/>
        </w:trPr>
        <w:tc>
          <w:tcPr>
            <w:tcW w:w="2947"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822FF" w:rsidRPr="00D822FF" w:rsidRDefault="00D822FF" w:rsidP="00D822FF">
            <w:pPr>
              <w:spacing w:after="0"/>
              <w:jc w:val="center"/>
              <w:rPr>
                <w:rFonts w:cs="Arial"/>
                <w:b/>
                <w:sz w:val="20"/>
                <w:szCs w:val="20"/>
              </w:rPr>
            </w:pPr>
            <w:r w:rsidRPr="00D822FF">
              <w:rPr>
                <w:rFonts w:cs="Arial"/>
                <w:b/>
                <w:sz w:val="20"/>
                <w:szCs w:val="20"/>
              </w:rPr>
              <w:t>Promotions Committee Total</w:t>
            </w:r>
            <w:r w:rsidRPr="00D822FF">
              <w:rPr>
                <w:rFonts w:cs="Arial"/>
                <w:b/>
                <w:sz w:val="20"/>
                <w:szCs w:val="20"/>
                <w:vertAlign w:val="superscript"/>
              </w:rPr>
              <w:footnoteReference w:id="1"/>
            </w:r>
          </w:p>
        </w:tc>
        <w:tc>
          <w:tcPr>
            <w:tcW w:w="1109"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822FF" w:rsidRPr="00D822FF" w:rsidRDefault="00D822FF" w:rsidP="00D822FF">
            <w:pPr>
              <w:spacing w:after="0"/>
              <w:jc w:val="center"/>
              <w:rPr>
                <w:sz w:val="20"/>
                <w:szCs w:val="20"/>
              </w:rPr>
            </w:pPr>
            <w:r w:rsidRPr="00D822FF">
              <w:rPr>
                <w:sz w:val="20"/>
                <w:szCs w:val="20"/>
              </w:rPr>
              <w:t>3</w:t>
            </w:r>
          </w:p>
        </w:tc>
        <w:tc>
          <w:tcPr>
            <w:tcW w:w="945"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822FF" w:rsidRPr="00D822FF" w:rsidRDefault="00D822FF" w:rsidP="00D822FF">
            <w:pPr>
              <w:spacing w:after="0"/>
              <w:jc w:val="center"/>
              <w:rPr>
                <w:sz w:val="20"/>
                <w:szCs w:val="20"/>
              </w:rPr>
            </w:pPr>
            <w:r w:rsidRPr="00D822FF">
              <w:rPr>
                <w:sz w:val="20"/>
                <w:szCs w:val="20"/>
              </w:rPr>
              <w:t>16</w:t>
            </w:r>
          </w:p>
        </w:tc>
      </w:tr>
      <w:tr w:rsidR="00D822FF" w:rsidRPr="00D822FF" w:rsidTr="00D822FF">
        <w:trPr>
          <w:trHeight w:val="270"/>
        </w:trPr>
        <w:tc>
          <w:tcPr>
            <w:tcW w:w="1267" w:type="pct"/>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D822FF" w:rsidRPr="00D822FF" w:rsidRDefault="00D822FF" w:rsidP="00D822FF">
            <w:pPr>
              <w:spacing w:after="0"/>
              <w:jc w:val="center"/>
              <w:rPr>
                <w:rFonts w:cs="Arial"/>
                <w:sz w:val="20"/>
                <w:szCs w:val="20"/>
              </w:rPr>
            </w:pPr>
            <w:r w:rsidRPr="00D822FF">
              <w:rPr>
                <w:rFonts w:cs="Arial"/>
                <w:sz w:val="20"/>
                <w:szCs w:val="20"/>
              </w:rPr>
              <w:t>Research</w:t>
            </w:r>
          </w:p>
          <w:p w:rsidR="00D822FF" w:rsidRPr="00D822FF" w:rsidRDefault="00D822FF" w:rsidP="00D822FF">
            <w:pPr>
              <w:spacing w:after="0"/>
              <w:jc w:val="center"/>
              <w:rPr>
                <w:rFonts w:cs="Arial"/>
                <w:sz w:val="20"/>
                <w:szCs w:val="20"/>
              </w:rPr>
            </w:pPr>
            <w:r w:rsidRPr="00D822FF">
              <w:rPr>
                <w:rFonts w:cs="Arial"/>
                <w:sz w:val="20"/>
                <w:szCs w:val="20"/>
              </w:rPr>
              <w:t>Leadership Team</w:t>
            </w:r>
          </w:p>
        </w:tc>
        <w:tc>
          <w:tcPr>
            <w:tcW w:w="1680" w:type="pct"/>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D822FF" w:rsidRPr="00D822FF" w:rsidRDefault="00D822FF" w:rsidP="00D822FF">
            <w:pPr>
              <w:spacing w:after="0"/>
              <w:jc w:val="center"/>
              <w:rPr>
                <w:rFonts w:cs="Arial"/>
                <w:sz w:val="20"/>
                <w:szCs w:val="20"/>
              </w:rPr>
            </w:pPr>
            <w:r w:rsidRPr="00D822FF">
              <w:rPr>
                <w:rFonts w:cs="Arial"/>
                <w:sz w:val="20"/>
                <w:szCs w:val="20"/>
              </w:rPr>
              <w:t>Female</w:t>
            </w:r>
          </w:p>
        </w:tc>
        <w:tc>
          <w:tcPr>
            <w:tcW w:w="1109"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D822FF" w:rsidRPr="00D822FF" w:rsidRDefault="00D822FF" w:rsidP="00D822FF">
            <w:pPr>
              <w:spacing w:after="0"/>
              <w:jc w:val="center"/>
              <w:rPr>
                <w:sz w:val="20"/>
                <w:szCs w:val="20"/>
              </w:rPr>
            </w:pPr>
            <w:r w:rsidRPr="00D822FF">
              <w:rPr>
                <w:sz w:val="20"/>
                <w:szCs w:val="20"/>
              </w:rPr>
              <w:t>0</w:t>
            </w:r>
          </w:p>
        </w:tc>
        <w:tc>
          <w:tcPr>
            <w:tcW w:w="945"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D822FF" w:rsidRPr="00D822FF" w:rsidRDefault="00D822FF" w:rsidP="00D822FF">
            <w:pPr>
              <w:spacing w:after="0"/>
              <w:jc w:val="center"/>
              <w:rPr>
                <w:sz w:val="20"/>
                <w:szCs w:val="20"/>
              </w:rPr>
            </w:pPr>
            <w:r w:rsidRPr="00D822FF">
              <w:rPr>
                <w:sz w:val="20"/>
                <w:szCs w:val="20"/>
              </w:rPr>
              <w:t>3</w:t>
            </w:r>
          </w:p>
        </w:tc>
      </w:tr>
      <w:tr w:rsidR="00D822FF" w:rsidRPr="00D822FF" w:rsidTr="00D822F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22FF" w:rsidRPr="00D822FF" w:rsidRDefault="00D822FF" w:rsidP="00D822FF">
            <w:pPr>
              <w:spacing w:after="0" w:line="240" w:lineRule="auto"/>
              <w:rPr>
                <w:rFonts w:cs="Arial"/>
                <w:sz w:val="20"/>
                <w:szCs w:val="20"/>
              </w:rPr>
            </w:pPr>
          </w:p>
        </w:tc>
        <w:tc>
          <w:tcPr>
            <w:tcW w:w="1680" w:type="pct"/>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D822FF" w:rsidRPr="00D822FF" w:rsidRDefault="00D822FF" w:rsidP="00D822FF">
            <w:pPr>
              <w:spacing w:after="0"/>
              <w:jc w:val="center"/>
              <w:rPr>
                <w:rFonts w:cs="Arial"/>
                <w:sz w:val="20"/>
                <w:szCs w:val="20"/>
              </w:rPr>
            </w:pPr>
            <w:r w:rsidRPr="00D822FF">
              <w:rPr>
                <w:rFonts w:cs="Arial"/>
                <w:sz w:val="20"/>
                <w:szCs w:val="20"/>
              </w:rPr>
              <w:t>Male</w:t>
            </w:r>
          </w:p>
        </w:tc>
        <w:tc>
          <w:tcPr>
            <w:tcW w:w="1109"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D822FF" w:rsidRPr="00D822FF" w:rsidRDefault="00D822FF" w:rsidP="00D822FF">
            <w:pPr>
              <w:spacing w:after="0"/>
              <w:jc w:val="center"/>
              <w:rPr>
                <w:sz w:val="20"/>
                <w:szCs w:val="20"/>
              </w:rPr>
            </w:pPr>
            <w:r w:rsidRPr="00D822FF">
              <w:rPr>
                <w:sz w:val="20"/>
                <w:szCs w:val="20"/>
              </w:rPr>
              <w:t>0</w:t>
            </w:r>
          </w:p>
        </w:tc>
        <w:tc>
          <w:tcPr>
            <w:tcW w:w="945"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D822FF" w:rsidRPr="00D822FF" w:rsidRDefault="00D822FF" w:rsidP="00D822FF">
            <w:pPr>
              <w:spacing w:after="0"/>
              <w:jc w:val="center"/>
              <w:rPr>
                <w:sz w:val="20"/>
                <w:szCs w:val="20"/>
              </w:rPr>
            </w:pPr>
            <w:r w:rsidRPr="00D822FF">
              <w:rPr>
                <w:sz w:val="20"/>
                <w:szCs w:val="20"/>
              </w:rPr>
              <w:t>3</w:t>
            </w:r>
          </w:p>
        </w:tc>
      </w:tr>
      <w:tr w:rsidR="00D822FF" w:rsidRPr="00D822FF" w:rsidTr="00D822FF">
        <w:trPr>
          <w:trHeight w:val="270"/>
        </w:trPr>
        <w:tc>
          <w:tcPr>
            <w:tcW w:w="2947" w:type="pct"/>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D822FF" w:rsidRPr="00D822FF" w:rsidRDefault="00D822FF" w:rsidP="00D822FF">
            <w:pPr>
              <w:spacing w:after="0"/>
              <w:jc w:val="center"/>
              <w:rPr>
                <w:rFonts w:cs="Arial"/>
                <w:b/>
                <w:sz w:val="20"/>
                <w:szCs w:val="20"/>
              </w:rPr>
            </w:pPr>
            <w:r w:rsidRPr="00D822FF">
              <w:rPr>
                <w:rFonts w:cs="Arial"/>
                <w:b/>
                <w:sz w:val="20"/>
                <w:szCs w:val="20"/>
              </w:rPr>
              <w:t>Research Leadership Team Total</w:t>
            </w:r>
          </w:p>
        </w:tc>
        <w:tc>
          <w:tcPr>
            <w:tcW w:w="1109"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D822FF" w:rsidRPr="00D822FF" w:rsidRDefault="00D822FF" w:rsidP="00D822FF">
            <w:pPr>
              <w:spacing w:after="0"/>
              <w:jc w:val="center"/>
              <w:rPr>
                <w:sz w:val="20"/>
                <w:szCs w:val="20"/>
              </w:rPr>
            </w:pPr>
            <w:r w:rsidRPr="00D822FF">
              <w:rPr>
                <w:sz w:val="20"/>
                <w:szCs w:val="20"/>
              </w:rPr>
              <w:t>0</w:t>
            </w:r>
          </w:p>
        </w:tc>
        <w:tc>
          <w:tcPr>
            <w:tcW w:w="945"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D822FF" w:rsidRPr="00D822FF" w:rsidRDefault="00D822FF" w:rsidP="00D822FF">
            <w:pPr>
              <w:spacing w:after="0"/>
              <w:jc w:val="center"/>
              <w:rPr>
                <w:sz w:val="20"/>
                <w:szCs w:val="20"/>
              </w:rPr>
            </w:pPr>
            <w:r w:rsidRPr="00D822FF">
              <w:rPr>
                <w:sz w:val="20"/>
                <w:szCs w:val="20"/>
              </w:rPr>
              <w:t>6</w:t>
            </w:r>
          </w:p>
        </w:tc>
      </w:tr>
      <w:tr w:rsidR="00AD1B3A" w:rsidRPr="00D822FF" w:rsidTr="00D822FF">
        <w:trPr>
          <w:trHeight w:val="270"/>
        </w:trPr>
        <w:tc>
          <w:tcPr>
            <w:tcW w:w="2947" w:type="pct"/>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AD1B3A" w:rsidRPr="00D822FF" w:rsidRDefault="00AD1B3A" w:rsidP="00D822FF">
            <w:pPr>
              <w:spacing w:after="0"/>
              <w:jc w:val="center"/>
              <w:rPr>
                <w:rFonts w:cs="Arial"/>
                <w:b/>
                <w:sz w:val="20"/>
                <w:szCs w:val="20"/>
              </w:rPr>
            </w:pPr>
          </w:p>
        </w:tc>
        <w:tc>
          <w:tcPr>
            <w:tcW w:w="1109"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AD1B3A" w:rsidRPr="00D822FF" w:rsidRDefault="00AD1B3A" w:rsidP="00D822FF">
            <w:pPr>
              <w:spacing w:after="0"/>
              <w:jc w:val="center"/>
              <w:rPr>
                <w:sz w:val="20"/>
                <w:szCs w:val="20"/>
              </w:rPr>
            </w:pPr>
            <w:r>
              <w:rPr>
                <w:sz w:val="20"/>
                <w:szCs w:val="20"/>
              </w:rPr>
              <w:t>3</w:t>
            </w:r>
          </w:p>
        </w:tc>
        <w:tc>
          <w:tcPr>
            <w:tcW w:w="945"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AD1B3A" w:rsidRPr="00D822FF" w:rsidRDefault="00AD1B3A" w:rsidP="00D822FF">
            <w:pPr>
              <w:spacing w:after="0"/>
              <w:jc w:val="center"/>
              <w:rPr>
                <w:sz w:val="20"/>
                <w:szCs w:val="20"/>
              </w:rPr>
            </w:pPr>
            <w:r>
              <w:rPr>
                <w:sz w:val="20"/>
                <w:szCs w:val="20"/>
              </w:rPr>
              <w:t>46</w:t>
            </w:r>
          </w:p>
        </w:tc>
      </w:tr>
    </w:tbl>
    <w:p w:rsidR="006E79A8" w:rsidRDefault="006E79A8" w:rsidP="00403E41">
      <w:pPr>
        <w:spacing w:after="120"/>
        <w:rPr>
          <w:rFonts w:eastAsia="Times New Roman" w:cs="Segoe UI"/>
          <w:b/>
          <w:i/>
          <w:color w:val="000000"/>
          <w:lang w:eastAsia="en-GB"/>
        </w:rPr>
      </w:pPr>
    </w:p>
    <w:p w:rsidR="00403E41" w:rsidRPr="004F04B1" w:rsidRDefault="00403E41" w:rsidP="00403E41">
      <w:pPr>
        <w:spacing w:after="120"/>
        <w:rPr>
          <w:rFonts w:eastAsia="Times New Roman" w:cs="Segoe UI"/>
          <w:b/>
          <w:i/>
          <w:color w:val="000000"/>
          <w:lang w:eastAsia="en-GB"/>
        </w:rPr>
      </w:pPr>
      <w:r w:rsidRPr="004F04B1">
        <w:rPr>
          <w:rFonts w:eastAsia="Times New Roman" w:cs="Segoe UI"/>
          <w:b/>
          <w:i/>
          <w:color w:val="000000"/>
          <w:lang w:eastAsia="en-GB"/>
        </w:rPr>
        <w:t>Faculty level gender/ethnicity profile of academic staff and PSS on fixed term/permanent contracts</w:t>
      </w:r>
    </w:p>
    <w:p w:rsidR="00403E41" w:rsidRPr="004F04B1" w:rsidRDefault="00F7560A" w:rsidP="006E79A8">
      <w:pPr>
        <w:spacing w:after="120"/>
        <w:jc w:val="both"/>
        <w:rPr>
          <w:rFonts w:eastAsia="Times New Roman" w:cs="Segoe UI"/>
          <w:color w:val="000000"/>
          <w:lang w:eastAsia="en-GB"/>
        </w:rPr>
      </w:pPr>
      <w:r>
        <w:rPr>
          <w:rFonts w:eastAsia="Times New Roman" w:cs="Segoe UI"/>
          <w:color w:val="000000"/>
          <w:lang w:eastAsia="en-GB"/>
        </w:rPr>
        <w:t xml:space="preserve">An analysis has also been undertaken of </w:t>
      </w:r>
      <w:r w:rsidR="00403E41">
        <w:rPr>
          <w:rFonts w:eastAsia="Times New Roman" w:cs="Segoe UI"/>
          <w:color w:val="000000"/>
          <w:lang w:eastAsia="en-GB"/>
        </w:rPr>
        <w:t>t</w:t>
      </w:r>
      <w:r w:rsidR="00403E41" w:rsidRPr="004F04B1">
        <w:rPr>
          <w:rFonts w:eastAsia="Times New Roman" w:cs="Segoe UI"/>
          <w:color w:val="000000"/>
          <w:lang w:eastAsia="en-GB"/>
        </w:rPr>
        <w:t xml:space="preserve">he gender and BME profile of both academic/research and </w:t>
      </w:r>
      <w:r w:rsidR="00403E41">
        <w:rPr>
          <w:rFonts w:eastAsia="Times New Roman" w:cs="Segoe UI"/>
          <w:color w:val="000000"/>
          <w:lang w:eastAsia="en-GB"/>
        </w:rPr>
        <w:t xml:space="preserve">PSS </w:t>
      </w:r>
      <w:r w:rsidR="00403E41" w:rsidRPr="004F04B1">
        <w:rPr>
          <w:rFonts w:eastAsia="Times New Roman" w:cs="Segoe UI"/>
          <w:color w:val="000000"/>
          <w:lang w:eastAsia="en-GB"/>
        </w:rPr>
        <w:t xml:space="preserve">staff on different types of contracts.  </w:t>
      </w:r>
      <w:r w:rsidR="00D100AA">
        <w:rPr>
          <w:rFonts w:eastAsia="Times New Roman" w:cs="Segoe UI"/>
          <w:color w:val="000000"/>
          <w:lang w:eastAsia="en-GB"/>
        </w:rPr>
        <w:t>(</w:t>
      </w:r>
      <w:r w:rsidR="00D100AA" w:rsidRPr="00D100AA">
        <w:rPr>
          <w:rFonts w:eastAsia="Times New Roman" w:cs="Segoe UI"/>
          <w:color w:val="000000"/>
          <w:lang w:eastAsia="en-GB"/>
        </w:rPr>
        <w:t xml:space="preserve">The </w:t>
      </w:r>
      <w:r w:rsidR="00D100AA">
        <w:rPr>
          <w:rFonts w:eastAsia="Times New Roman" w:cs="Segoe UI"/>
          <w:color w:val="000000"/>
          <w:lang w:eastAsia="en-GB"/>
        </w:rPr>
        <w:t xml:space="preserve">full </w:t>
      </w:r>
      <w:r w:rsidR="00D100AA" w:rsidRPr="00D100AA">
        <w:rPr>
          <w:rFonts w:eastAsia="Times New Roman" w:cs="Segoe UI"/>
          <w:color w:val="000000"/>
          <w:lang w:eastAsia="en-GB"/>
        </w:rPr>
        <w:t>information is available on request</w:t>
      </w:r>
      <w:r w:rsidR="00D100AA">
        <w:rPr>
          <w:rFonts w:eastAsia="Times New Roman" w:cs="Segoe UI"/>
          <w:color w:val="000000"/>
          <w:lang w:eastAsia="en-GB"/>
        </w:rPr>
        <w:t>)</w:t>
      </w:r>
      <w:r w:rsidR="00D100AA" w:rsidRPr="00D100AA">
        <w:rPr>
          <w:rFonts w:eastAsia="Times New Roman" w:cs="Segoe UI"/>
          <w:color w:val="000000"/>
          <w:lang w:eastAsia="en-GB"/>
        </w:rPr>
        <w:t>.</w:t>
      </w:r>
      <w:r w:rsidR="00D100AA">
        <w:rPr>
          <w:rFonts w:eastAsia="Times New Roman" w:cs="Segoe UI"/>
          <w:color w:val="000000"/>
          <w:lang w:eastAsia="en-GB"/>
        </w:rPr>
        <w:t xml:space="preserve">  </w:t>
      </w:r>
      <w:proofErr w:type="gramStart"/>
      <w:r w:rsidR="00403E41" w:rsidRPr="004F04B1">
        <w:rPr>
          <w:rFonts w:eastAsia="Times New Roman" w:cs="Segoe UI"/>
          <w:color w:val="000000"/>
          <w:lang w:eastAsia="en-GB"/>
        </w:rPr>
        <w:t>Th</w:t>
      </w:r>
      <w:r>
        <w:rPr>
          <w:rFonts w:eastAsia="Times New Roman" w:cs="Segoe UI"/>
          <w:color w:val="000000"/>
          <w:lang w:eastAsia="en-GB"/>
        </w:rPr>
        <w:t>is</w:t>
      </w:r>
      <w:r w:rsidR="00403E41">
        <w:rPr>
          <w:rFonts w:eastAsia="Times New Roman" w:cs="Segoe UI"/>
          <w:color w:val="000000"/>
          <w:lang w:eastAsia="en-GB"/>
        </w:rPr>
        <w:t xml:space="preserve"> show</w:t>
      </w:r>
      <w:r>
        <w:rPr>
          <w:rFonts w:eastAsia="Times New Roman" w:cs="Segoe UI"/>
          <w:color w:val="000000"/>
          <w:lang w:eastAsia="en-GB"/>
        </w:rPr>
        <w:t>s</w:t>
      </w:r>
      <w:proofErr w:type="gramEnd"/>
      <w:r w:rsidR="00403E41" w:rsidRPr="004F04B1">
        <w:rPr>
          <w:rFonts w:eastAsia="Times New Roman" w:cs="Segoe UI"/>
          <w:color w:val="000000"/>
          <w:lang w:eastAsia="en-GB"/>
        </w:rPr>
        <w:t>:</w:t>
      </w:r>
    </w:p>
    <w:p w:rsidR="00403E41" w:rsidRPr="004F04B1" w:rsidRDefault="00403E41" w:rsidP="006E79A8">
      <w:pPr>
        <w:pStyle w:val="ListParagraph"/>
        <w:numPr>
          <w:ilvl w:val="0"/>
          <w:numId w:val="7"/>
        </w:numPr>
        <w:spacing w:after="120"/>
        <w:jc w:val="both"/>
        <w:rPr>
          <w:rFonts w:eastAsia="Times New Roman" w:cs="Segoe UI"/>
          <w:color w:val="000000"/>
          <w:lang w:eastAsia="en-GB"/>
        </w:rPr>
      </w:pPr>
      <w:r w:rsidRPr="004F04B1">
        <w:rPr>
          <w:rFonts w:eastAsia="Times New Roman" w:cs="Segoe UI"/>
          <w:color w:val="000000"/>
          <w:lang w:eastAsia="en-GB"/>
        </w:rPr>
        <w:t>Although women form 43% of academic and research staff they form 53% of staff in this category employed on fixed term contracts.</w:t>
      </w:r>
    </w:p>
    <w:p w:rsidR="00403E41" w:rsidRPr="004F04B1" w:rsidRDefault="00403E41" w:rsidP="00403E41">
      <w:pPr>
        <w:pStyle w:val="ListParagraph"/>
        <w:numPr>
          <w:ilvl w:val="0"/>
          <w:numId w:val="7"/>
        </w:numPr>
        <w:spacing w:after="120"/>
        <w:rPr>
          <w:rFonts w:eastAsia="Times New Roman" w:cs="Segoe UI"/>
          <w:color w:val="000000"/>
          <w:lang w:eastAsia="en-GB"/>
        </w:rPr>
      </w:pPr>
      <w:r w:rsidRPr="004F04B1">
        <w:rPr>
          <w:rFonts w:eastAsia="Times New Roman" w:cs="Segoe UI"/>
          <w:color w:val="000000"/>
          <w:lang w:eastAsia="en-GB"/>
        </w:rPr>
        <w:t>If research staff are excluded women still form 43% of academic staff, but the proportion on fixed term contracts is 47%.</w:t>
      </w:r>
    </w:p>
    <w:p w:rsidR="00403E41" w:rsidRPr="004F04B1" w:rsidRDefault="00403E41" w:rsidP="006E79A8">
      <w:pPr>
        <w:pStyle w:val="ListParagraph"/>
        <w:numPr>
          <w:ilvl w:val="0"/>
          <w:numId w:val="7"/>
        </w:numPr>
        <w:spacing w:after="120"/>
        <w:jc w:val="both"/>
        <w:rPr>
          <w:rFonts w:eastAsia="Times New Roman" w:cs="Segoe UI"/>
          <w:color w:val="000000"/>
          <w:lang w:eastAsia="en-GB"/>
        </w:rPr>
      </w:pPr>
      <w:r w:rsidRPr="004F04B1">
        <w:rPr>
          <w:rFonts w:eastAsia="Times New Roman" w:cs="Segoe UI"/>
          <w:color w:val="000000"/>
          <w:lang w:eastAsia="en-GB"/>
        </w:rPr>
        <w:t>BME staff form 13% of academic and research staff and 16% of staff in these categories employed on fixed term contracts.</w:t>
      </w:r>
    </w:p>
    <w:p w:rsidR="00403E41" w:rsidRPr="004F04B1" w:rsidRDefault="00403E41" w:rsidP="006E79A8">
      <w:pPr>
        <w:pStyle w:val="ListParagraph"/>
        <w:numPr>
          <w:ilvl w:val="0"/>
          <w:numId w:val="7"/>
        </w:numPr>
        <w:spacing w:after="120"/>
        <w:jc w:val="both"/>
        <w:rPr>
          <w:rFonts w:eastAsia="Times New Roman" w:cs="Segoe UI"/>
          <w:color w:val="000000"/>
          <w:lang w:eastAsia="en-GB"/>
        </w:rPr>
      </w:pPr>
      <w:r w:rsidRPr="004F04B1">
        <w:rPr>
          <w:rFonts w:eastAsia="Times New Roman" w:cs="Segoe UI"/>
          <w:color w:val="000000"/>
          <w:lang w:eastAsia="en-GB"/>
        </w:rPr>
        <w:t>For PSS staff, although women form 72% of the overall total, they form 61% of the total employed on fixed term contracts.</w:t>
      </w:r>
    </w:p>
    <w:p w:rsidR="00403E41" w:rsidRPr="00AC1582" w:rsidRDefault="00403E41" w:rsidP="00FA7037">
      <w:pPr>
        <w:pStyle w:val="ListParagraph"/>
        <w:numPr>
          <w:ilvl w:val="0"/>
          <w:numId w:val="7"/>
        </w:numPr>
        <w:spacing w:after="120"/>
        <w:ind w:left="714" w:hanging="357"/>
        <w:contextualSpacing w:val="0"/>
        <w:jc w:val="both"/>
      </w:pPr>
      <w:r w:rsidRPr="00D100AA">
        <w:rPr>
          <w:rFonts w:eastAsia="Times New Roman" w:cs="Segoe UI"/>
          <w:color w:val="000000"/>
          <w:lang w:eastAsia="en-GB"/>
        </w:rPr>
        <w:t>Whilst BME staff form 8% of the overall total pf PSS staff, they form 16% of the total employed on fixed term contracts.</w:t>
      </w:r>
      <w:r w:rsidRPr="00AC1582">
        <w:rPr>
          <w:lang w:eastAsia="en-GB"/>
        </w:rPr>
        <w:t> </w:t>
      </w:r>
    </w:p>
    <w:p w:rsidR="00403E41" w:rsidRPr="00AC1582" w:rsidRDefault="00403E41" w:rsidP="00FA7037">
      <w:pPr>
        <w:pStyle w:val="ListParagraph"/>
        <w:numPr>
          <w:ilvl w:val="0"/>
          <w:numId w:val="3"/>
        </w:numPr>
        <w:spacing w:before="240" w:after="120"/>
        <w:ind w:left="357" w:hanging="357"/>
        <w:contextualSpacing w:val="0"/>
        <w:rPr>
          <w:b/>
          <w:sz w:val="24"/>
          <w:szCs w:val="24"/>
        </w:rPr>
      </w:pPr>
      <w:r w:rsidRPr="00AC1582">
        <w:rPr>
          <w:b/>
          <w:sz w:val="24"/>
          <w:szCs w:val="24"/>
        </w:rPr>
        <w:t>Recruitment data</w:t>
      </w:r>
      <w:r>
        <w:rPr>
          <w:b/>
          <w:sz w:val="24"/>
          <w:szCs w:val="24"/>
        </w:rPr>
        <w:t xml:space="preserve"> in 2014/15</w:t>
      </w:r>
    </w:p>
    <w:p w:rsidR="00403E41" w:rsidRDefault="00403E41" w:rsidP="00FA7037">
      <w:pPr>
        <w:spacing w:after="120"/>
        <w:jc w:val="both"/>
        <w:rPr>
          <w:rFonts w:eastAsia="Times New Roman" w:cs="Segoe UI"/>
          <w:color w:val="000000"/>
          <w:lang w:eastAsia="en-GB"/>
        </w:rPr>
      </w:pPr>
      <w:r>
        <w:rPr>
          <w:rFonts w:eastAsia="Times New Roman" w:cs="Segoe UI"/>
          <w:color w:val="000000"/>
          <w:lang w:eastAsia="en-GB"/>
        </w:rPr>
        <w:t xml:space="preserve">We are </w:t>
      </w:r>
      <w:r w:rsidRPr="00944E66">
        <w:rPr>
          <w:rFonts w:eastAsia="Times New Roman" w:cs="Segoe UI"/>
          <w:color w:val="000000"/>
          <w:lang w:eastAsia="en-GB"/>
        </w:rPr>
        <w:t xml:space="preserve">waiting for </w:t>
      </w:r>
      <w:r>
        <w:rPr>
          <w:rFonts w:eastAsia="Times New Roman" w:cs="Segoe UI"/>
          <w:color w:val="000000"/>
          <w:lang w:eastAsia="en-GB"/>
        </w:rPr>
        <w:t xml:space="preserve">an </w:t>
      </w:r>
      <w:r w:rsidRPr="00944E66">
        <w:rPr>
          <w:rFonts w:eastAsia="Times New Roman" w:cs="Segoe UI"/>
          <w:color w:val="000000"/>
          <w:lang w:eastAsia="en-GB"/>
        </w:rPr>
        <w:t xml:space="preserve">updated </w:t>
      </w:r>
      <w:r>
        <w:rPr>
          <w:rFonts w:eastAsia="Times New Roman" w:cs="Segoe UI"/>
          <w:color w:val="000000"/>
          <w:lang w:eastAsia="en-GB"/>
        </w:rPr>
        <w:t xml:space="preserve">analysis of the </w:t>
      </w:r>
      <w:proofErr w:type="spellStart"/>
      <w:r>
        <w:rPr>
          <w:rFonts w:eastAsia="Times New Roman" w:cs="Segoe UI"/>
          <w:color w:val="000000"/>
          <w:lang w:eastAsia="en-GB"/>
        </w:rPr>
        <w:t>Jobtrain</w:t>
      </w:r>
      <w:proofErr w:type="spellEnd"/>
      <w:r>
        <w:rPr>
          <w:rFonts w:eastAsia="Times New Roman" w:cs="Segoe UI"/>
          <w:color w:val="000000"/>
          <w:lang w:eastAsia="en-GB"/>
        </w:rPr>
        <w:t xml:space="preserve"> </w:t>
      </w:r>
      <w:r w:rsidRPr="00944E66">
        <w:rPr>
          <w:rFonts w:eastAsia="Times New Roman" w:cs="Segoe UI"/>
          <w:color w:val="000000"/>
          <w:lang w:eastAsia="en-GB"/>
        </w:rPr>
        <w:t>data to enable us to provide a comparison with the analysis we prepared for the 2014 recruitment round.</w:t>
      </w:r>
      <w:r>
        <w:rPr>
          <w:rFonts w:eastAsia="Times New Roman" w:cs="Segoe UI"/>
          <w:color w:val="000000"/>
          <w:lang w:eastAsia="en-GB"/>
        </w:rPr>
        <w:t xml:space="preserve">   Data was prepared as part of the work in preparation for the University’s Race Equality Charter Mark submission for the year 2014 and this showed   the progress of </w:t>
      </w:r>
      <w:r w:rsidRPr="00D15139">
        <w:rPr>
          <w:rFonts w:eastAsia="Times New Roman" w:cs="Segoe UI"/>
          <w:color w:val="000000"/>
          <w:lang w:eastAsia="en-GB"/>
        </w:rPr>
        <w:t>BME candidates disaggregated into UK and non-UK BME</w:t>
      </w:r>
      <w:r>
        <w:rPr>
          <w:rFonts w:eastAsia="Times New Roman" w:cs="Segoe UI"/>
          <w:color w:val="000000"/>
          <w:lang w:eastAsia="en-GB"/>
        </w:rPr>
        <w:t xml:space="preserve"> categories.  However, the data isn’t in a sufficiently granular form to be helpful in informing actions within the Faculty.  We will therefore wait for the recruitment data to be produced as part of the </w:t>
      </w:r>
      <w:r>
        <w:rPr>
          <w:rFonts w:eastAsia="Times New Roman" w:cs="Segoe UI"/>
          <w:color w:val="000000"/>
          <w:lang w:eastAsia="en-GB"/>
        </w:rPr>
        <w:lastRenderedPageBreak/>
        <w:t>2015 APR so that we can conduct c</w:t>
      </w:r>
      <w:r w:rsidRPr="00944E66">
        <w:rPr>
          <w:rFonts w:eastAsia="Times New Roman" w:cs="Segoe UI"/>
          <w:color w:val="000000"/>
          <w:lang w:eastAsia="en-GB"/>
        </w:rPr>
        <w:t>omparisons with the 2013 data tables</w:t>
      </w:r>
      <w:r>
        <w:rPr>
          <w:rFonts w:eastAsia="Times New Roman" w:cs="Segoe UI"/>
          <w:color w:val="000000"/>
          <w:lang w:eastAsia="en-GB"/>
        </w:rPr>
        <w:t xml:space="preserve"> we included with the 2014 progress report</w:t>
      </w:r>
      <w:r>
        <w:rPr>
          <w:rStyle w:val="FootnoteReference"/>
          <w:rFonts w:eastAsia="Times New Roman" w:cs="Segoe UI"/>
          <w:color w:val="000000"/>
          <w:lang w:eastAsia="en-GB"/>
        </w:rPr>
        <w:footnoteReference w:id="2"/>
      </w:r>
      <w:r w:rsidRPr="00944E66">
        <w:rPr>
          <w:rFonts w:eastAsia="Times New Roman" w:cs="Segoe UI"/>
          <w:color w:val="000000"/>
          <w:lang w:eastAsia="en-GB"/>
        </w:rPr>
        <w:t>.</w:t>
      </w:r>
    </w:p>
    <w:p w:rsidR="00403E41" w:rsidRPr="00944E66" w:rsidRDefault="00403E41" w:rsidP="00FA7037">
      <w:pPr>
        <w:pStyle w:val="ListParagraph"/>
        <w:numPr>
          <w:ilvl w:val="0"/>
          <w:numId w:val="3"/>
        </w:numPr>
        <w:spacing w:before="240" w:after="120"/>
        <w:ind w:left="357" w:hanging="357"/>
        <w:contextualSpacing w:val="0"/>
        <w:rPr>
          <w:rFonts w:eastAsia="Times New Roman" w:cs="Segoe UI"/>
          <w:b/>
          <w:color w:val="000000"/>
          <w:sz w:val="24"/>
          <w:szCs w:val="24"/>
          <w:lang w:eastAsia="en-GB"/>
        </w:rPr>
      </w:pPr>
      <w:r w:rsidRPr="00944E66">
        <w:rPr>
          <w:rFonts w:eastAsia="Times New Roman" w:cs="Segoe UI"/>
          <w:b/>
          <w:color w:val="000000"/>
          <w:sz w:val="24"/>
          <w:szCs w:val="24"/>
          <w:lang w:eastAsia="en-GB"/>
        </w:rPr>
        <w:t>Data from 2014/15 promotions</w:t>
      </w:r>
    </w:p>
    <w:p w:rsidR="00F7560A" w:rsidRDefault="00403E41" w:rsidP="00F7560A">
      <w:pPr>
        <w:spacing w:after="120"/>
        <w:rPr>
          <w:rFonts w:ascii="Calibri" w:eastAsia="Times New Roman" w:hAnsi="Calibri" w:cs="Segoe UI"/>
          <w:color w:val="000000"/>
          <w:lang w:eastAsia="en-GB"/>
        </w:rPr>
      </w:pPr>
      <w:r>
        <w:rPr>
          <w:rFonts w:ascii="Calibri" w:eastAsia="Times New Roman" w:hAnsi="Calibri" w:cs="Segoe UI"/>
          <w:color w:val="000000"/>
          <w:lang w:eastAsia="en-GB"/>
        </w:rPr>
        <w:t>UPC meet</w:t>
      </w:r>
      <w:r w:rsidR="00F7560A">
        <w:rPr>
          <w:rFonts w:ascii="Calibri" w:eastAsia="Times New Roman" w:hAnsi="Calibri" w:cs="Segoe UI"/>
          <w:color w:val="000000"/>
          <w:lang w:eastAsia="en-GB"/>
        </w:rPr>
        <w:t>s on</w:t>
      </w:r>
      <w:r>
        <w:rPr>
          <w:rFonts w:ascii="Calibri" w:eastAsia="Times New Roman" w:hAnsi="Calibri" w:cs="Segoe UI"/>
          <w:color w:val="000000"/>
          <w:lang w:eastAsia="en-GB"/>
        </w:rPr>
        <w:t xml:space="preserve"> 16 June 2015</w:t>
      </w:r>
      <w:r w:rsidR="00F7560A">
        <w:rPr>
          <w:rFonts w:ascii="Calibri" w:eastAsia="Times New Roman" w:hAnsi="Calibri" w:cs="Segoe UI"/>
          <w:color w:val="000000"/>
          <w:lang w:eastAsia="en-GB"/>
        </w:rPr>
        <w:t xml:space="preserve"> and will receive a full analysis of this year’s applications by gender and ethnicity.  The headlines are as follows:</w:t>
      </w:r>
    </w:p>
    <w:p w:rsidR="00403E41" w:rsidRPr="00F7560A" w:rsidRDefault="00403E41" w:rsidP="00F7560A">
      <w:pPr>
        <w:pStyle w:val="ListParagraph"/>
        <w:numPr>
          <w:ilvl w:val="0"/>
          <w:numId w:val="22"/>
        </w:numPr>
        <w:spacing w:after="120"/>
        <w:ind w:left="720"/>
        <w:rPr>
          <w:rFonts w:eastAsia="Times New Roman" w:cs="Segoe UI"/>
          <w:color w:val="000000"/>
          <w:lang w:eastAsia="en-GB"/>
        </w:rPr>
      </w:pPr>
      <w:r w:rsidRPr="00F7560A">
        <w:rPr>
          <w:rFonts w:eastAsia="Times New Roman" w:cs="Segoe UI"/>
          <w:color w:val="000000"/>
          <w:lang w:eastAsia="en-GB"/>
        </w:rPr>
        <w:t>Success rates for female applicants were higher this year than those for men (76% v 64%)</w:t>
      </w:r>
    </w:p>
    <w:p w:rsidR="00403E41" w:rsidRPr="00F07A3A" w:rsidRDefault="00403E41" w:rsidP="00F7560A">
      <w:pPr>
        <w:pStyle w:val="ListParagraph"/>
        <w:numPr>
          <w:ilvl w:val="0"/>
          <w:numId w:val="10"/>
        </w:numPr>
        <w:spacing w:after="120"/>
        <w:ind w:left="720"/>
        <w:rPr>
          <w:rFonts w:eastAsia="Times New Roman" w:cs="Segoe UI"/>
          <w:color w:val="000000"/>
          <w:lang w:eastAsia="en-GB"/>
        </w:rPr>
      </w:pPr>
      <w:r w:rsidRPr="00F07A3A">
        <w:rPr>
          <w:rFonts w:eastAsia="Times New Roman" w:cs="Segoe UI"/>
          <w:color w:val="000000"/>
          <w:lang w:eastAsia="en-GB"/>
        </w:rPr>
        <w:t>For promotion to SL rates were 86% for women and 68% for men</w:t>
      </w:r>
    </w:p>
    <w:p w:rsidR="00403E41" w:rsidRPr="00F07A3A" w:rsidRDefault="00403E41" w:rsidP="00F7560A">
      <w:pPr>
        <w:pStyle w:val="ListParagraph"/>
        <w:numPr>
          <w:ilvl w:val="0"/>
          <w:numId w:val="10"/>
        </w:numPr>
        <w:spacing w:after="120"/>
        <w:ind w:left="720"/>
        <w:rPr>
          <w:rFonts w:eastAsia="Times New Roman" w:cs="Segoe UI"/>
          <w:color w:val="000000"/>
          <w:lang w:eastAsia="en-GB"/>
        </w:rPr>
      </w:pPr>
      <w:r w:rsidRPr="00F07A3A">
        <w:rPr>
          <w:rFonts w:eastAsia="Times New Roman" w:cs="Segoe UI"/>
          <w:color w:val="000000"/>
          <w:lang w:eastAsia="en-GB"/>
        </w:rPr>
        <w:t>For promotion to Chair, rates were 67% for women and 56% for men</w:t>
      </w:r>
    </w:p>
    <w:p w:rsidR="00403E41" w:rsidRPr="00F07A3A" w:rsidRDefault="00403E41" w:rsidP="00F7560A">
      <w:pPr>
        <w:pStyle w:val="ListParagraph"/>
        <w:numPr>
          <w:ilvl w:val="0"/>
          <w:numId w:val="10"/>
        </w:numPr>
        <w:spacing w:after="120"/>
        <w:ind w:left="720"/>
        <w:rPr>
          <w:rFonts w:eastAsia="Times New Roman" w:cs="Segoe UI"/>
          <w:color w:val="000000"/>
          <w:lang w:eastAsia="en-GB"/>
        </w:rPr>
      </w:pPr>
      <w:r w:rsidRPr="00F07A3A">
        <w:rPr>
          <w:rFonts w:eastAsia="Times New Roman" w:cs="Segoe UI"/>
          <w:color w:val="000000"/>
          <w:lang w:eastAsia="en-GB"/>
        </w:rPr>
        <w:t>The proportion and number of women promoted to SL down from 2014 – the number promoted fell from 13 to 12 and  the proportion fell from 54 to 44% 15 men were promoted to senior lecturer in 2015 (11 in 2015). </w:t>
      </w:r>
    </w:p>
    <w:p w:rsidR="00403E41" w:rsidRPr="00F07A3A" w:rsidRDefault="00403E41" w:rsidP="00F7560A">
      <w:pPr>
        <w:pStyle w:val="ListParagraph"/>
        <w:numPr>
          <w:ilvl w:val="0"/>
          <w:numId w:val="10"/>
        </w:numPr>
        <w:spacing w:after="120"/>
        <w:ind w:left="720"/>
        <w:rPr>
          <w:rFonts w:eastAsia="Times New Roman" w:cs="Segoe UI"/>
          <w:color w:val="000000"/>
          <w:lang w:eastAsia="en-GB"/>
        </w:rPr>
      </w:pPr>
      <w:r w:rsidRPr="00F07A3A">
        <w:rPr>
          <w:rFonts w:eastAsia="Times New Roman" w:cs="Segoe UI"/>
          <w:color w:val="000000"/>
          <w:lang w:eastAsia="en-GB"/>
        </w:rPr>
        <w:t>The proportion of women promoted to chair level rose from 16% [2] in 2014 to 55% [6] this year.  Success rates were higher for female applicants at 67% as compared to 56% for men.</w:t>
      </w:r>
    </w:p>
    <w:p w:rsidR="00F7560A" w:rsidRDefault="00403E41" w:rsidP="006E79A8">
      <w:pPr>
        <w:pStyle w:val="NoSpacing"/>
        <w:jc w:val="both"/>
        <w:rPr>
          <w:lang w:eastAsia="en-GB"/>
        </w:rPr>
      </w:pPr>
      <w:r w:rsidRPr="00403E41">
        <w:rPr>
          <w:lang w:eastAsia="en-GB"/>
        </w:rPr>
        <w:t xml:space="preserve">At </w:t>
      </w:r>
      <w:r w:rsidR="00F7560A">
        <w:rPr>
          <w:lang w:eastAsia="en-GB"/>
        </w:rPr>
        <w:t>nine</w:t>
      </w:r>
      <w:r w:rsidRPr="00403E41">
        <w:rPr>
          <w:lang w:eastAsia="en-GB"/>
        </w:rPr>
        <w:t xml:space="preserve"> (4 to SL, 1 to Reader and 4 to Chair), the number o</w:t>
      </w:r>
      <w:r w:rsidR="00F7560A">
        <w:rPr>
          <w:lang w:eastAsia="en-GB"/>
        </w:rPr>
        <w:t>f BME applications was up from six</w:t>
      </w:r>
      <w:r w:rsidRPr="00403E41">
        <w:rPr>
          <w:lang w:eastAsia="en-GB"/>
        </w:rPr>
        <w:t xml:space="preserve"> last year.  Success rates were still lower than for white applicants (44% v 73%).  The </w:t>
      </w:r>
      <w:r w:rsidR="00F7560A">
        <w:rPr>
          <w:lang w:eastAsia="en-GB"/>
        </w:rPr>
        <w:t xml:space="preserve">four </w:t>
      </w:r>
      <w:r w:rsidRPr="00403E41">
        <w:rPr>
          <w:lang w:eastAsia="en-GB"/>
        </w:rPr>
        <w:t xml:space="preserve">successful cases was double last year’s number, including </w:t>
      </w:r>
      <w:r w:rsidR="00F7560A">
        <w:rPr>
          <w:lang w:eastAsia="en-GB"/>
        </w:rPr>
        <w:t>two</w:t>
      </w:r>
      <w:r w:rsidRPr="00403E41">
        <w:rPr>
          <w:lang w:eastAsia="en-GB"/>
        </w:rPr>
        <w:t xml:space="preserve"> promotions to chair.</w:t>
      </w:r>
    </w:p>
    <w:p w:rsidR="00F7560A" w:rsidRDefault="00F7560A" w:rsidP="00F7560A">
      <w:pPr>
        <w:pStyle w:val="NoSpacing"/>
        <w:rPr>
          <w:lang w:eastAsia="en-GB"/>
        </w:rPr>
      </w:pPr>
    </w:p>
    <w:p w:rsidR="00F7560A" w:rsidRDefault="00F7560A" w:rsidP="00FA7037">
      <w:pPr>
        <w:pStyle w:val="NoSpacing"/>
        <w:spacing w:after="120"/>
        <w:rPr>
          <w:lang w:eastAsia="en-GB"/>
        </w:rPr>
      </w:pPr>
      <w:r>
        <w:rPr>
          <w:lang w:eastAsia="en-GB"/>
        </w:rPr>
        <w:t>The full analysis will be provided to the Working Group and is available on request.</w:t>
      </w:r>
    </w:p>
    <w:p w:rsidR="00403E41" w:rsidRPr="00403E41" w:rsidRDefault="00403E41" w:rsidP="00403E41">
      <w:pPr>
        <w:pStyle w:val="NoSpacing"/>
        <w:rPr>
          <w:rFonts w:eastAsia="Times New Roman" w:cs="Segoe UI"/>
          <w:color w:val="000000"/>
          <w:lang w:eastAsia="en-GB"/>
        </w:rPr>
      </w:pPr>
    </w:p>
    <w:p w:rsidR="00403E41" w:rsidRPr="004F04B1" w:rsidRDefault="00403E41" w:rsidP="00FA7037">
      <w:pPr>
        <w:pStyle w:val="ListParagraph"/>
        <w:numPr>
          <w:ilvl w:val="0"/>
          <w:numId w:val="3"/>
        </w:numPr>
        <w:spacing w:before="240" w:after="120"/>
        <w:ind w:left="357" w:hanging="357"/>
        <w:contextualSpacing w:val="0"/>
        <w:rPr>
          <w:rFonts w:eastAsia="Times New Roman" w:cs="Segoe UI"/>
          <w:b/>
          <w:color w:val="000000"/>
          <w:sz w:val="24"/>
          <w:szCs w:val="24"/>
          <w:lang w:eastAsia="en-GB"/>
        </w:rPr>
      </w:pPr>
      <w:r w:rsidRPr="004F04B1">
        <w:rPr>
          <w:rFonts w:eastAsia="Times New Roman" w:cs="Segoe UI"/>
          <w:b/>
          <w:color w:val="000000"/>
          <w:sz w:val="24"/>
          <w:szCs w:val="24"/>
          <w:lang w:eastAsia="en-GB"/>
        </w:rPr>
        <w:t>Introduction of positive action pilot to provide support to PSS BME applicants in Humanities</w:t>
      </w:r>
    </w:p>
    <w:p w:rsidR="00403E41" w:rsidRPr="004F04B1" w:rsidRDefault="00403E41" w:rsidP="00403E41">
      <w:pPr>
        <w:spacing w:after="120"/>
        <w:jc w:val="both"/>
        <w:rPr>
          <w:rFonts w:eastAsia="Times New Roman" w:cs="Segoe UI"/>
          <w:color w:val="000000"/>
          <w:lang w:eastAsia="en-GB"/>
        </w:rPr>
      </w:pPr>
      <w:r>
        <w:rPr>
          <w:rFonts w:eastAsia="Times New Roman" w:cs="Segoe UI"/>
          <w:color w:val="000000"/>
          <w:lang w:eastAsia="en-GB"/>
        </w:rPr>
        <w:t xml:space="preserve">The Deputy Director of HR has been working </w:t>
      </w:r>
      <w:r w:rsidRPr="004F04B1">
        <w:rPr>
          <w:rFonts w:eastAsia="Times New Roman" w:cs="Segoe UI"/>
          <w:color w:val="000000"/>
          <w:lang w:eastAsia="en-GB"/>
        </w:rPr>
        <w:t xml:space="preserve">with HR colleagues to develop a  means of offering additional support to BME PSS candidates in response to the finding that BME applicants are significantly less likely to be shortlisted than White applicants.  </w:t>
      </w:r>
      <w:r>
        <w:rPr>
          <w:rFonts w:eastAsia="Times New Roman" w:cs="Segoe UI"/>
          <w:color w:val="000000"/>
          <w:lang w:eastAsia="en-GB"/>
        </w:rPr>
        <w:t xml:space="preserve">It is </w:t>
      </w:r>
      <w:r w:rsidRPr="004F04B1">
        <w:rPr>
          <w:rFonts w:eastAsia="Times New Roman" w:cs="Segoe UI"/>
          <w:color w:val="000000"/>
          <w:lang w:eastAsia="en-GB"/>
        </w:rPr>
        <w:t>plan</w:t>
      </w:r>
      <w:r>
        <w:rPr>
          <w:rFonts w:eastAsia="Times New Roman" w:cs="Segoe UI"/>
          <w:color w:val="000000"/>
          <w:lang w:eastAsia="en-GB"/>
        </w:rPr>
        <w:t>ned</w:t>
      </w:r>
      <w:r w:rsidRPr="004F04B1">
        <w:rPr>
          <w:rFonts w:eastAsia="Times New Roman" w:cs="Segoe UI"/>
          <w:color w:val="000000"/>
          <w:lang w:eastAsia="en-GB"/>
        </w:rPr>
        <w:t xml:space="preserve"> to introduce a pilot for vacancies in Humanities for one year from Septem</w:t>
      </w:r>
      <w:r>
        <w:rPr>
          <w:rFonts w:eastAsia="Times New Roman" w:cs="Segoe UI"/>
          <w:color w:val="000000"/>
          <w:lang w:eastAsia="en-GB"/>
        </w:rPr>
        <w:t xml:space="preserve">ber.  </w:t>
      </w:r>
      <w:r w:rsidRPr="004F04B1">
        <w:rPr>
          <w:rFonts w:eastAsia="Times New Roman" w:cs="Segoe UI"/>
          <w:color w:val="000000"/>
          <w:lang w:eastAsia="en-GB"/>
        </w:rPr>
        <w:t>In preparation</w:t>
      </w:r>
      <w:r>
        <w:rPr>
          <w:rFonts w:eastAsia="Times New Roman" w:cs="Segoe UI"/>
          <w:color w:val="000000"/>
          <w:lang w:eastAsia="en-GB"/>
        </w:rPr>
        <w:t>, HR is</w:t>
      </w:r>
      <w:r w:rsidRPr="004F04B1">
        <w:rPr>
          <w:rFonts w:eastAsia="Times New Roman" w:cs="Segoe UI"/>
          <w:color w:val="000000"/>
          <w:lang w:eastAsia="en-GB"/>
        </w:rPr>
        <w:t>:</w:t>
      </w:r>
    </w:p>
    <w:p w:rsidR="00403E41" w:rsidRPr="004F04B1" w:rsidRDefault="00403E41" w:rsidP="00403E41">
      <w:pPr>
        <w:pStyle w:val="ListParagraph"/>
        <w:numPr>
          <w:ilvl w:val="0"/>
          <w:numId w:val="8"/>
        </w:numPr>
        <w:spacing w:after="120"/>
        <w:rPr>
          <w:rFonts w:eastAsia="Times New Roman" w:cs="Segoe UI"/>
          <w:color w:val="000000"/>
          <w:lang w:eastAsia="en-GB"/>
        </w:rPr>
      </w:pPr>
      <w:r w:rsidRPr="004F04B1">
        <w:rPr>
          <w:rFonts w:eastAsia="Times New Roman" w:cs="Segoe UI"/>
          <w:color w:val="000000"/>
          <w:lang w:eastAsia="en-GB"/>
        </w:rPr>
        <w:t xml:space="preserve">Determining a means by which the offer is flagged to BME candidates through </w:t>
      </w:r>
      <w:proofErr w:type="spellStart"/>
      <w:r w:rsidRPr="004F04B1">
        <w:rPr>
          <w:rFonts w:eastAsia="Times New Roman" w:cs="Segoe UI"/>
          <w:color w:val="000000"/>
          <w:lang w:eastAsia="en-GB"/>
        </w:rPr>
        <w:t>Jobtrain</w:t>
      </w:r>
      <w:proofErr w:type="spellEnd"/>
    </w:p>
    <w:p w:rsidR="00403E41" w:rsidRPr="004F04B1" w:rsidRDefault="00403E41" w:rsidP="00403E41">
      <w:pPr>
        <w:pStyle w:val="ListParagraph"/>
        <w:numPr>
          <w:ilvl w:val="0"/>
          <w:numId w:val="8"/>
        </w:numPr>
        <w:spacing w:after="120"/>
        <w:rPr>
          <w:rFonts w:eastAsia="Times New Roman" w:cs="Segoe UI"/>
          <w:color w:val="000000"/>
          <w:lang w:eastAsia="en-GB"/>
        </w:rPr>
      </w:pPr>
      <w:r w:rsidRPr="004F04B1">
        <w:rPr>
          <w:rFonts w:eastAsia="Times New Roman" w:cs="Segoe UI"/>
          <w:color w:val="000000"/>
          <w:lang w:eastAsia="en-GB"/>
        </w:rPr>
        <w:t>Finalising how support will be accessed and provided</w:t>
      </w:r>
    </w:p>
    <w:p w:rsidR="00403E41" w:rsidRPr="004F04B1" w:rsidRDefault="00403E41" w:rsidP="00403E41">
      <w:pPr>
        <w:pStyle w:val="ListParagraph"/>
        <w:numPr>
          <w:ilvl w:val="0"/>
          <w:numId w:val="8"/>
        </w:numPr>
        <w:spacing w:after="120"/>
        <w:rPr>
          <w:rFonts w:eastAsia="Times New Roman" w:cs="Segoe UI"/>
          <w:color w:val="000000"/>
          <w:lang w:eastAsia="en-GB"/>
        </w:rPr>
      </w:pPr>
      <w:r w:rsidRPr="004F04B1">
        <w:rPr>
          <w:rFonts w:eastAsia="Times New Roman" w:cs="Segoe UI"/>
          <w:color w:val="000000"/>
          <w:lang w:eastAsia="en-GB"/>
        </w:rPr>
        <w:t>Defining the scope of what support can be provided</w:t>
      </w:r>
    </w:p>
    <w:p w:rsidR="00403E41" w:rsidRDefault="00403E41" w:rsidP="00403E41">
      <w:pPr>
        <w:pStyle w:val="ListParagraph"/>
        <w:numPr>
          <w:ilvl w:val="0"/>
          <w:numId w:val="8"/>
        </w:numPr>
        <w:spacing w:after="120"/>
        <w:rPr>
          <w:rFonts w:eastAsia="Times New Roman" w:cs="Segoe UI"/>
          <w:color w:val="000000"/>
          <w:lang w:eastAsia="en-GB"/>
        </w:rPr>
      </w:pPr>
      <w:r w:rsidRPr="004F04B1">
        <w:rPr>
          <w:rFonts w:eastAsia="Times New Roman" w:cs="Segoe UI"/>
          <w:color w:val="000000"/>
          <w:lang w:eastAsia="en-GB"/>
        </w:rPr>
        <w:t>Determining a means by which the pilot</w:t>
      </w:r>
      <w:r>
        <w:rPr>
          <w:rFonts w:eastAsia="Times New Roman" w:cs="Segoe UI"/>
          <w:color w:val="000000"/>
          <w:lang w:eastAsia="en-GB"/>
        </w:rPr>
        <w:t xml:space="preserve"> will be evaluated</w:t>
      </w:r>
      <w:r w:rsidRPr="004F04B1">
        <w:rPr>
          <w:rFonts w:eastAsia="Times New Roman" w:cs="Segoe UI"/>
          <w:color w:val="000000"/>
          <w:lang w:eastAsia="en-GB"/>
        </w:rPr>
        <w:t>.</w:t>
      </w:r>
    </w:p>
    <w:p w:rsidR="00403E41" w:rsidRDefault="00403E41" w:rsidP="00FA7037">
      <w:pPr>
        <w:spacing w:after="120"/>
        <w:jc w:val="both"/>
        <w:rPr>
          <w:rFonts w:eastAsia="Times New Roman" w:cs="Segoe UI"/>
          <w:color w:val="000000"/>
          <w:lang w:eastAsia="en-GB"/>
        </w:rPr>
      </w:pPr>
      <w:r>
        <w:rPr>
          <w:rFonts w:eastAsia="Times New Roman" w:cs="Segoe UI"/>
          <w:color w:val="000000"/>
          <w:lang w:eastAsia="en-GB"/>
        </w:rPr>
        <w:t>It will be important to assess the impact of this initiative as it could potentially be rolled out for other staff groups as well as elsewhere in the University.</w:t>
      </w:r>
    </w:p>
    <w:p w:rsidR="00403E41" w:rsidRDefault="00403E41" w:rsidP="00FA7037">
      <w:pPr>
        <w:pStyle w:val="ListParagraph"/>
        <w:numPr>
          <w:ilvl w:val="0"/>
          <w:numId w:val="3"/>
        </w:numPr>
        <w:spacing w:before="240" w:after="120"/>
        <w:ind w:left="357" w:hanging="357"/>
        <w:contextualSpacing w:val="0"/>
        <w:rPr>
          <w:rFonts w:eastAsia="Times New Roman" w:cs="Segoe UI"/>
          <w:b/>
          <w:color w:val="000000"/>
          <w:sz w:val="24"/>
          <w:szCs w:val="24"/>
          <w:lang w:eastAsia="en-GB"/>
        </w:rPr>
      </w:pPr>
      <w:r w:rsidRPr="004F04B1">
        <w:rPr>
          <w:rFonts w:eastAsia="Times New Roman" w:cs="Segoe UI"/>
          <w:b/>
          <w:color w:val="000000"/>
          <w:sz w:val="24"/>
          <w:szCs w:val="24"/>
          <w:lang w:eastAsia="en-GB"/>
        </w:rPr>
        <w:t>Policy review</w:t>
      </w:r>
    </w:p>
    <w:p w:rsidR="00FA7037" w:rsidRPr="00FA7037" w:rsidRDefault="00FA7037" w:rsidP="00FA7037">
      <w:pPr>
        <w:spacing w:after="120"/>
        <w:rPr>
          <w:rFonts w:eastAsia="Times New Roman" w:cs="Segoe UI"/>
          <w:color w:val="000000"/>
          <w:sz w:val="24"/>
          <w:szCs w:val="24"/>
          <w:lang w:eastAsia="en-GB"/>
        </w:rPr>
      </w:pPr>
      <w:r w:rsidRPr="00FA7037">
        <w:rPr>
          <w:rFonts w:eastAsia="Times New Roman" w:cs="Segoe UI"/>
          <w:color w:val="000000"/>
          <w:sz w:val="24"/>
          <w:szCs w:val="24"/>
          <w:lang w:eastAsia="en-GB"/>
        </w:rPr>
        <w:t>A number of changes have been made, or are in process, to ensure equality and diversity is consistently integrated and applied across different policy documents</w:t>
      </w:r>
      <w:r>
        <w:rPr>
          <w:rFonts w:eastAsia="Times New Roman" w:cs="Segoe UI"/>
          <w:color w:val="000000"/>
          <w:sz w:val="24"/>
          <w:szCs w:val="24"/>
          <w:lang w:eastAsia="en-GB"/>
        </w:rPr>
        <w:t>.</w:t>
      </w:r>
    </w:p>
    <w:p w:rsidR="00FA7037" w:rsidRPr="00FA7037" w:rsidRDefault="00FA7037" w:rsidP="00FA7037">
      <w:pPr>
        <w:pStyle w:val="ListParagraph"/>
        <w:numPr>
          <w:ilvl w:val="0"/>
          <w:numId w:val="23"/>
        </w:numPr>
        <w:spacing w:after="120"/>
        <w:rPr>
          <w:rFonts w:ascii="Calibri" w:eastAsia="Times New Roman" w:hAnsi="Calibri" w:cs="Segoe UI"/>
          <w:b/>
          <w:i/>
          <w:color w:val="000000"/>
          <w:lang w:eastAsia="en-GB"/>
        </w:rPr>
      </w:pPr>
      <w:r w:rsidRPr="00FA7037">
        <w:rPr>
          <w:rFonts w:ascii="Calibri" w:eastAsia="Times New Roman" w:hAnsi="Calibri" w:cs="Segoe UI"/>
          <w:b/>
          <w:i/>
          <w:color w:val="000000"/>
          <w:lang w:eastAsia="en-GB"/>
        </w:rPr>
        <w:t>Promotions guidelines and the professorial pay scheme</w:t>
      </w:r>
    </w:p>
    <w:p w:rsidR="00403E41" w:rsidRDefault="00403E41" w:rsidP="00403E41">
      <w:pPr>
        <w:spacing w:after="120"/>
        <w:rPr>
          <w:rFonts w:ascii="Calibri" w:eastAsia="Times New Roman" w:hAnsi="Calibri" w:cs="Segoe UI"/>
          <w:color w:val="000000"/>
          <w:lang w:eastAsia="en-GB"/>
        </w:rPr>
      </w:pPr>
      <w:r>
        <w:rPr>
          <w:rFonts w:ascii="Calibri" w:eastAsia="Times New Roman" w:hAnsi="Calibri" w:cs="Segoe UI"/>
          <w:color w:val="000000"/>
          <w:lang w:eastAsia="en-GB"/>
        </w:rPr>
        <w:lastRenderedPageBreak/>
        <w:t>C</w:t>
      </w:r>
      <w:r w:rsidRPr="002D026F">
        <w:rPr>
          <w:rFonts w:ascii="Calibri" w:eastAsia="Times New Roman" w:hAnsi="Calibri" w:cs="Segoe UI"/>
          <w:color w:val="000000"/>
          <w:lang w:eastAsia="en-GB"/>
        </w:rPr>
        <w:t xml:space="preserve">hanges made </w:t>
      </w:r>
      <w:r>
        <w:rPr>
          <w:rFonts w:ascii="Calibri" w:eastAsia="Times New Roman" w:hAnsi="Calibri" w:cs="Segoe UI"/>
          <w:color w:val="000000"/>
          <w:lang w:eastAsia="en-GB"/>
        </w:rPr>
        <w:t xml:space="preserve">already been made </w:t>
      </w:r>
      <w:r w:rsidRPr="002D026F">
        <w:rPr>
          <w:rFonts w:ascii="Calibri" w:eastAsia="Times New Roman" w:hAnsi="Calibri" w:cs="Segoe UI"/>
          <w:color w:val="000000"/>
          <w:lang w:eastAsia="en-GB"/>
        </w:rPr>
        <w:t xml:space="preserve">to Faculty promotions guidelines </w:t>
      </w:r>
      <w:r>
        <w:rPr>
          <w:rFonts w:ascii="Calibri" w:eastAsia="Times New Roman" w:hAnsi="Calibri" w:cs="Segoe UI"/>
          <w:color w:val="000000"/>
          <w:lang w:eastAsia="en-GB"/>
        </w:rPr>
        <w:t xml:space="preserve">and the professorial pay scheme </w:t>
      </w:r>
      <w:r w:rsidRPr="002D026F">
        <w:rPr>
          <w:rFonts w:ascii="Calibri" w:eastAsia="Times New Roman" w:hAnsi="Calibri" w:cs="Segoe UI"/>
          <w:color w:val="000000"/>
          <w:lang w:eastAsia="en-GB"/>
        </w:rPr>
        <w:t>to give greater promin</w:t>
      </w:r>
      <w:r>
        <w:rPr>
          <w:rFonts w:ascii="Calibri" w:eastAsia="Times New Roman" w:hAnsi="Calibri" w:cs="Segoe UI"/>
          <w:color w:val="000000"/>
          <w:lang w:eastAsia="en-GB"/>
        </w:rPr>
        <w:t xml:space="preserve">ence to </w:t>
      </w:r>
      <w:r w:rsidRPr="002D026F">
        <w:rPr>
          <w:rFonts w:ascii="Calibri" w:eastAsia="Times New Roman" w:hAnsi="Calibri" w:cs="Segoe UI"/>
          <w:color w:val="000000"/>
          <w:lang w:eastAsia="en-GB"/>
        </w:rPr>
        <w:t xml:space="preserve">equality and diversity.  </w:t>
      </w:r>
    </w:p>
    <w:p w:rsidR="00FA7037" w:rsidRPr="00FA7037" w:rsidRDefault="00FA7037" w:rsidP="00FA7037">
      <w:pPr>
        <w:pStyle w:val="ListParagraph"/>
        <w:numPr>
          <w:ilvl w:val="0"/>
          <w:numId w:val="23"/>
        </w:numPr>
        <w:spacing w:after="120"/>
        <w:jc w:val="both"/>
        <w:rPr>
          <w:rFonts w:ascii="Calibri" w:eastAsia="Times New Roman" w:hAnsi="Calibri" w:cs="Segoe UI"/>
          <w:b/>
          <w:i/>
          <w:color w:val="000000"/>
          <w:lang w:eastAsia="en-GB"/>
        </w:rPr>
      </w:pPr>
      <w:r w:rsidRPr="00FA7037">
        <w:rPr>
          <w:rFonts w:ascii="Calibri" w:eastAsia="Times New Roman" w:hAnsi="Calibri" w:cs="Segoe UI"/>
          <w:b/>
          <w:i/>
          <w:color w:val="000000"/>
          <w:lang w:eastAsia="en-GB"/>
        </w:rPr>
        <w:t xml:space="preserve">Employment policy </w:t>
      </w:r>
    </w:p>
    <w:p w:rsidR="00403E41" w:rsidRPr="002D026F" w:rsidRDefault="00403E41" w:rsidP="006E79A8">
      <w:pPr>
        <w:spacing w:after="120"/>
        <w:jc w:val="both"/>
        <w:rPr>
          <w:rFonts w:eastAsia="Times New Roman" w:cs="Segoe UI"/>
          <w:b/>
          <w:color w:val="000000"/>
          <w:sz w:val="24"/>
          <w:szCs w:val="24"/>
          <w:lang w:eastAsia="en-GB"/>
        </w:rPr>
      </w:pPr>
      <w:r w:rsidRPr="002D026F">
        <w:rPr>
          <w:rFonts w:ascii="Calibri" w:eastAsia="Times New Roman" w:hAnsi="Calibri" w:cs="Segoe UI"/>
          <w:color w:val="000000"/>
          <w:lang w:eastAsia="en-GB"/>
        </w:rPr>
        <w:t xml:space="preserve">In addition, </w:t>
      </w:r>
      <w:r>
        <w:rPr>
          <w:rFonts w:ascii="Calibri" w:eastAsia="Times New Roman" w:hAnsi="Calibri" w:cs="Segoe UI"/>
          <w:color w:val="000000"/>
          <w:lang w:eastAsia="en-GB"/>
        </w:rPr>
        <w:t xml:space="preserve">the Working Group wishes to </w:t>
      </w:r>
      <w:r w:rsidRPr="002D026F">
        <w:rPr>
          <w:rFonts w:ascii="Calibri" w:eastAsia="Times New Roman" w:hAnsi="Calibri" w:cs="Segoe UI"/>
          <w:color w:val="000000"/>
          <w:lang w:eastAsia="en-GB"/>
        </w:rPr>
        <w:t>make a general recommendation that employment policy should include an appropriate reference to equality and diversity as standard to give</w:t>
      </w:r>
      <w:r>
        <w:rPr>
          <w:rFonts w:ascii="Calibri" w:eastAsia="Times New Roman" w:hAnsi="Calibri" w:cs="Segoe UI"/>
          <w:color w:val="000000"/>
          <w:lang w:eastAsia="en-GB"/>
        </w:rPr>
        <w:t> </w:t>
      </w:r>
      <w:r w:rsidRPr="002D026F">
        <w:rPr>
          <w:rFonts w:ascii="Calibri" w:eastAsia="Times New Roman" w:hAnsi="Calibri" w:cs="Segoe UI"/>
          <w:color w:val="000000"/>
          <w:lang w:eastAsia="en-GB"/>
        </w:rPr>
        <w:t>appropriate prominence in accordance with the University’s</w:t>
      </w:r>
      <w:r>
        <w:rPr>
          <w:rFonts w:ascii="Calibri" w:eastAsia="Times New Roman" w:hAnsi="Calibri" w:cs="Segoe UI"/>
          <w:color w:val="000000"/>
          <w:lang w:eastAsia="en-GB"/>
        </w:rPr>
        <w:t> guiding principles and values</w:t>
      </w:r>
      <w:r>
        <w:rPr>
          <w:rStyle w:val="FootnoteReference"/>
          <w:rFonts w:ascii="Calibri" w:eastAsia="Times New Roman" w:hAnsi="Calibri" w:cs="Segoe UI"/>
          <w:color w:val="000000"/>
          <w:lang w:eastAsia="en-GB"/>
        </w:rPr>
        <w:footnoteReference w:id="3"/>
      </w:r>
      <w:r>
        <w:rPr>
          <w:rFonts w:ascii="Calibri" w:eastAsia="Times New Roman" w:hAnsi="Calibri" w:cs="Segoe UI"/>
          <w:color w:val="000000"/>
          <w:lang w:eastAsia="en-GB"/>
        </w:rPr>
        <w:t xml:space="preserve">.  </w:t>
      </w:r>
      <w:r w:rsidRPr="002D026F">
        <w:rPr>
          <w:rFonts w:ascii="Calibri" w:eastAsia="Times New Roman" w:hAnsi="Calibri" w:cs="Segoe UI"/>
          <w:color w:val="000000"/>
          <w:lang w:eastAsia="en-GB"/>
        </w:rPr>
        <w:t>Specifically, those that state:</w:t>
      </w:r>
    </w:p>
    <w:p w:rsidR="00403E41" w:rsidRDefault="00403E41" w:rsidP="00403E41">
      <w:pPr>
        <w:spacing w:after="120"/>
        <w:rPr>
          <w:rFonts w:ascii="Calibri" w:eastAsia="Times New Roman" w:hAnsi="Calibri" w:cs="Segoe UI"/>
          <w:i/>
          <w:iCs/>
          <w:color w:val="000000"/>
          <w:lang w:eastAsia="en-GB"/>
        </w:rPr>
      </w:pPr>
      <w:r w:rsidRPr="00944E66">
        <w:rPr>
          <w:rFonts w:ascii="Calibri" w:eastAsia="Times New Roman" w:hAnsi="Calibri" w:cs="Segoe UI"/>
          <w:i/>
          <w:iCs/>
          <w:color w:val="000000"/>
          <w:lang w:eastAsia="en-GB"/>
        </w:rPr>
        <w:t>We will be an accessible organisation, committed to advancing equality and diversity.</w:t>
      </w:r>
    </w:p>
    <w:p w:rsidR="00403E41" w:rsidRPr="00944E66" w:rsidRDefault="00403E41" w:rsidP="00403E41">
      <w:pPr>
        <w:spacing w:after="120"/>
        <w:rPr>
          <w:rFonts w:ascii="Segoe UI" w:eastAsia="Times New Roman" w:hAnsi="Segoe UI" w:cs="Segoe UI"/>
          <w:color w:val="000000"/>
          <w:sz w:val="27"/>
          <w:szCs w:val="27"/>
          <w:lang w:eastAsia="en-GB"/>
        </w:rPr>
      </w:pPr>
      <w:r w:rsidRPr="00944E66">
        <w:rPr>
          <w:rFonts w:ascii="Calibri" w:eastAsia="Times New Roman" w:hAnsi="Calibri" w:cs="Segoe UI"/>
          <w:i/>
          <w:iCs/>
          <w:color w:val="000000"/>
          <w:lang w:eastAsia="en-GB"/>
        </w:rPr>
        <w:t>We will be an ethical organisation with exemplary policies and procedures.</w:t>
      </w:r>
    </w:p>
    <w:p w:rsidR="00FA7037" w:rsidRPr="00FA7037" w:rsidRDefault="00FA7037" w:rsidP="00FA7037">
      <w:pPr>
        <w:pStyle w:val="ListParagraph"/>
        <w:numPr>
          <w:ilvl w:val="0"/>
          <w:numId w:val="23"/>
        </w:numPr>
        <w:spacing w:after="120"/>
        <w:jc w:val="both"/>
        <w:rPr>
          <w:rFonts w:eastAsia="Times New Roman" w:cs="Segoe UI"/>
          <w:b/>
          <w:i/>
          <w:color w:val="000000"/>
          <w:lang w:eastAsia="en-GB"/>
        </w:rPr>
      </w:pPr>
      <w:r w:rsidRPr="00FA7037">
        <w:rPr>
          <w:rFonts w:eastAsia="Times New Roman" w:cs="Segoe UI"/>
          <w:b/>
          <w:i/>
          <w:color w:val="000000"/>
          <w:lang w:eastAsia="en-GB"/>
        </w:rPr>
        <w:t>Other policies</w:t>
      </w:r>
    </w:p>
    <w:p w:rsidR="00403E41" w:rsidRPr="004F04B1" w:rsidRDefault="00403E41" w:rsidP="006E79A8">
      <w:pPr>
        <w:spacing w:after="120"/>
        <w:jc w:val="both"/>
        <w:rPr>
          <w:rFonts w:eastAsia="Times New Roman" w:cs="Segoe UI"/>
          <w:color w:val="000000"/>
          <w:lang w:eastAsia="en-GB"/>
        </w:rPr>
      </w:pPr>
      <w:r w:rsidRPr="004F04B1">
        <w:rPr>
          <w:rFonts w:eastAsia="Times New Roman" w:cs="Segoe UI"/>
          <w:color w:val="000000"/>
          <w:lang w:eastAsia="en-GB"/>
        </w:rPr>
        <w:t xml:space="preserve">Comments and suggestions </w:t>
      </w:r>
      <w:r>
        <w:rPr>
          <w:rFonts w:eastAsia="Times New Roman" w:cs="Segoe UI"/>
          <w:color w:val="000000"/>
          <w:lang w:eastAsia="en-GB"/>
        </w:rPr>
        <w:t xml:space="preserve">from the Working Group </w:t>
      </w:r>
      <w:r w:rsidRPr="004F04B1">
        <w:rPr>
          <w:rFonts w:eastAsia="Times New Roman" w:cs="Segoe UI"/>
          <w:color w:val="000000"/>
          <w:lang w:eastAsia="en-GB"/>
        </w:rPr>
        <w:t>about the content, presentation and promulgation of the following policies will be taken forward by the Deputy HR Director:</w:t>
      </w:r>
    </w:p>
    <w:p w:rsidR="00403E41" w:rsidRPr="004F04B1" w:rsidRDefault="00403E41" w:rsidP="00403E41">
      <w:pPr>
        <w:pStyle w:val="ListParagraph"/>
        <w:numPr>
          <w:ilvl w:val="0"/>
          <w:numId w:val="9"/>
        </w:numPr>
        <w:spacing w:after="120"/>
        <w:rPr>
          <w:rFonts w:eastAsia="Times New Roman" w:cs="Segoe UI"/>
          <w:color w:val="000000"/>
          <w:lang w:eastAsia="en-GB"/>
        </w:rPr>
      </w:pPr>
      <w:r w:rsidRPr="004F04B1">
        <w:rPr>
          <w:rFonts w:eastAsia="Times New Roman" w:cs="Segoe UI"/>
          <w:color w:val="000000"/>
          <w:lang w:eastAsia="en-GB"/>
        </w:rPr>
        <w:t>Dignity at Work and Study Policy and Procedures:</w:t>
      </w:r>
    </w:p>
    <w:p w:rsidR="00403E41" w:rsidRPr="004F04B1" w:rsidRDefault="00403E41" w:rsidP="00403E41">
      <w:pPr>
        <w:pStyle w:val="ListParagraph"/>
        <w:numPr>
          <w:ilvl w:val="0"/>
          <w:numId w:val="9"/>
        </w:numPr>
        <w:spacing w:after="120"/>
        <w:rPr>
          <w:rFonts w:eastAsia="Times New Roman" w:cs="Segoe UI"/>
          <w:color w:val="000000"/>
          <w:lang w:eastAsia="en-GB"/>
        </w:rPr>
      </w:pPr>
      <w:r w:rsidRPr="004F04B1">
        <w:rPr>
          <w:rFonts w:eastAsia="Times New Roman" w:cs="Segoe UI"/>
          <w:color w:val="000000"/>
          <w:lang w:eastAsia="en-GB"/>
        </w:rPr>
        <w:t>Stress at work policy</w:t>
      </w:r>
    </w:p>
    <w:p w:rsidR="00403E41" w:rsidRDefault="00403E41" w:rsidP="00403E41">
      <w:pPr>
        <w:pStyle w:val="ListParagraph"/>
        <w:numPr>
          <w:ilvl w:val="0"/>
          <w:numId w:val="9"/>
        </w:numPr>
        <w:spacing w:after="120"/>
        <w:rPr>
          <w:rFonts w:eastAsia="Times New Roman" w:cs="Segoe UI"/>
          <w:color w:val="000000"/>
          <w:lang w:eastAsia="en-GB"/>
        </w:rPr>
      </w:pPr>
      <w:r w:rsidRPr="004F04B1">
        <w:rPr>
          <w:rFonts w:eastAsia="Times New Roman" w:cs="Segoe UI"/>
          <w:color w:val="000000"/>
          <w:lang w:eastAsia="en-GB"/>
        </w:rPr>
        <w:t>Consensual Relationships Policy</w:t>
      </w:r>
    </w:p>
    <w:p w:rsidR="00FA7037" w:rsidRPr="002D026F" w:rsidRDefault="00FA7037" w:rsidP="00403E41">
      <w:pPr>
        <w:pStyle w:val="ListParagraph"/>
        <w:numPr>
          <w:ilvl w:val="0"/>
          <w:numId w:val="9"/>
        </w:numPr>
        <w:spacing w:after="120"/>
        <w:rPr>
          <w:rFonts w:eastAsia="Times New Roman" w:cs="Segoe UI"/>
          <w:color w:val="000000"/>
          <w:lang w:eastAsia="en-GB"/>
        </w:rPr>
      </w:pPr>
      <w:r>
        <w:rPr>
          <w:rFonts w:eastAsia="Times New Roman" w:cs="Segoe UI"/>
          <w:color w:val="000000"/>
          <w:lang w:eastAsia="en-GB"/>
        </w:rPr>
        <w:t>Children on campus (safeguarding) policy</w:t>
      </w:r>
    </w:p>
    <w:p w:rsidR="00403E41" w:rsidRDefault="00403E41" w:rsidP="00FA7037">
      <w:pPr>
        <w:spacing w:after="120"/>
        <w:jc w:val="both"/>
        <w:rPr>
          <w:rFonts w:ascii="Calibri" w:eastAsia="Times New Roman" w:hAnsi="Calibri" w:cs="Segoe UI"/>
          <w:color w:val="000000"/>
          <w:lang w:eastAsia="en-GB"/>
        </w:rPr>
      </w:pPr>
      <w:r w:rsidRPr="00944E66">
        <w:rPr>
          <w:rFonts w:ascii="Calibri" w:eastAsia="Times New Roman" w:hAnsi="Calibri" w:cs="Segoe UI"/>
          <w:color w:val="000000"/>
          <w:lang w:eastAsia="en-GB"/>
        </w:rPr>
        <w:t xml:space="preserve">In addition, </w:t>
      </w:r>
      <w:r>
        <w:rPr>
          <w:rFonts w:ascii="Calibri" w:eastAsia="Times New Roman" w:hAnsi="Calibri" w:cs="Segoe UI"/>
          <w:color w:val="000000"/>
          <w:lang w:eastAsia="en-GB"/>
        </w:rPr>
        <w:t xml:space="preserve">it is </w:t>
      </w:r>
      <w:r w:rsidR="00F7560A">
        <w:rPr>
          <w:rFonts w:ascii="Calibri" w:eastAsia="Times New Roman" w:hAnsi="Calibri" w:cs="Segoe UI"/>
          <w:color w:val="000000"/>
          <w:lang w:eastAsia="en-GB"/>
        </w:rPr>
        <w:t>planned to give</w:t>
      </w:r>
      <w:r>
        <w:rPr>
          <w:rFonts w:ascii="Calibri" w:eastAsia="Times New Roman" w:hAnsi="Calibri" w:cs="Segoe UI"/>
          <w:color w:val="000000"/>
          <w:lang w:eastAsia="en-GB"/>
        </w:rPr>
        <w:t xml:space="preserve"> </w:t>
      </w:r>
      <w:r w:rsidRPr="00944E66">
        <w:rPr>
          <w:rFonts w:ascii="Calibri" w:eastAsia="Times New Roman" w:hAnsi="Calibri" w:cs="Segoe UI"/>
          <w:color w:val="000000"/>
          <w:lang w:eastAsia="en-GB"/>
        </w:rPr>
        <w:t xml:space="preserve">greater prominence </w:t>
      </w:r>
      <w:r>
        <w:rPr>
          <w:rFonts w:ascii="Calibri" w:eastAsia="Times New Roman" w:hAnsi="Calibri" w:cs="Segoe UI"/>
          <w:color w:val="000000"/>
          <w:lang w:eastAsia="en-GB"/>
        </w:rPr>
        <w:t xml:space="preserve">to existing policies </w:t>
      </w:r>
      <w:r w:rsidRPr="00944E66">
        <w:rPr>
          <w:rFonts w:ascii="Calibri" w:eastAsia="Times New Roman" w:hAnsi="Calibri" w:cs="Segoe UI"/>
          <w:color w:val="000000"/>
          <w:lang w:eastAsia="en-GB"/>
        </w:rPr>
        <w:t xml:space="preserve">on </w:t>
      </w:r>
      <w:proofErr w:type="spellStart"/>
      <w:r w:rsidRPr="00944E66">
        <w:rPr>
          <w:rFonts w:ascii="Calibri" w:eastAsia="Times New Roman" w:hAnsi="Calibri" w:cs="Segoe UI"/>
          <w:color w:val="000000"/>
          <w:lang w:eastAsia="en-GB"/>
        </w:rPr>
        <w:t>Sta</w:t>
      </w:r>
      <w:r>
        <w:rPr>
          <w:rFonts w:ascii="Calibri" w:eastAsia="Times New Roman" w:hAnsi="Calibri" w:cs="Segoe UI"/>
          <w:color w:val="000000"/>
          <w:lang w:eastAsia="en-GB"/>
        </w:rPr>
        <w:t>ffNet</w:t>
      </w:r>
      <w:proofErr w:type="spellEnd"/>
      <w:r>
        <w:rPr>
          <w:rFonts w:ascii="Calibri" w:eastAsia="Times New Roman" w:hAnsi="Calibri" w:cs="Segoe UI"/>
          <w:color w:val="000000"/>
          <w:lang w:eastAsia="en-GB"/>
        </w:rPr>
        <w:t xml:space="preserve"> with links from </w:t>
      </w:r>
      <w:proofErr w:type="spellStart"/>
      <w:r>
        <w:rPr>
          <w:rFonts w:ascii="Calibri" w:eastAsia="Times New Roman" w:hAnsi="Calibri" w:cs="Segoe UI"/>
          <w:color w:val="000000"/>
          <w:lang w:eastAsia="en-GB"/>
        </w:rPr>
        <w:t>HumNet</w:t>
      </w:r>
      <w:proofErr w:type="spellEnd"/>
      <w:r>
        <w:rPr>
          <w:rFonts w:ascii="Calibri" w:eastAsia="Times New Roman" w:hAnsi="Calibri" w:cs="Segoe UI"/>
          <w:color w:val="000000"/>
          <w:lang w:eastAsia="en-GB"/>
        </w:rPr>
        <w:t xml:space="preserve"> to </w:t>
      </w:r>
      <w:r w:rsidRPr="00944E66">
        <w:rPr>
          <w:rFonts w:ascii="Calibri" w:eastAsia="Times New Roman" w:hAnsi="Calibri" w:cs="Segoe UI"/>
          <w:color w:val="000000"/>
          <w:lang w:eastAsia="en-GB"/>
        </w:rPr>
        <w:t>en</w:t>
      </w:r>
      <w:r>
        <w:rPr>
          <w:rFonts w:ascii="Calibri" w:eastAsia="Times New Roman" w:hAnsi="Calibri" w:cs="Segoe UI"/>
          <w:color w:val="000000"/>
          <w:lang w:eastAsia="en-GB"/>
        </w:rPr>
        <w:t xml:space="preserve">sure </w:t>
      </w:r>
      <w:r w:rsidRPr="00944E66">
        <w:rPr>
          <w:rFonts w:ascii="Calibri" w:eastAsia="Times New Roman" w:hAnsi="Calibri" w:cs="Segoe UI"/>
          <w:color w:val="000000"/>
          <w:lang w:eastAsia="en-GB"/>
        </w:rPr>
        <w:t xml:space="preserve">maximum awareness of </w:t>
      </w:r>
      <w:r>
        <w:rPr>
          <w:rFonts w:ascii="Calibri" w:eastAsia="Times New Roman" w:hAnsi="Calibri" w:cs="Segoe UI"/>
          <w:color w:val="000000"/>
          <w:lang w:eastAsia="en-GB"/>
        </w:rPr>
        <w:t>t</w:t>
      </w:r>
      <w:r w:rsidRPr="00944E66">
        <w:rPr>
          <w:rFonts w:ascii="Calibri" w:eastAsia="Times New Roman" w:hAnsi="Calibri" w:cs="Segoe UI"/>
          <w:color w:val="000000"/>
          <w:lang w:eastAsia="en-GB"/>
        </w:rPr>
        <w:t>he policy framework.</w:t>
      </w:r>
      <w:r>
        <w:rPr>
          <w:rFonts w:ascii="Calibri" w:eastAsia="Times New Roman" w:hAnsi="Calibri" w:cs="Segoe UI"/>
          <w:color w:val="000000"/>
          <w:lang w:eastAsia="en-GB"/>
        </w:rPr>
        <w:t xml:space="preserve">  This could also include promotion of policies through </w:t>
      </w:r>
      <w:proofErr w:type="spellStart"/>
      <w:r>
        <w:rPr>
          <w:rFonts w:ascii="Calibri" w:eastAsia="Times New Roman" w:hAnsi="Calibri" w:cs="Segoe UI"/>
          <w:color w:val="000000"/>
          <w:lang w:eastAsia="en-GB"/>
        </w:rPr>
        <w:t>eUpdate</w:t>
      </w:r>
      <w:proofErr w:type="spellEnd"/>
      <w:r>
        <w:rPr>
          <w:rFonts w:ascii="Calibri" w:eastAsia="Times New Roman" w:hAnsi="Calibri" w:cs="Segoe UI"/>
          <w:color w:val="000000"/>
          <w:lang w:eastAsia="en-GB"/>
        </w:rPr>
        <w:t xml:space="preserve"> and </w:t>
      </w:r>
      <w:proofErr w:type="spellStart"/>
      <w:r>
        <w:rPr>
          <w:rFonts w:ascii="Calibri" w:eastAsia="Times New Roman" w:hAnsi="Calibri" w:cs="Segoe UI"/>
          <w:color w:val="000000"/>
          <w:lang w:eastAsia="en-GB"/>
        </w:rPr>
        <w:t>eNews</w:t>
      </w:r>
      <w:proofErr w:type="spellEnd"/>
      <w:r>
        <w:rPr>
          <w:rFonts w:ascii="Calibri" w:eastAsia="Times New Roman" w:hAnsi="Calibri" w:cs="Segoe UI"/>
          <w:color w:val="000000"/>
          <w:lang w:eastAsia="en-GB"/>
        </w:rPr>
        <w:t>.</w:t>
      </w:r>
    </w:p>
    <w:p w:rsidR="00403E41" w:rsidRPr="004F04B1" w:rsidRDefault="00403E41" w:rsidP="00FA7037">
      <w:pPr>
        <w:pStyle w:val="ListParagraph"/>
        <w:numPr>
          <w:ilvl w:val="0"/>
          <w:numId w:val="3"/>
        </w:numPr>
        <w:spacing w:before="240" w:after="120"/>
        <w:ind w:left="357" w:hanging="357"/>
        <w:contextualSpacing w:val="0"/>
        <w:rPr>
          <w:rFonts w:eastAsia="Times New Roman" w:cs="Segoe UI"/>
          <w:b/>
          <w:color w:val="000000"/>
          <w:sz w:val="24"/>
          <w:szCs w:val="24"/>
          <w:lang w:eastAsia="en-GB"/>
        </w:rPr>
      </w:pPr>
      <w:r w:rsidRPr="004F04B1">
        <w:rPr>
          <w:rFonts w:eastAsia="Times New Roman" w:cs="Segoe UI"/>
          <w:b/>
          <w:color w:val="000000"/>
          <w:sz w:val="24"/>
          <w:szCs w:val="24"/>
          <w:lang w:eastAsia="en-GB"/>
        </w:rPr>
        <w:t>Communications, including web site</w:t>
      </w:r>
    </w:p>
    <w:p w:rsidR="00403E41" w:rsidRPr="004F04B1" w:rsidRDefault="00403E41" w:rsidP="00403E41">
      <w:pPr>
        <w:spacing w:after="120"/>
        <w:rPr>
          <w:rFonts w:eastAsia="Times New Roman" w:cs="Segoe UI"/>
          <w:color w:val="000000"/>
          <w:lang w:eastAsia="en-GB"/>
        </w:rPr>
      </w:pPr>
      <w:r w:rsidRPr="004F04B1">
        <w:rPr>
          <w:rFonts w:eastAsia="Times New Roman" w:cs="Segoe UI"/>
          <w:color w:val="000000"/>
          <w:lang w:eastAsia="en-GB"/>
        </w:rPr>
        <w:t>As well as the recommendations</w:t>
      </w:r>
      <w:r w:rsidR="00F7560A">
        <w:rPr>
          <w:rFonts w:eastAsia="Times New Roman" w:cs="Segoe UI"/>
          <w:color w:val="000000"/>
          <w:lang w:eastAsia="en-GB"/>
        </w:rPr>
        <w:t xml:space="preserve"> set out in 6 above, it is planned</w:t>
      </w:r>
      <w:r>
        <w:rPr>
          <w:rFonts w:eastAsia="Times New Roman" w:cs="Segoe UI"/>
          <w:color w:val="000000"/>
          <w:lang w:eastAsia="en-GB"/>
        </w:rPr>
        <w:t xml:space="preserve"> that</w:t>
      </w:r>
      <w:r w:rsidRPr="004F04B1">
        <w:rPr>
          <w:rFonts w:eastAsia="Times New Roman" w:cs="Segoe UI"/>
          <w:color w:val="000000"/>
          <w:lang w:eastAsia="en-GB"/>
        </w:rPr>
        <w:t>:</w:t>
      </w:r>
    </w:p>
    <w:p w:rsidR="00403E41" w:rsidRPr="00C65B96" w:rsidRDefault="00403E41" w:rsidP="00403E41">
      <w:pPr>
        <w:pStyle w:val="ListParagraph"/>
        <w:numPr>
          <w:ilvl w:val="0"/>
          <w:numId w:val="11"/>
        </w:numPr>
        <w:spacing w:after="120"/>
        <w:rPr>
          <w:rFonts w:eastAsia="Times New Roman" w:cs="Segoe UI"/>
          <w:color w:val="000000"/>
          <w:lang w:eastAsia="en-GB"/>
        </w:rPr>
      </w:pPr>
      <w:r>
        <w:rPr>
          <w:rFonts w:eastAsia="Times New Roman" w:cs="Segoe UI"/>
          <w:color w:val="000000"/>
          <w:lang w:eastAsia="en-GB"/>
        </w:rPr>
        <w:t>A copy of the</w:t>
      </w:r>
      <w:r w:rsidRPr="00C65B96">
        <w:rPr>
          <w:rFonts w:eastAsia="Times New Roman" w:cs="Segoe UI"/>
          <w:color w:val="000000"/>
          <w:lang w:eastAsia="en-GB"/>
        </w:rPr>
        <w:t xml:space="preserve"> report </w:t>
      </w:r>
      <w:r>
        <w:rPr>
          <w:rFonts w:eastAsia="Times New Roman" w:cs="Segoe UI"/>
          <w:color w:val="000000"/>
          <w:lang w:eastAsia="en-GB"/>
        </w:rPr>
        <w:t xml:space="preserve">is placed </w:t>
      </w:r>
      <w:r w:rsidRPr="00C65B96">
        <w:rPr>
          <w:rFonts w:eastAsia="Times New Roman" w:cs="Segoe UI"/>
          <w:color w:val="000000"/>
          <w:lang w:eastAsia="en-GB"/>
        </w:rPr>
        <w:t xml:space="preserve">on </w:t>
      </w:r>
      <w:proofErr w:type="spellStart"/>
      <w:r w:rsidRPr="00C65B96">
        <w:rPr>
          <w:rFonts w:eastAsia="Times New Roman" w:cs="Segoe UI"/>
          <w:color w:val="000000"/>
          <w:lang w:eastAsia="en-GB"/>
        </w:rPr>
        <w:t>HumNet</w:t>
      </w:r>
      <w:proofErr w:type="spellEnd"/>
      <w:r w:rsidRPr="00C65B96">
        <w:rPr>
          <w:rFonts w:eastAsia="Times New Roman" w:cs="Segoe UI"/>
          <w:color w:val="000000"/>
          <w:lang w:eastAsia="en-GB"/>
        </w:rPr>
        <w:t xml:space="preserve"> with a link from </w:t>
      </w:r>
      <w:proofErr w:type="spellStart"/>
      <w:r w:rsidRPr="00C65B96">
        <w:rPr>
          <w:rFonts w:eastAsia="Times New Roman" w:cs="Segoe UI"/>
          <w:color w:val="000000"/>
          <w:lang w:eastAsia="en-GB"/>
        </w:rPr>
        <w:t>eNews</w:t>
      </w:r>
      <w:proofErr w:type="spellEnd"/>
      <w:r w:rsidRPr="00C65B96">
        <w:rPr>
          <w:rFonts w:eastAsia="Times New Roman" w:cs="Segoe UI"/>
          <w:color w:val="000000"/>
          <w:lang w:eastAsia="en-GB"/>
        </w:rPr>
        <w:t xml:space="preserve"> article by Dean highlighting headline work and its importance;</w:t>
      </w:r>
    </w:p>
    <w:p w:rsidR="00403E41" w:rsidRPr="00FA7037" w:rsidRDefault="00403E41" w:rsidP="00FA7037">
      <w:pPr>
        <w:pStyle w:val="NoSpacing"/>
        <w:spacing w:after="120"/>
        <w:rPr>
          <w:lang w:eastAsia="en-GB"/>
        </w:rPr>
      </w:pPr>
      <w:r w:rsidRPr="00403E41">
        <w:rPr>
          <w:lang w:eastAsia="en-GB"/>
        </w:rPr>
        <w:t>Updates are given via PSS team brief.</w:t>
      </w:r>
      <w:r w:rsidRPr="00403E41">
        <w:rPr>
          <w:rFonts w:eastAsia="Times New Roman" w:cs="Segoe UI"/>
          <w:color w:val="000000"/>
          <w:lang w:eastAsia="en-GB"/>
        </w:rPr>
        <w:t> </w:t>
      </w:r>
    </w:p>
    <w:p w:rsidR="00403E41" w:rsidRPr="004F04B1" w:rsidRDefault="00403E41" w:rsidP="00FA7037">
      <w:pPr>
        <w:pStyle w:val="ListParagraph"/>
        <w:numPr>
          <w:ilvl w:val="0"/>
          <w:numId w:val="3"/>
        </w:numPr>
        <w:spacing w:before="240" w:after="120"/>
        <w:ind w:left="357" w:hanging="357"/>
        <w:contextualSpacing w:val="0"/>
        <w:rPr>
          <w:rFonts w:eastAsia="Times New Roman" w:cs="Segoe UI"/>
          <w:b/>
          <w:color w:val="000000"/>
          <w:sz w:val="24"/>
          <w:szCs w:val="24"/>
          <w:lang w:eastAsia="en-GB"/>
        </w:rPr>
      </w:pPr>
      <w:r w:rsidRPr="004F04B1">
        <w:rPr>
          <w:rFonts w:eastAsia="Times New Roman" w:cs="Segoe UI"/>
          <w:b/>
          <w:color w:val="000000"/>
          <w:sz w:val="24"/>
          <w:szCs w:val="24"/>
          <w:lang w:eastAsia="en-GB"/>
        </w:rPr>
        <w:t>Unconscious bias training</w:t>
      </w:r>
    </w:p>
    <w:p w:rsidR="00403E41" w:rsidRPr="004F04B1" w:rsidRDefault="00403E41" w:rsidP="00FA7037">
      <w:pPr>
        <w:spacing w:after="120"/>
        <w:jc w:val="both"/>
        <w:rPr>
          <w:rFonts w:eastAsia="Times New Roman" w:cs="Segoe UI"/>
          <w:color w:val="000000"/>
          <w:lang w:eastAsia="en-GB"/>
        </w:rPr>
      </w:pPr>
      <w:r>
        <w:rPr>
          <w:rFonts w:eastAsia="Times New Roman" w:cs="Segoe UI"/>
          <w:bCs/>
          <w:color w:val="000000"/>
          <w:lang w:eastAsia="en-GB"/>
        </w:rPr>
        <w:t xml:space="preserve">The Deputy Dean and Deputy Director of HR recently attended the training provided by </w:t>
      </w:r>
      <w:proofErr w:type="spellStart"/>
      <w:r>
        <w:rPr>
          <w:rFonts w:eastAsia="Times New Roman" w:cs="Segoe UI"/>
          <w:bCs/>
          <w:color w:val="000000"/>
          <w:lang w:eastAsia="en-GB"/>
        </w:rPr>
        <w:t>Pearn</w:t>
      </w:r>
      <w:proofErr w:type="spellEnd"/>
      <w:r>
        <w:rPr>
          <w:rFonts w:eastAsia="Times New Roman" w:cs="Segoe UI"/>
          <w:bCs/>
          <w:color w:val="000000"/>
          <w:lang w:eastAsia="en-GB"/>
        </w:rPr>
        <w:t xml:space="preserve"> </w:t>
      </w:r>
      <w:proofErr w:type="spellStart"/>
      <w:r>
        <w:rPr>
          <w:rFonts w:eastAsia="Times New Roman" w:cs="Segoe UI"/>
          <w:bCs/>
          <w:color w:val="000000"/>
          <w:lang w:eastAsia="en-GB"/>
        </w:rPr>
        <w:t>Kandola</w:t>
      </w:r>
      <w:proofErr w:type="spellEnd"/>
      <w:r>
        <w:rPr>
          <w:rFonts w:eastAsia="Times New Roman" w:cs="Segoe UI"/>
          <w:bCs/>
          <w:color w:val="000000"/>
          <w:lang w:eastAsia="en-GB"/>
        </w:rPr>
        <w:t xml:space="preserve"> for the University SLT and PSS Leadership Team. Training is also scheduled to be provided to th</w:t>
      </w:r>
      <w:r w:rsidRPr="004F04B1">
        <w:rPr>
          <w:rFonts w:eastAsia="Times New Roman" w:cs="Segoe UI"/>
          <w:bCs/>
          <w:color w:val="000000"/>
          <w:lang w:eastAsia="en-GB"/>
        </w:rPr>
        <w:t>e WG members</w:t>
      </w:r>
      <w:r>
        <w:rPr>
          <w:rFonts w:eastAsia="Times New Roman" w:cs="Segoe UI"/>
          <w:bCs/>
          <w:color w:val="000000"/>
          <w:lang w:eastAsia="en-GB"/>
        </w:rPr>
        <w:t xml:space="preserve"> on 1 July 2015.  Given the importance of addressing bias, it is recommended that training is rolled out in time to all staff involved in promotion and recruitment decisions.  Once the WG has received training and the HR Sub-Committee has determined how to take forward such training at University level, the Deputy Dean and Deputy Director of HR will discuss with the Head of Equality and Diversity how to progress the training within the Faculty and on what timescale.</w:t>
      </w:r>
      <w:r w:rsidRPr="004F04B1">
        <w:rPr>
          <w:rFonts w:eastAsia="Times New Roman" w:cs="Segoe UI"/>
          <w:bCs/>
          <w:color w:val="000000"/>
          <w:lang w:eastAsia="en-GB"/>
        </w:rPr>
        <w:t xml:space="preserve"> </w:t>
      </w:r>
      <w:r w:rsidRPr="004F04B1">
        <w:rPr>
          <w:rFonts w:eastAsia="Times New Roman" w:cs="Segoe UI"/>
          <w:b/>
          <w:bCs/>
          <w:color w:val="000000"/>
          <w:lang w:eastAsia="en-GB"/>
        </w:rPr>
        <w:t> </w:t>
      </w:r>
    </w:p>
    <w:p w:rsidR="00403E41" w:rsidRPr="004F04B1" w:rsidRDefault="00403E41" w:rsidP="00FA7037">
      <w:pPr>
        <w:pStyle w:val="ListParagraph"/>
        <w:numPr>
          <w:ilvl w:val="0"/>
          <w:numId w:val="3"/>
        </w:numPr>
        <w:spacing w:before="240" w:after="120"/>
        <w:ind w:left="357" w:hanging="357"/>
        <w:contextualSpacing w:val="0"/>
        <w:rPr>
          <w:b/>
          <w:sz w:val="24"/>
          <w:szCs w:val="24"/>
        </w:rPr>
      </w:pPr>
      <w:r w:rsidRPr="004F04B1">
        <w:rPr>
          <w:b/>
          <w:sz w:val="24"/>
          <w:szCs w:val="24"/>
        </w:rPr>
        <w:t>Next Steps</w:t>
      </w:r>
    </w:p>
    <w:p w:rsidR="00403E41" w:rsidRDefault="00403E41" w:rsidP="00403E41">
      <w:pPr>
        <w:spacing w:after="120"/>
        <w:rPr>
          <w:rFonts w:eastAsia="Times New Roman" w:cs="Segoe UI"/>
          <w:b/>
          <w:i/>
          <w:color w:val="000000"/>
          <w:lang w:eastAsia="en-GB"/>
        </w:rPr>
      </w:pPr>
      <w:r>
        <w:rPr>
          <w:rFonts w:eastAsia="Times New Roman" w:cs="Segoe UI"/>
          <w:b/>
          <w:i/>
          <w:color w:val="000000"/>
          <w:lang w:eastAsia="en-GB"/>
        </w:rPr>
        <w:t>End of Year assessment of progress against plan in School Action Plans</w:t>
      </w:r>
    </w:p>
    <w:p w:rsidR="00403E41" w:rsidRPr="004F04B1" w:rsidRDefault="00403E41" w:rsidP="00403E41">
      <w:pPr>
        <w:spacing w:after="120"/>
        <w:rPr>
          <w:rFonts w:eastAsia="Times New Roman" w:cs="Segoe UI"/>
          <w:color w:val="000000"/>
          <w:lang w:eastAsia="en-GB"/>
        </w:rPr>
      </w:pPr>
      <w:r>
        <w:rPr>
          <w:rFonts w:eastAsia="Times New Roman" w:cs="Segoe UI"/>
          <w:color w:val="000000"/>
          <w:lang w:eastAsia="en-GB"/>
        </w:rPr>
        <w:t xml:space="preserve">An assessment of progress will be </w:t>
      </w:r>
      <w:r w:rsidRPr="004F04B1">
        <w:rPr>
          <w:rFonts w:eastAsia="Times New Roman" w:cs="Segoe UI"/>
          <w:color w:val="000000"/>
          <w:lang w:eastAsia="en-GB"/>
        </w:rPr>
        <w:t>undertaken by the Working Group</w:t>
      </w:r>
      <w:r>
        <w:rPr>
          <w:rFonts w:eastAsia="Times New Roman" w:cs="Segoe UI"/>
          <w:color w:val="000000"/>
          <w:lang w:eastAsia="en-GB"/>
        </w:rPr>
        <w:t xml:space="preserve"> for the year-end report.</w:t>
      </w:r>
    </w:p>
    <w:p w:rsidR="00403E41" w:rsidRPr="004F04B1" w:rsidRDefault="00403E41" w:rsidP="00403E41">
      <w:pPr>
        <w:spacing w:after="120"/>
        <w:rPr>
          <w:rFonts w:eastAsia="Times New Roman" w:cs="Segoe UI"/>
          <w:b/>
          <w:i/>
          <w:color w:val="000000"/>
          <w:lang w:eastAsia="en-GB"/>
        </w:rPr>
      </w:pPr>
      <w:r>
        <w:rPr>
          <w:rFonts w:eastAsia="Times New Roman" w:cs="Segoe UI"/>
          <w:b/>
          <w:i/>
          <w:color w:val="000000"/>
          <w:lang w:eastAsia="en-GB"/>
        </w:rPr>
        <w:lastRenderedPageBreak/>
        <w:t xml:space="preserve">Further data analysis - </w:t>
      </w:r>
      <w:r w:rsidRPr="004F04B1">
        <w:rPr>
          <w:rFonts w:eastAsia="Times New Roman" w:cs="Segoe UI"/>
          <w:b/>
          <w:i/>
          <w:color w:val="000000"/>
          <w:lang w:eastAsia="en-GB"/>
        </w:rPr>
        <w:t>Teaching only staff</w:t>
      </w:r>
    </w:p>
    <w:p w:rsidR="00403E41" w:rsidRDefault="00403E41" w:rsidP="00FA7037">
      <w:pPr>
        <w:spacing w:after="120"/>
        <w:jc w:val="both"/>
        <w:rPr>
          <w:rFonts w:eastAsia="Times New Roman" w:cs="Segoe UI"/>
          <w:color w:val="000000"/>
          <w:lang w:eastAsia="en-GB"/>
        </w:rPr>
      </w:pPr>
      <w:r>
        <w:rPr>
          <w:rFonts w:eastAsia="Times New Roman" w:cs="Segoe UI"/>
          <w:color w:val="000000"/>
          <w:lang w:eastAsia="en-GB"/>
        </w:rPr>
        <w:t>W</w:t>
      </w:r>
      <w:r w:rsidRPr="004F04B1">
        <w:rPr>
          <w:rFonts w:eastAsia="Times New Roman" w:cs="Segoe UI"/>
          <w:color w:val="000000"/>
          <w:lang w:eastAsia="en-GB"/>
        </w:rPr>
        <w:t xml:space="preserve">omen and BME colleagues </w:t>
      </w:r>
      <w:r>
        <w:rPr>
          <w:rFonts w:eastAsia="Times New Roman" w:cs="Segoe UI"/>
          <w:color w:val="000000"/>
          <w:lang w:eastAsia="en-GB"/>
        </w:rPr>
        <w:t xml:space="preserve">are </w:t>
      </w:r>
      <w:r w:rsidRPr="004F04B1">
        <w:rPr>
          <w:rFonts w:eastAsia="Times New Roman" w:cs="Segoe UI"/>
          <w:color w:val="000000"/>
          <w:lang w:eastAsia="en-GB"/>
        </w:rPr>
        <w:t>overrepresented amongst teaching only staff (i.e. all categories of nomenclature)</w:t>
      </w:r>
      <w:r>
        <w:rPr>
          <w:rFonts w:eastAsia="Times New Roman" w:cs="Segoe UI"/>
          <w:color w:val="000000"/>
          <w:lang w:eastAsia="en-GB"/>
        </w:rPr>
        <w:t xml:space="preserve">.  Following a further review of the data, the WG will make recommendations for measures to address this imbalance.  </w:t>
      </w:r>
      <w:r w:rsidRPr="004F04B1">
        <w:rPr>
          <w:rFonts w:eastAsia="Times New Roman" w:cs="Segoe UI"/>
          <w:color w:val="000000"/>
          <w:lang w:eastAsia="en-GB"/>
        </w:rPr>
        <w:t xml:space="preserve"> </w:t>
      </w:r>
    </w:p>
    <w:p w:rsidR="00403E41" w:rsidRPr="004F04B1" w:rsidRDefault="00403E41" w:rsidP="00403E41">
      <w:pPr>
        <w:spacing w:after="120"/>
        <w:rPr>
          <w:rFonts w:eastAsia="Times New Roman" w:cs="Segoe UI"/>
          <w:b/>
          <w:i/>
          <w:color w:val="000000"/>
          <w:lang w:eastAsia="en-GB"/>
        </w:rPr>
      </w:pPr>
      <w:r w:rsidRPr="004F04B1">
        <w:rPr>
          <w:rFonts w:eastAsia="Times New Roman" w:cs="Segoe UI"/>
          <w:b/>
          <w:i/>
          <w:color w:val="000000"/>
          <w:lang w:eastAsia="en-GB"/>
        </w:rPr>
        <w:t>Staff Survey 2015</w:t>
      </w:r>
    </w:p>
    <w:p w:rsidR="00403E41" w:rsidRDefault="00403E41" w:rsidP="00FA7037">
      <w:pPr>
        <w:spacing w:after="120"/>
        <w:jc w:val="both"/>
        <w:rPr>
          <w:rFonts w:eastAsia="Times New Roman" w:cs="Segoe UI"/>
          <w:color w:val="000000"/>
          <w:lang w:eastAsia="en-GB"/>
        </w:rPr>
      </w:pPr>
      <w:r>
        <w:rPr>
          <w:rFonts w:eastAsia="Times New Roman" w:cs="Segoe UI"/>
          <w:color w:val="000000"/>
          <w:lang w:eastAsia="en-GB"/>
        </w:rPr>
        <w:t xml:space="preserve">The Faculty </w:t>
      </w:r>
      <w:r w:rsidRPr="004F04B1">
        <w:rPr>
          <w:rFonts w:eastAsia="Times New Roman" w:cs="Segoe UI"/>
          <w:color w:val="000000"/>
          <w:lang w:eastAsia="en-GB"/>
        </w:rPr>
        <w:t xml:space="preserve">will receive an analysis of findings </w:t>
      </w:r>
      <w:r>
        <w:rPr>
          <w:rFonts w:eastAsia="Times New Roman" w:cs="Segoe UI"/>
          <w:color w:val="000000"/>
          <w:lang w:eastAsia="en-GB"/>
        </w:rPr>
        <w:t xml:space="preserve">from the Staff Survey </w:t>
      </w:r>
      <w:r w:rsidRPr="004F04B1">
        <w:rPr>
          <w:rFonts w:eastAsia="Times New Roman" w:cs="Segoe UI"/>
          <w:color w:val="000000"/>
          <w:lang w:eastAsia="en-GB"/>
        </w:rPr>
        <w:t xml:space="preserve">by gender, ethnicity and disability by the end of June.  </w:t>
      </w:r>
      <w:r>
        <w:rPr>
          <w:rFonts w:eastAsia="Times New Roman" w:cs="Segoe UI"/>
          <w:color w:val="000000"/>
          <w:lang w:eastAsia="en-GB"/>
        </w:rPr>
        <w:t xml:space="preserve">It is recommended that the WG is given the task of analysing the findings and making any recommendations for additional measures at Faculty level to address any issues emerging from an equality and diversity perspective. </w:t>
      </w:r>
    </w:p>
    <w:p w:rsidR="00403E41" w:rsidRDefault="00403E41" w:rsidP="00403E41">
      <w:pPr>
        <w:spacing w:after="120"/>
        <w:rPr>
          <w:rFonts w:eastAsia="Times New Roman" w:cs="Segoe UI"/>
          <w:b/>
          <w:i/>
          <w:color w:val="000000"/>
          <w:lang w:eastAsia="en-GB"/>
        </w:rPr>
      </w:pPr>
      <w:r>
        <w:rPr>
          <w:rFonts w:eastAsia="Times New Roman" w:cs="Segoe UI"/>
          <w:b/>
          <w:i/>
          <w:color w:val="000000"/>
          <w:lang w:eastAsia="en-GB"/>
        </w:rPr>
        <w:t>Equal pay audit</w:t>
      </w:r>
    </w:p>
    <w:p w:rsidR="00403E41" w:rsidRPr="00965676" w:rsidRDefault="00403E41" w:rsidP="00403E41">
      <w:pPr>
        <w:spacing w:after="120"/>
        <w:rPr>
          <w:rFonts w:eastAsia="Times New Roman" w:cs="Segoe UI"/>
          <w:color w:val="000000"/>
          <w:lang w:eastAsia="en-GB"/>
        </w:rPr>
      </w:pPr>
      <w:r>
        <w:rPr>
          <w:rFonts w:eastAsia="Times New Roman" w:cs="Segoe UI"/>
          <w:color w:val="000000"/>
          <w:lang w:eastAsia="en-GB"/>
        </w:rPr>
        <w:t xml:space="preserve">The University is conducting an equal pay audit this year as part of its commitment to conduct audits on a biennial basis.  A Working Group has been convened to </w:t>
      </w:r>
      <w:r>
        <w:rPr>
          <w:rFonts w:eastAsia="Times New Roman" w:cs="Segoe UI"/>
          <w:color w:val="000000"/>
          <w:lang w:val="en" w:eastAsia="en-GB"/>
        </w:rPr>
        <w:t xml:space="preserve">oversee the audit and to recommend to the HR Sub-Committee any actions in response in December 2015.  It should therefore be possible to include summary details in the WG’s year-end report.   </w:t>
      </w:r>
      <w:r w:rsidRPr="00965676">
        <w:rPr>
          <w:rFonts w:eastAsia="Times New Roman" w:cs="Segoe UI"/>
          <w:color w:val="000000"/>
          <w:lang w:eastAsia="en-GB"/>
        </w:rPr>
        <w:t>(The scope of the 2015 audit has been widened to include professorial and Grade 9 staff).</w:t>
      </w:r>
    </w:p>
    <w:p w:rsidR="00403E41" w:rsidRPr="004F04B1" w:rsidRDefault="00403E41" w:rsidP="00403E41">
      <w:pPr>
        <w:pStyle w:val="Default"/>
        <w:spacing w:after="120" w:line="276" w:lineRule="auto"/>
        <w:jc w:val="both"/>
        <w:rPr>
          <w:b/>
          <w:i/>
          <w:sz w:val="22"/>
          <w:szCs w:val="22"/>
        </w:rPr>
      </w:pPr>
      <w:r w:rsidRPr="004F04B1">
        <w:rPr>
          <w:b/>
          <w:i/>
          <w:sz w:val="22"/>
          <w:szCs w:val="22"/>
        </w:rPr>
        <w:t>Equality Challenge Charter marks</w:t>
      </w:r>
    </w:p>
    <w:p w:rsidR="00403E41" w:rsidRDefault="00403E41" w:rsidP="00403E41">
      <w:pPr>
        <w:pStyle w:val="Default"/>
        <w:spacing w:after="120" w:line="276" w:lineRule="auto"/>
        <w:jc w:val="both"/>
        <w:rPr>
          <w:sz w:val="22"/>
          <w:szCs w:val="22"/>
        </w:rPr>
      </w:pPr>
      <w:r>
        <w:rPr>
          <w:sz w:val="22"/>
          <w:szCs w:val="22"/>
        </w:rPr>
        <w:t xml:space="preserve">As anticipated from the earlier announcement in November, on </w:t>
      </w:r>
      <w:r w:rsidR="00F7560A">
        <w:rPr>
          <w:sz w:val="22"/>
          <w:szCs w:val="22"/>
        </w:rPr>
        <w:t xml:space="preserve">30 April </w:t>
      </w:r>
      <w:r>
        <w:rPr>
          <w:sz w:val="22"/>
          <w:szCs w:val="22"/>
        </w:rPr>
        <w:t xml:space="preserve">the Higher Education Sector’s Equality Challenge unit (ECU) announced the detail of an expanded action plan for gender equality. This follows from the race equality chart mark introduce in 2015 (Box 2). </w:t>
      </w:r>
    </w:p>
    <w:p w:rsidR="00403E41" w:rsidRDefault="00403E41" w:rsidP="00403E41">
      <w:pPr>
        <w:pStyle w:val="Default"/>
        <w:spacing w:after="120" w:line="276" w:lineRule="auto"/>
        <w:jc w:val="both"/>
        <w:rPr>
          <w:sz w:val="22"/>
          <w:szCs w:val="22"/>
        </w:rPr>
      </w:pPr>
      <w:r>
        <w:rPr>
          <w:sz w:val="22"/>
          <w:szCs w:val="22"/>
        </w:rPr>
        <w:t>We shall be taking forward work in Humanities to apply for School level accreditation, in coordination with the actions underway at the centre to secure the University-level accreditation which are coordinated by the Equality and Diversity team in HR. University level activity is currently coordinated via the University Athena Steering Group (Colette is a member of this group) and the recently formed Race Equality Steering Group, which is chaired by the AVP for Social Responsibility.</w:t>
      </w:r>
    </w:p>
    <w:p w:rsidR="00403E41" w:rsidRPr="003F09F2" w:rsidRDefault="00403E41" w:rsidP="00742245">
      <w:pPr>
        <w:pStyle w:val="Default"/>
        <w:pBdr>
          <w:top w:val="single" w:sz="8" w:space="1" w:color="auto"/>
          <w:left w:val="single" w:sz="8" w:space="4" w:color="auto"/>
          <w:bottom w:val="single" w:sz="8" w:space="1" w:color="auto"/>
          <w:right w:val="single" w:sz="8" w:space="4" w:color="auto"/>
        </w:pBdr>
        <w:spacing w:after="120"/>
        <w:jc w:val="both"/>
        <w:rPr>
          <w:b/>
          <w:sz w:val="22"/>
          <w:szCs w:val="22"/>
        </w:rPr>
      </w:pPr>
      <w:r w:rsidRPr="003F09F2">
        <w:rPr>
          <w:b/>
          <w:sz w:val="22"/>
          <w:szCs w:val="22"/>
        </w:rPr>
        <w:t xml:space="preserve">Box 2. The Higher Education Sector’s Equality Challenge Unit’s </w:t>
      </w:r>
      <w:r>
        <w:rPr>
          <w:b/>
          <w:sz w:val="22"/>
          <w:szCs w:val="22"/>
        </w:rPr>
        <w:t xml:space="preserve">framework charter marks </w:t>
      </w:r>
      <w:r w:rsidRPr="003F09F2">
        <w:rPr>
          <w:b/>
          <w:sz w:val="22"/>
          <w:szCs w:val="22"/>
        </w:rPr>
        <w:t>for gender and race equality</w:t>
      </w:r>
    </w:p>
    <w:p w:rsidR="00403E41" w:rsidRPr="003F09F2" w:rsidRDefault="00403E41" w:rsidP="00403E41">
      <w:pPr>
        <w:pStyle w:val="Default"/>
        <w:pBdr>
          <w:top w:val="single" w:sz="8" w:space="1" w:color="auto"/>
          <w:left w:val="single" w:sz="8" w:space="4" w:color="auto"/>
          <w:bottom w:val="single" w:sz="8" w:space="1" w:color="auto"/>
          <w:right w:val="single" w:sz="8" w:space="4" w:color="auto"/>
        </w:pBdr>
        <w:jc w:val="both"/>
        <w:rPr>
          <w:b/>
          <w:i/>
          <w:sz w:val="22"/>
          <w:szCs w:val="22"/>
        </w:rPr>
      </w:pPr>
      <w:r w:rsidRPr="003F09F2">
        <w:rPr>
          <w:b/>
          <w:i/>
          <w:sz w:val="22"/>
          <w:szCs w:val="22"/>
        </w:rPr>
        <w:t>Gender equality</w:t>
      </w:r>
      <w:r>
        <w:rPr>
          <w:b/>
          <w:i/>
          <w:sz w:val="22"/>
          <w:szCs w:val="22"/>
        </w:rPr>
        <w:t xml:space="preserve"> charter mark</w:t>
      </w:r>
    </w:p>
    <w:p w:rsidR="00403E41" w:rsidRDefault="00403E41" w:rsidP="00742245">
      <w:pPr>
        <w:pStyle w:val="Default"/>
        <w:pBdr>
          <w:top w:val="single" w:sz="8" w:space="1" w:color="auto"/>
          <w:left w:val="single" w:sz="8" w:space="4" w:color="auto"/>
          <w:bottom w:val="single" w:sz="8" w:space="1" w:color="auto"/>
          <w:right w:val="single" w:sz="8" w:space="4" w:color="auto"/>
        </w:pBdr>
        <w:spacing w:after="120"/>
        <w:jc w:val="both"/>
        <w:rPr>
          <w:sz w:val="22"/>
          <w:szCs w:val="22"/>
        </w:rPr>
      </w:pPr>
      <w:r w:rsidRPr="00B44C11">
        <w:rPr>
          <w:sz w:val="22"/>
          <w:szCs w:val="22"/>
        </w:rPr>
        <w:t>On April 30</w:t>
      </w:r>
      <w:r w:rsidRPr="00B44C11">
        <w:rPr>
          <w:sz w:val="22"/>
          <w:szCs w:val="22"/>
          <w:vertAlign w:val="superscript"/>
        </w:rPr>
        <w:t>th</w:t>
      </w:r>
      <w:r w:rsidRPr="00B44C11">
        <w:rPr>
          <w:sz w:val="22"/>
          <w:szCs w:val="22"/>
        </w:rPr>
        <w:t xml:space="preserve"> the Higher Education Sector’s Equality Challenge Unit (ECU)</w:t>
      </w:r>
      <w:r>
        <w:rPr>
          <w:sz w:val="22"/>
          <w:szCs w:val="22"/>
        </w:rPr>
        <w:t xml:space="preserve"> announced the</w:t>
      </w:r>
      <w:r w:rsidRPr="00B44C11">
        <w:rPr>
          <w:sz w:val="22"/>
          <w:szCs w:val="22"/>
        </w:rPr>
        <w:t xml:space="preserve"> ECU’s expanded Athena SWAN Charter. Building on Athena SWAN and the gender equality mark (GEM), the expanded charter will allow for institutions and departments to be recognised for the work they are undertaking to advance gender equality across the full range of academic disciplines, for professional and support staff and for </w:t>
      </w:r>
      <w:proofErr w:type="gramStart"/>
      <w:r w:rsidRPr="00B44C11">
        <w:rPr>
          <w:sz w:val="22"/>
          <w:szCs w:val="22"/>
        </w:rPr>
        <w:t>trans</w:t>
      </w:r>
      <w:proofErr w:type="gramEnd"/>
      <w:r w:rsidRPr="00B44C11">
        <w:rPr>
          <w:sz w:val="22"/>
          <w:szCs w:val="22"/>
        </w:rPr>
        <w:t xml:space="preserve"> staff and students. The expanded charter will be formally launched at Athena SWAN’s 10th anniversary event on 24 July.</w:t>
      </w:r>
    </w:p>
    <w:p w:rsidR="00403E41" w:rsidRPr="003F09F2" w:rsidRDefault="00403E41" w:rsidP="00403E41">
      <w:pPr>
        <w:pBdr>
          <w:top w:val="single" w:sz="8" w:space="1" w:color="auto"/>
          <w:left w:val="single" w:sz="8" w:space="4" w:color="auto"/>
          <w:bottom w:val="single" w:sz="8" w:space="1" w:color="auto"/>
          <w:right w:val="single" w:sz="8" w:space="4" w:color="auto"/>
        </w:pBdr>
        <w:spacing w:after="0"/>
        <w:rPr>
          <w:b/>
          <w:i/>
        </w:rPr>
      </w:pPr>
      <w:r w:rsidRPr="003F09F2">
        <w:rPr>
          <w:b/>
          <w:i/>
        </w:rPr>
        <w:t>Race equality charter mark</w:t>
      </w:r>
    </w:p>
    <w:p w:rsidR="00403E41" w:rsidRDefault="00403E41" w:rsidP="00742245">
      <w:pPr>
        <w:pBdr>
          <w:top w:val="single" w:sz="8" w:space="1" w:color="auto"/>
          <w:left w:val="single" w:sz="8" w:space="4" w:color="auto"/>
          <w:bottom w:val="single" w:sz="8" w:space="1" w:color="auto"/>
          <w:right w:val="single" w:sz="8" w:space="4" w:color="auto"/>
        </w:pBdr>
        <w:spacing w:after="120"/>
      </w:pPr>
      <w:r>
        <w:t>This was launched in 2015.</w:t>
      </w:r>
    </w:p>
    <w:p w:rsidR="00D822FF" w:rsidRDefault="00403E41" w:rsidP="00403E41">
      <w:pPr>
        <w:pBdr>
          <w:top w:val="single" w:sz="8" w:space="1" w:color="auto"/>
          <w:left w:val="single" w:sz="8" w:space="4" w:color="auto"/>
          <w:bottom w:val="single" w:sz="8" w:space="1" w:color="auto"/>
          <w:right w:val="single" w:sz="8" w:space="4" w:color="auto"/>
        </w:pBdr>
        <w:rPr>
          <w:rStyle w:val="Hyperlink"/>
        </w:rPr>
      </w:pPr>
      <w:r>
        <w:t xml:space="preserve">Equality Challenge Unit, </w:t>
      </w:r>
      <w:hyperlink r:id="rId8" w:history="1">
        <w:r w:rsidRPr="00790D22">
          <w:rPr>
            <w:rStyle w:val="Hyperlink"/>
          </w:rPr>
          <w:t>www.ecu.ac.uk</w:t>
        </w:r>
      </w:hyperlink>
    </w:p>
    <w:p w:rsidR="00F7560A" w:rsidRDefault="00F7560A" w:rsidP="00D822FF">
      <w:pPr>
        <w:rPr>
          <w:b/>
        </w:rPr>
      </w:pPr>
    </w:p>
    <w:p w:rsidR="00FA7037" w:rsidRDefault="00FA7037">
      <w:pPr>
        <w:rPr>
          <w:b/>
        </w:rPr>
      </w:pPr>
      <w:r>
        <w:rPr>
          <w:b/>
        </w:rPr>
        <w:br w:type="page"/>
      </w:r>
    </w:p>
    <w:p w:rsidR="00D822FF" w:rsidRPr="00742245" w:rsidRDefault="00D822FF" w:rsidP="00742245">
      <w:pPr>
        <w:jc w:val="center"/>
        <w:rPr>
          <w:sz w:val="28"/>
          <w:szCs w:val="28"/>
        </w:rPr>
      </w:pPr>
      <w:proofErr w:type="gramStart"/>
      <w:r w:rsidRPr="00742245">
        <w:rPr>
          <w:b/>
          <w:sz w:val="28"/>
          <w:szCs w:val="28"/>
        </w:rPr>
        <w:lastRenderedPageBreak/>
        <w:t>Appendix 1.</w:t>
      </w:r>
      <w:proofErr w:type="gramEnd"/>
      <w:r w:rsidRPr="00742245">
        <w:rPr>
          <w:b/>
          <w:sz w:val="28"/>
          <w:szCs w:val="28"/>
        </w:rPr>
        <w:t xml:space="preserve"> School Action Plans</w:t>
      </w:r>
    </w:p>
    <w:p w:rsidR="00D822FF" w:rsidRPr="00D822FF" w:rsidRDefault="00D822FF" w:rsidP="00D822FF">
      <w:pPr>
        <w:rPr>
          <w:b/>
        </w:rPr>
      </w:pPr>
      <w:r w:rsidRPr="00D822FF">
        <w:rPr>
          <w:b/>
        </w:rPr>
        <w:t>1.1</w:t>
      </w:r>
      <w:r w:rsidRPr="00D822FF">
        <w:rPr>
          <w:b/>
        </w:rPr>
        <w:tab/>
        <w:t>School of Arts, Languages and Culture</w:t>
      </w:r>
    </w:p>
    <w:p w:rsidR="00D822FF" w:rsidRPr="00D822FF" w:rsidRDefault="00D822FF" w:rsidP="00D822FF">
      <w:pPr>
        <w:rPr>
          <w:b/>
        </w:rPr>
      </w:pPr>
      <w:r w:rsidRPr="00D822FF">
        <w:rPr>
          <w:b/>
        </w:rPr>
        <w:t>Draft Equality and Diversity Action Plan – 2014/15</w:t>
      </w:r>
    </w:p>
    <w:p w:rsidR="00D822FF" w:rsidRPr="00D822FF" w:rsidRDefault="00D822FF" w:rsidP="00D822FF">
      <w:pPr>
        <w:rPr>
          <w:b/>
          <w:u w:val="single"/>
        </w:rPr>
      </w:pPr>
      <w:r w:rsidRPr="00D822FF">
        <w:rPr>
          <w:b/>
          <w:u w:val="single"/>
        </w:rPr>
        <w:t>Context</w:t>
      </w:r>
    </w:p>
    <w:p w:rsidR="00D822FF" w:rsidRPr="00D822FF" w:rsidRDefault="00D822FF" w:rsidP="00FA7037">
      <w:pPr>
        <w:jc w:val="both"/>
      </w:pPr>
      <w:r w:rsidRPr="00D822FF">
        <w:t>As part of the University’s commitment to equality opportunities for all staff and students, and as a key output from the Faculty of Humanities Equality and Diversity Working Group, the School of Arts, Languages and Cultures has developed an Equality and Diversity Action Plan.</w:t>
      </w:r>
    </w:p>
    <w:p w:rsidR="00D822FF" w:rsidRPr="00D822FF" w:rsidRDefault="00D822FF" w:rsidP="00FA7037">
      <w:pPr>
        <w:jc w:val="both"/>
      </w:pPr>
      <w:r w:rsidRPr="00D822FF">
        <w:t>The University of Manchester has been awarded the Athena SWAN Bronze Award for STEMM subject areas and the Faculty and School is adopting Athena SWAN Charter principles and processes. The Equality and Diversity Plan also takes into account equality and diversity in the areas of gender and ethnicity and addresses equality issues across all staff careers – academic, research and PSS.</w:t>
      </w:r>
    </w:p>
    <w:p w:rsidR="00D822FF" w:rsidRPr="00D822FF" w:rsidRDefault="00D822FF" w:rsidP="00D822FF">
      <w:pPr>
        <w:rPr>
          <w:b/>
          <w:u w:val="single"/>
        </w:rPr>
      </w:pPr>
      <w:r w:rsidRPr="00D822FF">
        <w:rPr>
          <w:b/>
          <w:u w:val="single"/>
        </w:rPr>
        <w:t>Action Plan and Way Forward</w:t>
      </w:r>
    </w:p>
    <w:p w:rsidR="00D822FF" w:rsidRPr="00D822FF" w:rsidRDefault="00D822FF" w:rsidP="00FA7037">
      <w:pPr>
        <w:jc w:val="both"/>
      </w:pPr>
      <w:r w:rsidRPr="00D822FF">
        <w:t xml:space="preserve">The School leadership team in consultation with the HR Partner has drawn up an action plan for increasing the diversity in all areas across the School.  The plan and the data on E&amp;D in SALC </w:t>
      </w:r>
      <w:proofErr w:type="gramStart"/>
      <w:r w:rsidRPr="00D822FF">
        <w:t>has</w:t>
      </w:r>
      <w:proofErr w:type="gramEnd"/>
      <w:r w:rsidRPr="00D822FF">
        <w:t xml:space="preserve"> been discussed with the School Strategic Advisory Group, and wider consultation will now take place.  We will build on the work that has already been done to ensure that, for example, we continue to recruit women to senior management positions, and to ensure that there is diversity across the PSS team in terms of the gender, BME and age profile.</w:t>
      </w:r>
    </w:p>
    <w:p w:rsidR="00D822FF" w:rsidRPr="00D822FF" w:rsidRDefault="00D822FF" w:rsidP="00FA7037">
      <w:pPr>
        <w:jc w:val="both"/>
      </w:pPr>
      <w:r w:rsidRPr="00D822FF">
        <w:t xml:space="preserve">The Equality and Diversity action plan complements other School programmes of work (e.g. Staff Survey Action Plan, Strategic Plan and Operational Priorities which are continually updated).  Also, as part of the staff survey action plan, the School is developing an internal communications plan which will help in raising awareness within the School of key HR policies and developments. </w:t>
      </w:r>
    </w:p>
    <w:p w:rsidR="00D822FF" w:rsidRPr="00D822FF" w:rsidRDefault="00D822FF" w:rsidP="00D822FF">
      <w:pPr>
        <w:rPr>
          <w:b/>
          <w:u w:val="single"/>
        </w:rPr>
      </w:pPr>
      <w:r w:rsidRPr="00D822FF">
        <w:rPr>
          <w:b/>
          <w:u w:val="single"/>
        </w:rPr>
        <w:t xml:space="preserve">Equality and Diversity Action Plan </w:t>
      </w:r>
    </w:p>
    <w:tbl>
      <w:tblPr>
        <w:tblStyle w:val="TableGrid"/>
        <w:tblW w:w="0" w:type="auto"/>
        <w:tblLook w:val="04A0" w:firstRow="1" w:lastRow="0" w:firstColumn="1" w:lastColumn="0" w:noHBand="0" w:noVBand="1"/>
      </w:tblPr>
      <w:tblGrid>
        <w:gridCol w:w="1843"/>
        <w:gridCol w:w="2841"/>
        <w:gridCol w:w="2305"/>
        <w:gridCol w:w="2253"/>
      </w:tblGrid>
      <w:tr w:rsidR="00D822FF" w:rsidRPr="00D822FF" w:rsidTr="00D822FF">
        <w:tc>
          <w:tcPr>
            <w:tcW w:w="2337" w:type="dxa"/>
            <w:tcBorders>
              <w:top w:val="single" w:sz="4" w:space="0" w:color="auto"/>
              <w:left w:val="single" w:sz="4" w:space="0" w:color="auto"/>
              <w:bottom w:val="single" w:sz="4" w:space="0" w:color="auto"/>
              <w:right w:val="nil"/>
            </w:tcBorders>
            <w:hideMark/>
          </w:tcPr>
          <w:p w:rsidR="00D822FF" w:rsidRPr="00D822FF" w:rsidRDefault="00D822FF" w:rsidP="00D822FF">
            <w:pPr>
              <w:rPr>
                <w:b/>
              </w:rPr>
            </w:pPr>
            <w:r w:rsidRPr="00D822FF">
              <w:rPr>
                <w:b/>
              </w:rPr>
              <w:t xml:space="preserve">PRIORITY ACTION   </w:t>
            </w:r>
          </w:p>
        </w:tc>
        <w:tc>
          <w:tcPr>
            <w:tcW w:w="5709" w:type="dxa"/>
            <w:tcBorders>
              <w:top w:val="single" w:sz="4" w:space="0" w:color="auto"/>
              <w:left w:val="nil"/>
              <w:bottom w:val="single" w:sz="4" w:space="0" w:color="auto"/>
              <w:right w:val="single" w:sz="4" w:space="0" w:color="auto"/>
            </w:tcBorders>
            <w:hideMark/>
          </w:tcPr>
          <w:p w:rsidR="00D822FF" w:rsidRPr="00D822FF" w:rsidRDefault="00D822FF" w:rsidP="00D822FF">
            <w:r w:rsidRPr="00D822FF">
              <w:t xml:space="preserve">    </w:t>
            </w:r>
          </w:p>
        </w:tc>
        <w:tc>
          <w:tcPr>
            <w:tcW w:w="3119" w:type="dxa"/>
            <w:tcBorders>
              <w:top w:val="single" w:sz="4" w:space="0" w:color="auto"/>
              <w:left w:val="single" w:sz="4" w:space="0" w:color="auto"/>
              <w:bottom w:val="single" w:sz="4" w:space="0" w:color="auto"/>
              <w:right w:val="single" w:sz="4" w:space="0" w:color="auto"/>
            </w:tcBorders>
          </w:tcPr>
          <w:p w:rsidR="00D822FF" w:rsidRPr="00D822FF" w:rsidRDefault="00D822FF" w:rsidP="00D822FF">
            <w:pPr>
              <w:rPr>
                <w:b/>
              </w:rPr>
            </w:pPr>
            <w:r w:rsidRPr="00D822FF">
              <w:rPr>
                <w:b/>
              </w:rPr>
              <w:t>LEAD RESPONSIBILITY</w:t>
            </w:r>
          </w:p>
        </w:tc>
        <w:tc>
          <w:tcPr>
            <w:tcW w:w="2977" w:type="dxa"/>
            <w:tcBorders>
              <w:top w:val="single" w:sz="4" w:space="0" w:color="auto"/>
              <w:left w:val="single" w:sz="4" w:space="0" w:color="auto"/>
              <w:bottom w:val="single" w:sz="4" w:space="0" w:color="auto"/>
              <w:right w:val="single" w:sz="4" w:space="0" w:color="auto"/>
            </w:tcBorders>
          </w:tcPr>
          <w:p w:rsidR="00D822FF" w:rsidRPr="00D822FF" w:rsidRDefault="00D822FF" w:rsidP="00D822FF">
            <w:pPr>
              <w:rPr>
                <w:b/>
              </w:rPr>
            </w:pPr>
            <w:r w:rsidRPr="00D822FF">
              <w:rPr>
                <w:b/>
              </w:rPr>
              <w:t>TARGET DATE</w:t>
            </w:r>
          </w:p>
        </w:tc>
      </w:tr>
      <w:tr w:rsidR="00D822FF" w:rsidRPr="00D822FF" w:rsidTr="00D822FF">
        <w:trPr>
          <w:trHeight w:val="1979"/>
        </w:trPr>
        <w:tc>
          <w:tcPr>
            <w:tcW w:w="8046" w:type="dxa"/>
            <w:gridSpan w:val="2"/>
            <w:tcBorders>
              <w:top w:val="single" w:sz="4" w:space="0" w:color="auto"/>
              <w:left w:val="single" w:sz="4" w:space="0" w:color="auto"/>
              <w:bottom w:val="single" w:sz="4" w:space="0" w:color="auto"/>
              <w:right w:val="single" w:sz="4" w:space="0" w:color="auto"/>
            </w:tcBorders>
          </w:tcPr>
          <w:p w:rsidR="00D822FF" w:rsidRPr="00D822FF" w:rsidRDefault="00D822FF" w:rsidP="00D822FF"/>
          <w:p w:rsidR="00D822FF" w:rsidRPr="00D822FF" w:rsidRDefault="00D822FF" w:rsidP="00D822FF">
            <w:pPr>
              <w:rPr>
                <w:b/>
              </w:rPr>
            </w:pPr>
            <w:r w:rsidRPr="00D822FF">
              <w:rPr>
                <w:b/>
              </w:rPr>
              <w:t xml:space="preserve">Governance </w:t>
            </w:r>
          </w:p>
          <w:p w:rsidR="00D822FF" w:rsidRPr="00D822FF" w:rsidRDefault="00D822FF" w:rsidP="00D822FF"/>
          <w:p w:rsidR="00D822FF" w:rsidRPr="00D822FF" w:rsidRDefault="00D822FF" w:rsidP="00D822FF">
            <w:pPr>
              <w:numPr>
                <w:ilvl w:val="0"/>
                <w:numId w:val="14"/>
              </w:numPr>
              <w:spacing w:after="200" w:line="276" w:lineRule="auto"/>
            </w:pPr>
            <w:r w:rsidRPr="00D822FF">
              <w:t xml:space="preserve">Continue to ensure that equality and diversity is embedded in the governance of the School </w:t>
            </w:r>
          </w:p>
          <w:p w:rsidR="00D822FF" w:rsidRPr="00D822FF" w:rsidRDefault="00D822FF" w:rsidP="0088672E">
            <w:pPr>
              <w:numPr>
                <w:ilvl w:val="0"/>
                <w:numId w:val="14"/>
              </w:numPr>
              <w:spacing w:line="276" w:lineRule="auto"/>
              <w:ind w:left="714" w:hanging="357"/>
            </w:pPr>
            <w:r w:rsidRPr="00D822FF">
              <w:t>Establish a School Equality and Diversity Group to finalise the draft action plan, support implementation and review progress across the School. [Each of the 7 academic Divisions will be asked to nominate a rep.]  The Group will report to SPRC, and the School Board.</w:t>
            </w:r>
          </w:p>
          <w:p w:rsidR="00D822FF" w:rsidRPr="00D822FF" w:rsidRDefault="00D822FF" w:rsidP="00D822FF"/>
        </w:tc>
        <w:tc>
          <w:tcPr>
            <w:tcW w:w="3119" w:type="dxa"/>
            <w:tcBorders>
              <w:top w:val="single" w:sz="4" w:space="0" w:color="auto"/>
              <w:left w:val="single" w:sz="4" w:space="0" w:color="auto"/>
              <w:bottom w:val="single" w:sz="4" w:space="0" w:color="auto"/>
              <w:right w:val="single" w:sz="4" w:space="0" w:color="auto"/>
            </w:tcBorders>
          </w:tcPr>
          <w:p w:rsidR="00D822FF" w:rsidRPr="00D822FF" w:rsidRDefault="00D822FF" w:rsidP="00D822FF"/>
          <w:p w:rsidR="00D822FF" w:rsidRPr="00D822FF" w:rsidRDefault="00D822FF" w:rsidP="00D822FF"/>
          <w:p w:rsidR="00D822FF" w:rsidRPr="00D822FF" w:rsidRDefault="00D822FF" w:rsidP="00D822FF"/>
          <w:p w:rsidR="00D822FF" w:rsidRPr="00D822FF" w:rsidRDefault="00D822FF" w:rsidP="00D822FF">
            <w:r w:rsidRPr="00D822FF">
              <w:t>Head of School and Head of School Admin</w:t>
            </w:r>
          </w:p>
          <w:p w:rsidR="00D822FF" w:rsidRPr="00D822FF" w:rsidRDefault="00D822FF" w:rsidP="00D822FF"/>
          <w:p w:rsidR="0088672E" w:rsidRDefault="0088672E" w:rsidP="00D822FF"/>
          <w:p w:rsidR="00D822FF" w:rsidRPr="00D822FF" w:rsidRDefault="00D822FF" w:rsidP="00D822FF">
            <w:r w:rsidRPr="00D822FF">
              <w:t>Head of School Admin</w:t>
            </w:r>
          </w:p>
          <w:p w:rsidR="00D822FF" w:rsidRPr="00D822FF" w:rsidRDefault="00D822FF" w:rsidP="00D822FF"/>
        </w:tc>
        <w:tc>
          <w:tcPr>
            <w:tcW w:w="2977" w:type="dxa"/>
            <w:tcBorders>
              <w:top w:val="single" w:sz="4" w:space="0" w:color="auto"/>
              <w:left w:val="single" w:sz="4" w:space="0" w:color="auto"/>
              <w:bottom w:val="single" w:sz="4" w:space="0" w:color="auto"/>
              <w:right w:val="single" w:sz="4" w:space="0" w:color="auto"/>
            </w:tcBorders>
          </w:tcPr>
          <w:p w:rsidR="00D822FF" w:rsidRPr="00D822FF" w:rsidRDefault="00D822FF" w:rsidP="00D822FF"/>
          <w:p w:rsidR="00D822FF" w:rsidRPr="00D822FF" w:rsidRDefault="00D822FF" w:rsidP="00D822FF"/>
          <w:p w:rsidR="00D822FF" w:rsidRPr="00D822FF" w:rsidRDefault="00D822FF" w:rsidP="00D822FF"/>
          <w:p w:rsidR="00D822FF" w:rsidRPr="00D822FF" w:rsidRDefault="00D822FF" w:rsidP="00D822FF">
            <w:r w:rsidRPr="00D822FF">
              <w:t>On-going</w:t>
            </w:r>
          </w:p>
          <w:p w:rsidR="00D822FF" w:rsidRPr="00D822FF" w:rsidRDefault="00D822FF" w:rsidP="00D822FF"/>
          <w:p w:rsidR="00D822FF" w:rsidRPr="00D822FF" w:rsidRDefault="00D822FF" w:rsidP="00D822FF"/>
          <w:p w:rsidR="0088672E" w:rsidRDefault="0088672E" w:rsidP="00D822FF"/>
          <w:p w:rsidR="00D822FF" w:rsidRPr="00D822FF" w:rsidRDefault="00D822FF" w:rsidP="00D822FF">
            <w:r w:rsidRPr="00D822FF">
              <w:t>September 2015</w:t>
            </w:r>
          </w:p>
        </w:tc>
      </w:tr>
      <w:tr w:rsidR="00D822FF" w:rsidRPr="00D822FF" w:rsidTr="00D822FF">
        <w:trPr>
          <w:trHeight w:val="5850"/>
        </w:trPr>
        <w:tc>
          <w:tcPr>
            <w:tcW w:w="8046" w:type="dxa"/>
            <w:gridSpan w:val="2"/>
            <w:tcBorders>
              <w:top w:val="single" w:sz="4" w:space="0" w:color="auto"/>
              <w:left w:val="single" w:sz="4" w:space="0" w:color="auto"/>
              <w:bottom w:val="single" w:sz="4" w:space="0" w:color="auto"/>
              <w:right w:val="single" w:sz="4" w:space="0" w:color="auto"/>
            </w:tcBorders>
          </w:tcPr>
          <w:p w:rsidR="00D822FF" w:rsidRPr="00D822FF" w:rsidRDefault="00D822FF" w:rsidP="00D822FF"/>
          <w:p w:rsidR="00D822FF" w:rsidRPr="00D822FF" w:rsidRDefault="00D822FF" w:rsidP="00D822FF">
            <w:r w:rsidRPr="00D822FF">
              <w:rPr>
                <w:b/>
              </w:rPr>
              <w:t xml:space="preserve">Communication - </w:t>
            </w:r>
            <w:r w:rsidRPr="00D822FF">
              <w:t>Raise awareness and improve understanding of equality and diversity related issues and policies within School amongst academic, research and PSS colleagues:</w:t>
            </w:r>
          </w:p>
          <w:p w:rsidR="00D822FF" w:rsidRPr="00D822FF" w:rsidRDefault="00D822FF" w:rsidP="00D822FF"/>
          <w:p w:rsidR="00D822FF" w:rsidRPr="00D822FF" w:rsidRDefault="00D822FF" w:rsidP="00D822FF">
            <w:pPr>
              <w:numPr>
                <w:ilvl w:val="0"/>
                <w:numId w:val="15"/>
              </w:numPr>
              <w:spacing w:after="200" w:line="276" w:lineRule="auto"/>
            </w:pPr>
            <w:r w:rsidRPr="00D822FF">
              <w:t>Include a section on equality and diversity in staff action plan, and internal communication action plan</w:t>
            </w:r>
          </w:p>
          <w:p w:rsidR="00D822FF" w:rsidRPr="00D822FF" w:rsidRDefault="00D822FF" w:rsidP="00D822FF">
            <w:pPr>
              <w:numPr>
                <w:ilvl w:val="0"/>
                <w:numId w:val="12"/>
              </w:numPr>
              <w:spacing w:after="200" w:line="276" w:lineRule="auto"/>
            </w:pPr>
            <w:r w:rsidRPr="00D822FF">
              <w:t>Include relevant links and guidelines on School intranet</w:t>
            </w:r>
          </w:p>
          <w:p w:rsidR="00D822FF" w:rsidRPr="00D822FF" w:rsidRDefault="00D822FF" w:rsidP="00D822FF"/>
          <w:p w:rsidR="00D822FF" w:rsidRPr="00D822FF" w:rsidRDefault="00D822FF" w:rsidP="00D822FF">
            <w:pPr>
              <w:numPr>
                <w:ilvl w:val="0"/>
                <w:numId w:val="12"/>
              </w:numPr>
              <w:spacing w:after="200" w:line="276" w:lineRule="auto"/>
            </w:pPr>
            <w:r w:rsidRPr="00D822FF">
              <w:t>Include a section on equality and diversity in School induction programme for new staff</w:t>
            </w:r>
          </w:p>
          <w:p w:rsidR="00D822FF" w:rsidRPr="00D822FF" w:rsidRDefault="00D822FF" w:rsidP="00D822FF"/>
          <w:p w:rsidR="00D822FF" w:rsidRPr="00D822FF" w:rsidRDefault="00D822FF" w:rsidP="00D822FF">
            <w:pPr>
              <w:numPr>
                <w:ilvl w:val="0"/>
                <w:numId w:val="12"/>
              </w:numPr>
              <w:spacing w:after="200" w:line="276" w:lineRule="auto"/>
              <w:rPr>
                <w:b/>
              </w:rPr>
            </w:pPr>
            <w:r w:rsidRPr="00D822FF">
              <w:t>Invite Patrick Johnson, Head of Equality and Diversity, Directorate of Human Resources to present at School management meetings e.g. SPRC and PSS managers’ meeting</w:t>
            </w:r>
          </w:p>
          <w:p w:rsidR="00D822FF" w:rsidRPr="00D822FF" w:rsidRDefault="00D822FF" w:rsidP="00D822FF">
            <w:pPr>
              <w:rPr>
                <w:b/>
              </w:rPr>
            </w:pPr>
          </w:p>
          <w:p w:rsidR="00D822FF" w:rsidRPr="00D822FF" w:rsidRDefault="00D822FF" w:rsidP="00D822FF">
            <w:pPr>
              <w:numPr>
                <w:ilvl w:val="0"/>
                <w:numId w:val="12"/>
              </w:numPr>
              <w:spacing w:after="200" w:line="276" w:lineRule="auto"/>
              <w:rPr>
                <w:b/>
              </w:rPr>
            </w:pPr>
            <w:r w:rsidRPr="00D822FF">
              <w:t>Include relevant updates and new initiatives in School Newsletter</w:t>
            </w:r>
          </w:p>
          <w:p w:rsidR="00D822FF" w:rsidRPr="0088672E" w:rsidRDefault="00D822FF" w:rsidP="0088672E">
            <w:pPr>
              <w:numPr>
                <w:ilvl w:val="0"/>
                <w:numId w:val="12"/>
              </w:numPr>
              <w:spacing w:after="200" w:line="276" w:lineRule="auto"/>
              <w:rPr>
                <w:b/>
              </w:rPr>
            </w:pPr>
            <w:r w:rsidRPr="00D822FF">
              <w:t>Develop mentoring programme for academic and PSS staff</w:t>
            </w:r>
          </w:p>
        </w:tc>
        <w:tc>
          <w:tcPr>
            <w:tcW w:w="3119" w:type="dxa"/>
            <w:tcBorders>
              <w:top w:val="single" w:sz="4" w:space="0" w:color="auto"/>
              <w:left w:val="single" w:sz="4" w:space="0" w:color="auto"/>
              <w:bottom w:val="single" w:sz="4" w:space="0" w:color="auto"/>
              <w:right w:val="single" w:sz="4" w:space="0" w:color="auto"/>
            </w:tcBorders>
          </w:tcPr>
          <w:p w:rsidR="00D822FF" w:rsidRPr="00D822FF" w:rsidRDefault="00D822FF" w:rsidP="00D822FF"/>
          <w:p w:rsidR="00D822FF" w:rsidRPr="00D822FF" w:rsidRDefault="00D822FF" w:rsidP="00D822FF"/>
          <w:p w:rsidR="00D822FF" w:rsidRPr="00D822FF" w:rsidRDefault="00D822FF" w:rsidP="00D822FF"/>
          <w:p w:rsidR="00D822FF" w:rsidRPr="00D822FF" w:rsidRDefault="00D822FF" w:rsidP="00D822FF"/>
          <w:p w:rsidR="00D822FF" w:rsidRPr="00D822FF" w:rsidRDefault="00D822FF" w:rsidP="00D822FF"/>
          <w:p w:rsidR="0088672E" w:rsidRDefault="0088672E" w:rsidP="00D822FF"/>
          <w:p w:rsidR="00D822FF" w:rsidRPr="00D822FF" w:rsidRDefault="00D822FF" w:rsidP="00D822FF">
            <w:r w:rsidRPr="00D822FF">
              <w:t>Head of School Admin</w:t>
            </w:r>
          </w:p>
          <w:p w:rsidR="00D822FF" w:rsidRPr="00D822FF" w:rsidRDefault="00D822FF" w:rsidP="00D822FF"/>
          <w:p w:rsidR="00D822FF" w:rsidRPr="00D822FF" w:rsidRDefault="00D822FF" w:rsidP="00D822FF"/>
          <w:p w:rsidR="00D822FF" w:rsidRPr="00D822FF" w:rsidRDefault="00D822FF" w:rsidP="00D822FF"/>
          <w:p w:rsidR="0088672E" w:rsidRDefault="0088672E" w:rsidP="00D822FF"/>
          <w:p w:rsidR="00D822FF" w:rsidRPr="00D822FF" w:rsidRDefault="00D822FF" w:rsidP="00D822FF">
            <w:r w:rsidRPr="00D822FF">
              <w:t>Head of School Admin</w:t>
            </w:r>
          </w:p>
          <w:p w:rsidR="00D822FF" w:rsidRPr="00D822FF" w:rsidRDefault="00D822FF" w:rsidP="00D822FF"/>
          <w:p w:rsidR="0088672E" w:rsidRDefault="0088672E" w:rsidP="00D822FF"/>
          <w:p w:rsidR="00D822FF" w:rsidRPr="00D822FF" w:rsidRDefault="00D822FF" w:rsidP="00D822FF">
            <w:r w:rsidRPr="00D822FF">
              <w:t>Head of School Admin and School Office Manager</w:t>
            </w:r>
          </w:p>
          <w:p w:rsidR="00D822FF" w:rsidRPr="00D822FF" w:rsidRDefault="00D822FF" w:rsidP="00D822FF"/>
          <w:p w:rsidR="00D822FF" w:rsidRPr="00D822FF" w:rsidRDefault="00D822FF" w:rsidP="00D822FF"/>
          <w:p w:rsidR="00D822FF" w:rsidRPr="00D822FF" w:rsidRDefault="00D822FF" w:rsidP="00D822FF">
            <w:r w:rsidRPr="00D822FF">
              <w:t>Head of School Admin</w:t>
            </w:r>
          </w:p>
          <w:p w:rsidR="00D822FF" w:rsidRPr="00D822FF" w:rsidRDefault="00D822FF" w:rsidP="00D822FF"/>
          <w:p w:rsidR="00D822FF" w:rsidRPr="00D822FF" w:rsidRDefault="00D822FF" w:rsidP="00D822FF"/>
          <w:p w:rsidR="0088672E" w:rsidRDefault="0088672E" w:rsidP="00D822FF"/>
          <w:p w:rsidR="0088672E" w:rsidRDefault="0088672E" w:rsidP="00D822FF"/>
          <w:p w:rsidR="0088672E" w:rsidRDefault="0088672E" w:rsidP="00D822FF"/>
          <w:p w:rsidR="00D822FF" w:rsidRPr="00D822FF" w:rsidRDefault="00D822FF" w:rsidP="00D822FF">
            <w:r w:rsidRPr="00D822FF">
              <w:t>Head of School Admin</w:t>
            </w:r>
          </w:p>
          <w:p w:rsidR="00D822FF" w:rsidRPr="00D822FF" w:rsidRDefault="00D822FF" w:rsidP="00D822FF"/>
          <w:p w:rsidR="0088672E" w:rsidRDefault="0088672E" w:rsidP="00D822FF"/>
          <w:p w:rsidR="00D822FF" w:rsidRPr="00D822FF" w:rsidRDefault="00D822FF" w:rsidP="00D822FF">
            <w:r w:rsidRPr="00D822FF">
              <w:t>Head of School Admin/HR Partner</w:t>
            </w:r>
          </w:p>
        </w:tc>
        <w:tc>
          <w:tcPr>
            <w:tcW w:w="2977" w:type="dxa"/>
            <w:tcBorders>
              <w:top w:val="single" w:sz="4" w:space="0" w:color="auto"/>
              <w:left w:val="single" w:sz="4" w:space="0" w:color="auto"/>
              <w:bottom w:val="single" w:sz="4" w:space="0" w:color="auto"/>
              <w:right w:val="single" w:sz="4" w:space="0" w:color="auto"/>
            </w:tcBorders>
          </w:tcPr>
          <w:p w:rsidR="00D822FF" w:rsidRPr="00D822FF" w:rsidRDefault="00D822FF" w:rsidP="00D822FF"/>
          <w:p w:rsidR="00D822FF" w:rsidRPr="00D822FF" w:rsidRDefault="00D822FF" w:rsidP="00D822FF"/>
          <w:p w:rsidR="00D822FF" w:rsidRPr="00D822FF" w:rsidRDefault="00D822FF" w:rsidP="00D822FF"/>
          <w:p w:rsidR="00D822FF" w:rsidRPr="00D822FF" w:rsidRDefault="00D822FF" w:rsidP="00D822FF"/>
          <w:p w:rsidR="00D822FF" w:rsidRPr="00D822FF" w:rsidRDefault="00D822FF" w:rsidP="00D822FF"/>
          <w:p w:rsidR="0088672E" w:rsidRDefault="0088672E" w:rsidP="00D822FF"/>
          <w:p w:rsidR="00D822FF" w:rsidRPr="00D822FF" w:rsidRDefault="00D822FF" w:rsidP="00D822FF">
            <w:r w:rsidRPr="00D822FF">
              <w:t>July/August 2015 when internal communications review is complete</w:t>
            </w:r>
          </w:p>
          <w:p w:rsidR="00D822FF" w:rsidRPr="00D822FF" w:rsidRDefault="00D822FF" w:rsidP="00D822FF"/>
          <w:p w:rsidR="00D822FF" w:rsidRPr="00D822FF" w:rsidRDefault="00D822FF" w:rsidP="00D822FF">
            <w:r w:rsidRPr="00D822FF">
              <w:t>September  2015</w:t>
            </w:r>
          </w:p>
          <w:p w:rsidR="00D822FF" w:rsidRPr="00D822FF" w:rsidRDefault="00D822FF" w:rsidP="00D822FF"/>
          <w:p w:rsidR="0088672E" w:rsidRDefault="0088672E" w:rsidP="00D822FF"/>
          <w:p w:rsidR="00D822FF" w:rsidRPr="00D822FF" w:rsidRDefault="00D822FF" w:rsidP="00D822FF">
            <w:r w:rsidRPr="00D822FF">
              <w:t>August 2015</w:t>
            </w:r>
          </w:p>
          <w:p w:rsidR="00D822FF" w:rsidRPr="00D822FF" w:rsidRDefault="00D822FF" w:rsidP="00D822FF"/>
          <w:p w:rsidR="00D822FF" w:rsidRPr="00D822FF" w:rsidRDefault="00D822FF" w:rsidP="00D822FF"/>
          <w:p w:rsidR="00D822FF" w:rsidRPr="00D822FF" w:rsidRDefault="00D822FF" w:rsidP="00D822FF"/>
          <w:p w:rsidR="0088672E" w:rsidRDefault="0088672E" w:rsidP="00D822FF"/>
          <w:p w:rsidR="00D822FF" w:rsidRPr="00D822FF" w:rsidRDefault="00D822FF" w:rsidP="00D822FF">
            <w:r w:rsidRPr="00D822FF">
              <w:t>October 2015</w:t>
            </w:r>
          </w:p>
          <w:p w:rsidR="00D822FF" w:rsidRPr="00D822FF" w:rsidRDefault="00D822FF" w:rsidP="00D822FF"/>
          <w:p w:rsidR="00D822FF" w:rsidRPr="00D822FF" w:rsidRDefault="00D822FF" w:rsidP="00D822FF"/>
          <w:p w:rsidR="0088672E" w:rsidRDefault="0088672E" w:rsidP="00D822FF"/>
          <w:p w:rsidR="0088672E" w:rsidRDefault="0088672E" w:rsidP="00D822FF"/>
          <w:p w:rsidR="0088672E" w:rsidRDefault="0088672E" w:rsidP="00D822FF"/>
          <w:p w:rsidR="00D822FF" w:rsidRPr="00D822FF" w:rsidRDefault="00D822FF" w:rsidP="00D822FF">
            <w:r w:rsidRPr="00D822FF">
              <w:t>Monthly</w:t>
            </w:r>
          </w:p>
          <w:p w:rsidR="00D822FF" w:rsidRPr="00D822FF" w:rsidRDefault="00D822FF" w:rsidP="00D822FF"/>
          <w:p w:rsidR="0088672E" w:rsidRDefault="0088672E" w:rsidP="00D822FF"/>
          <w:p w:rsidR="00D822FF" w:rsidRPr="00D822FF" w:rsidRDefault="00D822FF" w:rsidP="00D822FF">
            <w:r w:rsidRPr="00D822FF">
              <w:t>2015-16 academic year</w:t>
            </w:r>
          </w:p>
        </w:tc>
      </w:tr>
      <w:tr w:rsidR="00D822FF" w:rsidRPr="00D822FF" w:rsidTr="002B222D">
        <w:trPr>
          <w:trHeight w:val="10905"/>
        </w:trPr>
        <w:tc>
          <w:tcPr>
            <w:tcW w:w="8046" w:type="dxa"/>
            <w:gridSpan w:val="2"/>
            <w:tcBorders>
              <w:top w:val="single" w:sz="4" w:space="0" w:color="auto"/>
              <w:left w:val="single" w:sz="4" w:space="0" w:color="auto"/>
              <w:right w:val="single" w:sz="4" w:space="0" w:color="auto"/>
            </w:tcBorders>
          </w:tcPr>
          <w:p w:rsidR="00D822FF" w:rsidRPr="00D822FF" w:rsidRDefault="00D822FF" w:rsidP="00D822FF"/>
          <w:p w:rsidR="00D822FF" w:rsidRPr="00D822FF" w:rsidRDefault="00D822FF" w:rsidP="00D822FF">
            <w:pPr>
              <w:rPr>
                <w:b/>
              </w:rPr>
            </w:pPr>
            <w:r w:rsidRPr="00D822FF">
              <w:rPr>
                <w:b/>
              </w:rPr>
              <w:t>Recruitment and Selection, and Progression</w:t>
            </w:r>
          </w:p>
          <w:p w:rsidR="00D822FF" w:rsidRPr="00D822FF" w:rsidRDefault="00D822FF" w:rsidP="00D822FF"/>
          <w:p w:rsidR="00D822FF" w:rsidRPr="00D822FF" w:rsidRDefault="00D822FF" w:rsidP="00D822FF">
            <w:pPr>
              <w:numPr>
                <w:ilvl w:val="0"/>
                <w:numId w:val="16"/>
              </w:numPr>
              <w:spacing w:after="200" w:line="276" w:lineRule="auto"/>
            </w:pPr>
            <w:r w:rsidRPr="00D822FF">
              <w:t>Continue to promote equality and diversity in the recruitment and selection process, and where possible, target female and BME applicants – work with HR to target occupational groups that are under-represented</w:t>
            </w:r>
          </w:p>
          <w:p w:rsidR="00D822FF" w:rsidRPr="00D822FF" w:rsidRDefault="00D822FF" w:rsidP="00D822FF">
            <w:pPr>
              <w:numPr>
                <w:ilvl w:val="0"/>
                <w:numId w:val="13"/>
              </w:numPr>
              <w:spacing w:after="200" w:line="276" w:lineRule="auto"/>
            </w:pPr>
            <w:r w:rsidRPr="00D822FF">
              <w:t>Promote effective use of the PDR process and related tools to actively promote progress via the formal channels of promotion, and use REP to reward all categories of staff</w:t>
            </w:r>
          </w:p>
          <w:p w:rsidR="00D822FF" w:rsidRPr="00D822FF" w:rsidRDefault="00D822FF" w:rsidP="00D822FF">
            <w:pPr>
              <w:numPr>
                <w:ilvl w:val="0"/>
                <w:numId w:val="13"/>
              </w:numPr>
              <w:spacing w:after="200" w:line="276" w:lineRule="auto"/>
            </w:pPr>
            <w:r w:rsidRPr="00D822FF">
              <w:t>Continue to actively encourage women and BME colleagues to apply for senior management and leadership positions within the School</w:t>
            </w:r>
          </w:p>
          <w:p w:rsidR="00D822FF" w:rsidRPr="00D822FF" w:rsidRDefault="00D822FF" w:rsidP="00D822FF">
            <w:pPr>
              <w:numPr>
                <w:ilvl w:val="0"/>
                <w:numId w:val="13"/>
              </w:numPr>
              <w:spacing w:after="200" w:line="276" w:lineRule="auto"/>
            </w:pPr>
            <w:r w:rsidRPr="00D822FF">
              <w:t>Develop a robust Training and Development Plan for academic staff</w:t>
            </w:r>
          </w:p>
          <w:p w:rsidR="00D822FF" w:rsidRPr="00D822FF" w:rsidRDefault="00D822FF" w:rsidP="00D822FF"/>
          <w:p w:rsidR="00D822FF" w:rsidRPr="00D822FF" w:rsidRDefault="00D822FF" w:rsidP="00D822FF">
            <w:pPr>
              <w:numPr>
                <w:ilvl w:val="0"/>
                <w:numId w:val="13"/>
              </w:numPr>
              <w:spacing w:after="200" w:line="276" w:lineRule="auto"/>
            </w:pPr>
            <w:r w:rsidRPr="00D822FF">
              <w:t>Develop a robust Training and Development plan for PSS staff</w:t>
            </w:r>
          </w:p>
          <w:p w:rsidR="00D822FF" w:rsidRPr="00D822FF" w:rsidRDefault="00D822FF" w:rsidP="00D822FF"/>
          <w:p w:rsidR="00D822FF" w:rsidRPr="00D822FF" w:rsidRDefault="00D822FF" w:rsidP="00D822FF"/>
          <w:p w:rsidR="00D822FF" w:rsidRPr="00D822FF" w:rsidRDefault="00D822FF" w:rsidP="00D822FF">
            <w:pPr>
              <w:numPr>
                <w:ilvl w:val="0"/>
                <w:numId w:val="13"/>
              </w:numPr>
              <w:spacing w:after="200" w:line="276" w:lineRule="auto"/>
            </w:pPr>
            <w:r w:rsidRPr="00D822FF">
              <w:t>Include in the above, unconscious bias training for staff involved in interviewing</w:t>
            </w:r>
          </w:p>
          <w:p w:rsidR="00D822FF" w:rsidRPr="00D822FF" w:rsidRDefault="00D822FF" w:rsidP="00D822FF"/>
          <w:p w:rsidR="00D822FF" w:rsidRPr="00D822FF" w:rsidRDefault="00D822FF" w:rsidP="00D822FF"/>
          <w:p w:rsidR="00D822FF" w:rsidRPr="00D822FF" w:rsidRDefault="00D822FF" w:rsidP="002B222D">
            <w:pPr>
              <w:numPr>
                <w:ilvl w:val="0"/>
                <w:numId w:val="13"/>
              </w:numPr>
              <w:spacing w:line="276" w:lineRule="auto"/>
              <w:ind w:left="357" w:hanging="357"/>
            </w:pPr>
            <w:r w:rsidRPr="00D822FF">
              <w:t>Ensure all staff, as appropriate, attend the University Recruitment and Selection training programmes</w:t>
            </w:r>
          </w:p>
        </w:tc>
        <w:tc>
          <w:tcPr>
            <w:tcW w:w="3119" w:type="dxa"/>
            <w:tcBorders>
              <w:top w:val="single" w:sz="4" w:space="0" w:color="auto"/>
              <w:left w:val="single" w:sz="4" w:space="0" w:color="auto"/>
              <w:right w:val="single" w:sz="4" w:space="0" w:color="auto"/>
            </w:tcBorders>
          </w:tcPr>
          <w:p w:rsidR="00D822FF" w:rsidRPr="00D822FF" w:rsidRDefault="00D822FF" w:rsidP="00D822FF"/>
          <w:p w:rsidR="00D822FF" w:rsidRPr="00D822FF" w:rsidRDefault="00D822FF" w:rsidP="00D822FF"/>
          <w:p w:rsidR="00D822FF" w:rsidRPr="00D822FF" w:rsidRDefault="00D822FF" w:rsidP="00D822FF"/>
          <w:p w:rsidR="00D822FF" w:rsidRPr="00D822FF" w:rsidRDefault="00D822FF" w:rsidP="00D822FF">
            <w:r w:rsidRPr="00D822FF">
              <w:t>Head of School and Head of School Admin with HR Partner</w:t>
            </w:r>
          </w:p>
          <w:p w:rsidR="00D822FF" w:rsidRPr="00D822FF" w:rsidRDefault="00D822FF" w:rsidP="00D822FF"/>
          <w:p w:rsidR="002B222D" w:rsidRDefault="002B222D" w:rsidP="00D822FF"/>
          <w:p w:rsidR="002B222D" w:rsidRDefault="002B222D" w:rsidP="00D822FF"/>
          <w:p w:rsidR="002B222D" w:rsidRDefault="002B222D" w:rsidP="00D822FF"/>
          <w:p w:rsidR="002B222D" w:rsidRDefault="002B222D" w:rsidP="00D822FF"/>
          <w:p w:rsidR="00D822FF" w:rsidRPr="00D822FF" w:rsidRDefault="00D822FF" w:rsidP="00D822FF">
            <w:r w:rsidRPr="00D822FF">
              <w:t>Head of School and Head of School Admin and senior management team</w:t>
            </w:r>
          </w:p>
          <w:p w:rsidR="00D822FF" w:rsidRPr="00D822FF" w:rsidRDefault="00D822FF" w:rsidP="00D822FF"/>
          <w:p w:rsidR="00D822FF" w:rsidRPr="00D822FF" w:rsidRDefault="00D822FF" w:rsidP="00D822FF">
            <w:r w:rsidRPr="00D822FF">
              <w:t>Head of School and Head of School Admin</w:t>
            </w:r>
          </w:p>
          <w:p w:rsidR="00D822FF" w:rsidRPr="00D822FF" w:rsidRDefault="00D822FF" w:rsidP="00D822FF"/>
          <w:p w:rsidR="002B222D" w:rsidRDefault="002B222D" w:rsidP="00D822FF"/>
          <w:p w:rsidR="002B222D" w:rsidRDefault="002B222D" w:rsidP="00D822FF"/>
          <w:p w:rsidR="002B222D" w:rsidRDefault="002B222D" w:rsidP="00D822FF"/>
          <w:p w:rsidR="00D822FF" w:rsidRPr="00D822FF" w:rsidRDefault="00D822FF" w:rsidP="00D822FF">
            <w:r w:rsidRPr="00D822FF">
              <w:t>Head of School with HR Partner</w:t>
            </w:r>
          </w:p>
          <w:p w:rsidR="00D822FF" w:rsidRPr="00D822FF" w:rsidRDefault="00D822FF" w:rsidP="00D822FF"/>
          <w:p w:rsidR="002B222D" w:rsidRDefault="002B222D" w:rsidP="00D822FF"/>
          <w:p w:rsidR="00D822FF" w:rsidRPr="00D822FF" w:rsidRDefault="00D822FF" w:rsidP="00D822FF">
            <w:r w:rsidRPr="00D822FF">
              <w:t xml:space="preserve">Head of School Admin with </w:t>
            </w:r>
          </w:p>
          <w:p w:rsidR="00D822FF" w:rsidRPr="00D822FF" w:rsidRDefault="00D822FF" w:rsidP="00D822FF">
            <w:r w:rsidRPr="00D822FF">
              <w:t>HR Partner</w:t>
            </w:r>
          </w:p>
          <w:p w:rsidR="00D822FF" w:rsidRPr="00D822FF" w:rsidRDefault="00D822FF" w:rsidP="00D822FF"/>
          <w:p w:rsidR="00D822FF" w:rsidRPr="00D822FF" w:rsidRDefault="00D822FF" w:rsidP="00D822FF"/>
          <w:p w:rsidR="00D822FF" w:rsidRPr="00D822FF" w:rsidRDefault="00D822FF" w:rsidP="00D822FF">
            <w:r w:rsidRPr="00D822FF">
              <w:t>Head of School Admin and School Office Manager</w:t>
            </w:r>
          </w:p>
          <w:p w:rsidR="00D822FF" w:rsidRPr="00D822FF" w:rsidRDefault="00D822FF" w:rsidP="00D822FF"/>
          <w:p w:rsidR="00D822FF" w:rsidRPr="00D822FF" w:rsidRDefault="00D822FF" w:rsidP="00D822FF"/>
          <w:p w:rsidR="00D822FF" w:rsidRPr="00D822FF" w:rsidRDefault="00D822FF" w:rsidP="00D822FF">
            <w:r w:rsidRPr="00D822FF">
              <w:t>As above</w:t>
            </w:r>
          </w:p>
        </w:tc>
        <w:tc>
          <w:tcPr>
            <w:tcW w:w="2977" w:type="dxa"/>
            <w:tcBorders>
              <w:top w:val="single" w:sz="4" w:space="0" w:color="auto"/>
              <w:left w:val="single" w:sz="4" w:space="0" w:color="auto"/>
              <w:right w:val="single" w:sz="4" w:space="0" w:color="auto"/>
            </w:tcBorders>
          </w:tcPr>
          <w:p w:rsidR="00D822FF" w:rsidRPr="00D822FF" w:rsidRDefault="00D822FF" w:rsidP="00D822FF"/>
          <w:p w:rsidR="00D822FF" w:rsidRPr="00D822FF" w:rsidRDefault="00D822FF" w:rsidP="00D822FF"/>
          <w:p w:rsidR="00D822FF" w:rsidRPr="00D822FF" w:rsidRDefault="00D822FF" w:rsidP="00D822FF"/>
          <w:p w:rsidR="00D822FF" w:rsidRPr="00D822FF" w:rsidRDefault="00D822FF" w:rsidP="00D822FF">
            <w:r w:rsidRPr="00D822FF">
              <w:t>2015-16 academic year</w:t>
            </w:r>
          </w:p>
          <w:p w:rsidR="00D822FF" w:rsidRPr="00D822FF" w:rsidRDefault="00D822FF" w:rsidP="00D822FF"/>
          <w:p w:rsidR="00D822FF" w:rsidRPr="00D822FF" w:rsidRDefault="00D822FF" w:rsidP="00D822FF"/>
          <w:p w:rsidR="00D822FF" w:rsidRPr="00D822FF" w:rsidRDefault="00D822FF" w:rsidP="00D822FF"/>
          <w:p w:rsidR="002B222D" w:rsidRDefault="002B222D" w:rsidP="00D822FF"/>
          <w:p w:rsidR="002B222D" w:rsidRDefault="002B222D" w:rsidP="00D822FF"/>
          <w:p w:rsidR="002B222D" w:rsidRDefault="002B222D" w:rsidP="00D822FF"/>
          <w:p w:rsidR="00D822FF" w:rsidRPr="00D822FF" w:rsidRDefault="00D822FF" w:rsidP="00D822FF">
            <w:r w:rsidRPr="00D822FF">
              <w:t>Underway and on-going</w:t>
            </w:r>
          </w:p>
          <w:p w:rsidR="00D822FF" w:rsidRPr="00D822FF" w:rsidRDefault="00D822FF" w:rsidP="00D822FF"/>
          <w:p w:rsidR="00D822FF" w:rsidRPr="00D822FF" w:rsidRDefault="00D822FF" w:rsidP="00D822FF"/>
          <w:p w:rsidR="00D822FF" w:rsidRPr="00D822FF" w:rsidRDefault="00D822FF" w:rsidP="00D822FF"/>
          <w:p w:rsidR="00D822FF" w:rsidRPr="00D822FF" w:rsidRDefault="00D822FF" w:rsidP="00D822FF">
            <w:r w:rsidRPr="00D822FF">
              <w:t xml:space="preserve">On-going </w:t>
            </w:r>
          </w:p>
          <w:p w:rsidR="00D822FF" w:rsidRPr="00D822FF" w:rsidRDefault="00D822FF" w:rsidP="00D822FF"/>
          <w:p w:rsidR="00D822FF" w:rsidRPr="00D822FF" w:rsidRDefault="00D822FF" w:rsidP="00D822FF"/>
          <w:p w:rsidR="002B222D" w:rsidRDefault="002B222D" w:rsidP="00D822FF"/>
          <w:p w:rsidR="002B222D" w:rsidRDefault="002B222D" w:rsidP="00D822FF"/>
          <w:p w:rsidR="002B222D" w:rsidRDefault="002B222D" w:rsidP="00D822FF"/>
          <w:p w:rsidR="00D822FF" w:rsidRPr="00D822FF" w:rsidRDefault="00D822FF" w:rsidP="00D822FF">
            <w:r w:rsidRPr="00D822FF">
              <w:t>December 2015</w:t>
            </w:r>
          </w:p>
          <w:p w:rsidR="00D822FF" w:rsidRPr="00D822FF" w:rsidRDefault="00D822FF" w:rsidP="00D822FF"/>
          <w:p w:rsidR="00D822FF" w:rsidRPr="00D822FF" w:rsidRDefault="00D822FF" w:rsidP="00D822FF"/>
          <w:p w:rsidR="002B222D" w:rsidRDefault="002B222D" w:rsidP="00D822FF"/>
          <w:p w:rsidR="00D822FF" w:rsidRPr="00D822FF" w:rsidRDefault="00D822FF" w:rsidP="00D822FF">
            <w:r w:rsidRPr="00D822FF">
              <w:t>Achieved for 14-15, and will be updated for 15-16 academic year</w:t>
            </w:r>
          </w:p>
          <w:p w:rsidR="00D822FF" w:rsidRPr="00D822FF" w:rsidRDefault="00D822FF" w:rsidP="00D822FF"/>
          <w:p w:rsidR="00D822FF" w:rsidRPr="00D822FF" w:rsidRDefault="00D822FF" w:rsidP="00D822FF">
            <w:r w:rsidRPr="00D822FF">
              <w:t>15-16 academic year (HOSA will attend training on 1.7.15)</w:t>
            </w:r>
          </w:p>
          <w:p w:rsidR="00D822FF" w:rsidRPr="00D822FF" w:rsidRDefault="00D822FF" w:rsidP="00D822FF"/>
          <w:p w:rsidR="002B222D" w:rsidRDefault="002B222D" w:rsidP="00D822FF"/>
          <w:p w:rsidR="00D822FF" w:rsidRPr="00D822FF" w:rsidRDefault="00D822FF" w:rsidP="00D822FF">
            <w:r w:rsidRPr="00D822FF">
              <w:t>15 – 16 academic year</w:t>
            </w:r>
          </w:p>
        </w:tc>
      </w:tr>
    </w:tbl>
    <w:p w:rsidR="002B222D" w:rsidRDefault="002B222D" w:rsidP="00D822FF">
      <w:pPr>
        <w:rPr>
          <w:b/>
        </w:rPr>
      </w:pPr>
    </w:p>
    <w:p w:rsidR="00D822FF" w:rsidRPr="00D822FF" w:rsidRDefault="00D822FF" w:rsidP="00D822FF">
      <w:pPr>
        <w:rPr>
          <w:b/>
        </w:rPr>
      </w:pPr>
      <w:r w:rsidRPr="00D822FF">
        <w:rPr>
          <w:b/>
        </w:rPr>
        <w:t xml:space="preserve">Overview of School of Arts, Languages and Cultures Equality and Diversity Data  </w:t>
      </w:r>
    </w:p>
    <w:p w:rsidR="00D822FF" w:rsidRPr="00D822FF" w:rsidRDefault="00D822FF" w:rsidP="00D822FF">
      <w:pPr>
        <w:rPr>
          <w:b/>
          <w:u w:val="single"/>
        </w:rPr>
      </w:pPr>
      <w:r w:rsidRPr="00D822FF">
        <w:rPr>
          <w:b/>
          <w:u w:val="single"/>
        </w:rPr>
        <w:t>Summary</w:t>
      </w:r>
    </w:p>
    <w:p w:rsidR="00D822FF" w:rsidRPr="00D822FF" w:rsidRDefault="00D822FF" w:rsidP="00D822FF">
      <w:r w:rsidRPr="00D822FF">
        <w:t xml:space="preserve">Overall, the School’s staff profile is not that dissimilar to the Faculty as a whole (in fact the number of female Professors in particular is favourable in the School). The student profile seems to indicate a higher than Faculty average number of white UK students. </w:t>
      </w:r>
    </w:p>
    <w:p w:rsidR="00D822FF" w:rsidRPr="00D822FF" w:rsidRDefault="00D822FF" w:rsidP="002B222D">
      <w:pPr>
        <w:jc w:val="both"/>
      </w:pPr>
      <w:r w:rsidRPr="00D822FF">
        <w:lastRenderedPageBreak/>
        <w:t xml:space="preserve">The number of ‘Teaching Only’ staff is being investigated by the E&amp;D team to determine if Language Tutors are included in this figure which would then distort the ‘progression / pipeline’ analysis throughout the academic structure. </w:t>
      </w:r>
    </w:p>
    <w:p w:rsidR="00D822FF" w:rsidRPr="00D822FF" w:rsidRDefault="00D822FF" w:rsidP="00D822FF">
      <w:pPr>
        <w:rPr>
          <w:b/>
          <w:u w:val="single"/>
        </w:rPr>
      </w:pPr>
      <w:r w:rsidRPr="00D822FF">
        <w:rPr>
          <w:b/>
          <w:u w:val="single"/>
        </w:rPr>
        <w:t>Gender</w:t>
      </w:r>
    </w:p>
    <w:p w:rsidR="00D822FF" w:rsidRPr="00D822FF" w:rsidRDefault="00D822FF" w:rsidP="00D822FF">
      <w:pPr>
        <w:rPr>
          <w:b/>
        </w:rPr>
      </w:pPr>
      <w:r w:rsidRPr="00D822FF">
        <w:rPr>
          <w:b/>
        </w:rPr>
        <w:t>Academic and Research</w:t>
      </w:r>
    </w:p>
    <w:p w:rsidR="00D822FF" w:rsidRPr="00D822FF" w:rsidRDefault="00D822FF" w:rsidP="002B222D">
      <w:pPr>
        <w:jc w:val="both"/>
      </w:pPr>
      <w:r w:rsidRPr="00D822FF">
        <w:t>SALC has a higher level of female staff at all academic levels.  Progression is similar to the Faculty average.   There is a strong culture of support via PDR and promotions processes in SALC which helps to achieve this rate.  Women are encouraged, via their Heads of Division, to come forward for promotion.  37% of Professors are female, split across each subject area – this is the highest in the Faculty. Three out of seven Heads of Division; and three out of six Directors in SALC are women which represents a high proportion of women in senior leadership positions in the School. The former Chair of the School Board is also female.</w:t>
      </w:r>
    </w:p>
    <w:p w:rsidR="00D822FF" w:rsidRPr="00D822FF" w:rsidRDefault="00D822FF" w:rsidP="00D822FF">
      <w:pPr>
        <w:rPr>
          <w:b/>
        </w:rPr>
      </w:pPr>
      <w:r w:rsidRPr="00D822FF">
        <w:rPr>
          <w:b/>
        </w:rPr>
        <w:t>PSS</w:t>
      </w:r>
    </w:p>
    <w:p w:rsidR="00D822FF" w:rsidRPr="00D822FF" w:rsidRDefault="00D822FF" w:rsidP="002B222D">
      <w:pPr>
        <w:jc w:val="both"/>
      </w:pPr>
      <w:r w:rsidRPr="00D822FF">
        <w:t xml:space="preserve">In line with the other Schools, a high proportion of PSS staff </w:t>
      </w:r>
      <w:proofErr w:type="gramStart"/>
      <w:r w:rsidRPr="00D822FF">
        <w:t>are</w:t>
      </w:r>
      <w:proofErr w:type="gramEnd"/>
      <w:r w:rsidRPr="00D822FF">
        <w:t xml:space="preserve"> female.  There are non-male members of PSS staff at Grade 7 or above, but there are only 6 (out of 85 staff) in these grades in total. This is comparable to other Schools (except MBS).</w:t>
      </w:r>
    </w:p>
    <w:p w:rsidR="00D822FF" w:rsidRPr="00D822FF" w:rsidRDefault="00D822FF" w:rsidP="00D822FF">
      <w:pPr>
        <w:rPr>
          <w:b/>
        </w:rPr>
      </w:pPr>
      <w:r w:rsidRPr="00D822FF">
        <w:rPr>
          <w:b/>
        </w:rPr>
        <w:t>Students</w:t>
      </w:r>
    </w:p>
    <w:p w:rsidR="00D822FF" w:rsidRPr="00D822FF" w:rsidRDefault="00D822FF" w:rsidP="002B222D">
      <w:pPr>
        <w:jc w:val="both"/>
      </w:pPr>
      <w:r w:rsidRPr="00D822FF">
        <w:t>The majority of SALC students at all levels are female:  UG – 62%, PGT – 69% and PGR 61%.  This is higher than the other schools. It is encouraging that the figures at all levels are quite balanced.</w:t>
      </w:r>
    </w:p>
    <w:p w:rsidR="00D822FF" w:rsidRPr="00D822FF" w:rsidRDefault="00D822FF" w:rsidP="00D822FF">
      <w:pPr>
        <w:rPr>
          <w:b/>
          <w:u w:val="single"/>
        </w:rPr>
      </w:pPr>
      <w:r w:rsidRPr="00D822FF">
        <w:rPr>
          <w:b/>
          <w:u w:val="single"/>
        </w:rPr>
        <w:t>BME</w:t>
      </w:r>
    </w:p>
    <w:p w:rsidR="00D822FF" w:rsidRPr="00D822FF" w:rsidRDefault="00D822FF" w:rsidP="002B222D">
      <w:pPr>
        <w:jc w:val="both"/>
      </w:pPr>
      <w:r w:rsidRPr="00D822FF">
        <w:t>The School is challenged by a structural issue in this area as it has hardly any BME staff to begin with, making it particularly difficult therefore to address this. All academic posts are advertised internationally and it is hoped that over time, BME staff will be recruited and retained. The School’s commitment to `internationalisation’ should help the diversification of the overseas student base.</w:t>
      </w:r>
    </w:p>
    <w:p w:rsidR="00D822FF" w:rsidRPr="00D822FF" w:rsidRDefault="00D822FF" w:rsidP="00D822FF">
      <w:pPr>
        <w:rPr>
          <w:b/>
        </w:rPr>
      </w:pPr>
      <w:r w:rsidRPr="00D822FF">
        <w:rPr>
          <w:b/>
        </w:rPr>
        <w:t>Academic and Research</w:t>
      </w:r>
    </w:p>
    <w:p w:rsidR="00D822FF" w:rsidRPr="00D822FF" w:rsidRDefault="00D822FF" w:rsidP="002B222D">
      <w:pPr>
        <w:jc w:val="both"/>
      </w:pPr>
      <w:r w:rsidRPr="00D822FF">
        <w:t>SALCs numbers of BME staff are lower than the Faculty average at all levels. (SALC 12% - 10% - 6% compared to Faculty 15% - 12% - 10%).  The ‘drop’ in numbers as colleagues progress through the academic career structure is also slightly more marked.</w:t>
      </w:r>
    </w:p>
    <w:p w:rsidR="00D822FF" w:rsidRPr="00D822FF" w:rsidRDefault="00D822FF" w:rsidP="00D822FF">
      <w:pPr>
        <w:rPr>
          <w:b/>
        </w:rPr>
      </w:pPr>
      <w:r w:rsidRPr="00D822FF">
        <w:rPr>
          <w:b/>
        </w:rPr>
        <w:t>PSS</w:t>
      </w:r>
    </w:p>
    <w:p w:rsidR="00D822FF" w:rsidRPr="00D822FF" w:rsidRDefault="00D822FF" w:rsidP="002B222D">
      <w:pPr>
        <w:jc w:val="both"/>
      </w:pPr>
      <w:r w:rsidRPr="00D822FF">
        <w:t>The numbers of BME PSS staff is similar to the Faculty which is about 3-4%. The number of BME staff at Grade 7 and above looks impressive at 20% but this is distorted as it is still a small sample and only actually means an individual count of 1.</w:t>
      </w:r>
    </w:p>
    <w:p w:rsidR="00D822FF" w:rsidRPr="00D822FF" w:rsidRDefault="00D822FF" w:rsidP="00D822FF">
      <w:pPr>
        <w:rPr>
          <w:b/>
        </w:rPr>
      </w:pPr>
      <w:r w:rsidRPr="00D822FF">
        <w:rPr>
          <w:b/>
        </w:rPr>
        <w:t>Students</w:t>
      </w:r>
    </w:p>
    <w:p w:rsidR="00D822FF" w:rsidRPr="00D822FF" w:rsidRDefault="00D822FF" w:rsidP="002B222D">
      <w:pPr>
        <w:jc w:val="both"/>
      </w:pPr>
      <w:r w:rsidRPr="00D822FF">
        <w:t>As mentioned in the summary we have a high proportion of UK white students, at all levels.  UG – 78%, PGT – 62% PGR -64%</w:t>
      </w:r>
    </w:p>
    <w:p w:rsidR="00D822FF" w:rsidRPr="00D822FF" w:rsidRDefault="00D822FF" w:rsidP="00D822FF">
      <w:pPr>
        <w:rPr>
          <w:b/>
          <w:u w:val="single"/>
        </w:rPr>
      </w:pPr>
      <w:r w:rsidRPr="00D822FF">
        <w:rPr>
          <w:b/>
          <w:u w:val="single"/>
        </w:rPr>
        <w:lastRenderedPageBreak/>
        <w:t>Pipelines</w:t>
      </w:r>
    </w:p>
    <w:p w:rsidR="00D822FF" w:rsidRPr="00D822FF" w:rsidRDefault="00D822FF" w:rsidP="002B222D">
      <w:pPr>
        <w:jc w:val="both"/>
      </w:pPr>
      <w:r w:rsidRPr="00D822FF">
        <w:t>The gender profiles from the staff and student pipeline data show an increase in the number of female lectures and this could indicate that the School’s appointment strategy reflects good practice. The School has more women on teaching focussed contracts than men (although many of these are on fixed term contracts). The School has a small number of teaching focussed posts overall.  The school is not restrictive in terms of allowing flexible working hours and this may support the strategy to increase the number of women in School academic posts.</w:t>
      </w:r>
    </w:p>
    <w:p w:rsidR="00D822FF" w:rsidRPr="00D822FF" w:rsidRDefault="00D822FF" w:rsidP="00D822FF">
      <w:r w:rsidRPr="00D822FF">
        <w:t>May 2015</w:t>
      </w:r>
    </w:p>
    <w:p w:rsidR="00D822FF" w:rsidRPr="00D822FF" w:rsidRDefault="00D822FF" w:rsidP="00D822FF"/>
    <w:p w:rsidR="00896E11" w:rsidRDefault="00896E11">
      <w:pPr>
        <w:rPr>
          <w:b/>
          <w:lang w:val="en-US"/>
        </w:rPr>
      </w:pPr>
      <w:r>
        <w:rPr>
          <w:b/>
          <w:lang w:val="en-US"/>
        </w:rPr>
        <w:br w:type="page"/>
      </w:r>
    </w:p>
    <w:p w:rsidR="00D822FF" w:rsidRPr="00D822FF" w:rsidRDefault="00D822FF" w:rsidP="00D822FF">
      <w:pPr>
        <w:rPr>
          <w:b/>
          <w:lang w:val="en-US"/>
        </w:rPr>
      </w:pPr>
      <w:r w:rsidRPr="00D822FF">
        <w:rPr>
          <w:b/>
          <w:lang w:val="en-US"/>
        </w:rPr>
        <w:lastRenderedPageBreak/>
        <w:t>1.2</w:t>
      </w:r>
      <w:r w:rsidRPr="00D822FF">
        <w:rPr>
          <w:b/>
          <w:lang w:val="en-US"/>
        </w:rPr>
        <w:tab/>
        <w:t>School of Environment, Education and Development</w:t>
      </w:r>
    </w:p>
    <w:p w:rsidR="00D822FF" w:rsidRPr="00D822FF" w:rsidRDefault="00D822FF" w:rsidP="00D822FF">
      <w:pPr>
        <w:rPr>
          <w:b/>
          <w:lang w:val="en-US"/>
        </w:rPr>
      </w:pPr>
      <w:r w:rsidRPr="00D822FF">
        <w:rPr>
          <w:b/>
          <w:lang w:val="en-US"/>
        </w:rPr>
        <w:t>SEED Equality and Diversity Action Plan – June 2015 update.</w:t>
      </w:r>
    </w:p>
    <w:p w:rsidR="00D822FF" w:rsidRPr="00D822FF" w:rsidRDefault="00D822FF" w:rsidP="00D822FF">
      <w:pPr>
        <w:rPr>
          <w:lang w:val="en-US"/>
        </w:rPr>
      </w:pPr>
      <w:r w:rsidRPr="00D822FF">
        <w:rPr>
          <w:lang w:val="en-US"/>
        </w:rPr>
        <w:t xml:space="preserve">Progress to date: the working party has identified three main areas for investigation: </w:t>
      </w:r>
    </w:p>
    <w:p w:rsidR="00D822FF" w:rsidRPr="00D822FF" w:rsidRDefault="00D822FF" w:rsidP="00D822FF">
      <w:pPr>
        <w:numPr>
          <w:ilvl w:val="0"/>
          <w:numId w:val="17"/>
        </w:numPr>
        <w:rPr>
          <w:lang w:val="en-US"/>
        </w:rPr>
      </w:pPr>
      <w:r w:rsidRPr="00D822FF">
        <w:rPr>
          <w:lang w:val="en-US"/>
        </w:rPr>
        <w:t xml:space="preserve">Appointment process for roles within Disciplines. </w:t>
      </w:r>
    </w:p>
    <w:p w:rsidR="00D822FF" w:rsidRPr="00D822FF" w:rsidRDefault="00D822FF" w:rsidP="00D822FF">
      <w:pPr>
        <w:numPr>
          <w:ilvl w:val="0"/>
          <w:numId w:val="17"/>
        </w:numPr>
        <w:rPr>
          <w:lang w:val="en-US"/>
        </w:rPr>
      </w:pPr>
      <w:r w:rsidRPr="00D822FF">
        <w:rPr>
          <w:lang w:val="en-US"/>
        </w:rPr>
        <w:t xml:space="preserve">The reading of a CV in relation to promotion and appointment criteria, and how this is supported by a code of conduct. </w:t>
      </w:r>
    </w:p>
    <w:p w:rsidR="00D822FF" w:rsidRPr="00D822FF" w:rsidRDefault="00D822FF" w:rsidP="00D822FF">
      <w:pPr>
        <w:numPr>
          <w:ilvl w:val="0"/>
          <w:numId w:val="17"/>
        </w:numPr>
        <w:rPr>
          <w:lang w:val="en-US"/>
        </w:rPr>
      </w:pPr>
      <w:r w:rsidRPr="00D822FF">
        <w:rPr>
          <w:lang w:val="en-US"/>
        </w:rPr>
        <w:t xml:space="preserve">Mentoring and networking in support of people and career profiles. </w:t>
      </w:r>
    </w:p>
    <w:p w:rsidR="00D822FF" w:rsidRPr="00D822FF" w:rsidRDefault="00D822FF" w:rsidP="002B222D">
      <w:pPr>
        <w:jc w:val="both"/>
        <w:rPr>
          <w:lang w:val="en-US"/>
        </w:rPr>
      </w:pPr>
      <w:r w:rsidRPr="00D822FF">
        <w:rPr>
          <w:lang w:val="en-US"/>
        </w:rPr>
        <w:t xml:space="preserve">Head of School has been briefed and a paper produced for discussion at SEED leadership team meeting. A Working Party meeting will take place before the summer to examine thinking, evidence and strategy so that we can then have an action plan for 2015-2016. </w:t>
      </w:r>
    </w:p>
    <w:tbl>
      <w:tblPr>
        <w:tblStyle w:val="TableGrid"/>
        <w:tblW w:w="9639" w:type="dxa"/>
        <w:tblInd w:w="-295" w:type="dxa"/>
        <w:tblLook w:val="04A0" w:firstRow="1" w:lastRow="0" w:firstColumn="1" w:lastColumn="0" w:noHBand="0" w:noVBand="1"/>
      </w:tblPr>
      <w:tblGrid>
        <w:gridCol w:w="2207"/>
        <w:gridCol w:w="3866"/>
        <w:gridCol w:w="3566"/>
      </w:tblGrid>
      <w:tr w:rsidR="00D822FF" w:rsidRPr="00D822FF" w:rsidTr="002B222D">
        <w:tc>
          <w:tcPr>
            <w:tcW w:w="2207" w:type="dxa"/>
          </w:tcPr>
          <w:p w:rsidR="00D822FF" w:rsidRPr="00D822FF" w:rsidRDefault="00D822FF" w:rsidP="00D822FF">
            <w:pPr>
              <w:spacing w:after="200" w:line="276" w:lineRule="auto"/>
              <w:rPr>
                <w:b/>
                <w:lang w:val="en-US"/>
              </w:rPr>
            </w:pPr>
            <w:r w:rsidRPr="00D822FF">
              <w:rPr>
                <w:b/>
                <w:lang w:val="en-US"/>
              </w:rPr>
              <w:t>Issue</w:t>
            </w:r>
          </w:p>
        </w:tc>
        <w:tc>
          <w:tcPr>
            <w:tcW w:w="3866" w:type="dxa"/>
          </w:tcPr>
          <w:p w:rsidR="00D822FF" w:rsidRPr="00D822FF" w:rsidRDefault="00D822FF" w:rsidP="00D822FF">
            <w:pPr>
              <w:spacing w:after="200" w:line="276" w:lineRule="auto"/>
              <w:rPr>
                <w:b/>
                <w:lang w:val="en-US"/>
              </w:rPr>
            </w:pPr>
            <w:r w:rsidRPr="00D822FF">
              <w:rPr>
                <w:b/>
                <w:lang w:val="en-US"/>
              </w:rPr>
              <w:t>Action</w:t>
            </w:r>
          </w:p>
        </w:tc>
        <w:tc>
          <w:tcPr>
            <w:tcW w:w="3566" w:type="dxa"/>
          </w:tcPr>
          <w:p w:rsidR="00D822FF" w:rsidRPr="00D822FF" w:rsidRDefault="00D822FF" w:rsidP="00D822FF">
            <w:pPr>
              <w:spacing w:after="200" w:line="276" w:lineRule="auto"/>
              <w:rPr>
                <w:b/>
                <w:lang w:val="en-US"/>
              </w:rPr>
            </w:pPr>
            <w:r w:rsidRPr="00D822FF">
              <w:rPr>
                <w:b/>
                <w:lang w:val="en-US"/>
              </w:rPr>
              <w:t>Report – June 2015</w:t>
            </w:r>
          </w:p>
        </w:tc>
      </w:tr>
      <w:tr w:rsidR="00D822FF" w:rsidRPr="00D822FF" w:rsidTr="002B222D">
        <w:trPr>
          <w:trHeight w:val="2323"/>
        </w:trPr>
        <w:tc>
          <w:tcPr>
            <w:tcW w:w="2207" w:type="dxa"/>
          </w:tcPr>
          <w:p w:rsidR="002B222D" w:rsidRDefault="00D822FF" w:rsidP="00D822FF">
            <w:pPr>
              <w:spacing w:after="200" w:line="276" w:lineRule="auto"/>
              <w:rPr>
                <w:b/>
                <w:lang w:val="en-US"/>
              </w:rPr>
            </w:pPr>
            <w:r w:rsidRPr="00D822FF">
              <w:rPr>
                <w:b/>
                <w:lang w:val="en-US"/>
              </w:rPr>
              <w:t>School Governance</w:t>
            </w:r>
          </w:p>
          <w:p w:rsidR="00D822FF" w:rsidRPr="002B222D" w:rsidRDefault="00D822FF" w:rsidP="00D822FF">
            <w:pPr>
              <w:spacing w:after="200" w:line="276" w:lineRule="auto"/>
              <w:rPr>
                <w:b/>
                <w:lang w:val="en-US"/>
              </w:rPr>
            </w:pPr>
            <w:r w:rsidRPr="00D822FF">
              <w:rPr>
                <w:lang w:val="en-US"/>
              </w:rPr>
              <w:t>Ensure that equality and diversity is embedded in the governance of the School</w:t>
            </w:r>
          </w:p>
        </w:tc>
        <w:tc>
          <w:tcPr>
            <w:tcW w:w="3866" w:type="dxa"/>
          </w:tcPr>
          <w:p w:rsidR="00D822FF" w:rsidRPr="00D822FF" w:rsidRDefault="00D822FF" w:rsidP="00D822FF">
            <w:pPr>
              <w:spacing w:after="200" w:line="276" w:lineRule="auto"/>
              <w:rPr>
                <w:lang w:val="en-US"/>
              </w:rPr>
            </w:pPr>
          </w:p>
          <w:p w:rsidR="00D822FF" w:rsidRPr="00D822FF" w:rsidRDefault="00D822FF" w:rsidP="00D822FF">
            <w:pPr>
              <w:spacing w:after="200" w:line="276" w:lineRule="auto"/>
              <w:rPr>
                <w:lang w:val="en-US"/>
              </w:rPr>
            </w:pPr>
            <w:r w:rsidRPr="00D822FF">
              <w:rPr>
                <w:lang w:val="en-US"/>
              </w:rPr>
              <w:t xml:space="preserve">All areas of the School should include Equality and Diversity on their meeting and planning agendas. </w:t>
            </w:r>
          </w:p>
        </w:tc>
        <w:tc>
          <w:tcPr>
            <w:tcW w:w="3566" w:type="dxa"/>
          </w:tcPr>
          <w:p w:rsidR="00D822FF" w:rsidRPr="00D822FF" w:rsidRDefault="00D822FF" w:rsidP="00D822FF">
            <w:pPr>
              <w:spacing w:after="200" w:line="276" w:lineRule="auto"/>
              <w:rPr>
                <w:lang w:val="en-US"/>
              </w:rPr>
            </w:pPr>
          </w:p>
          <w:p w:rsidR="00D822FF" w:rsidRPr="00D822FF" w:rsidRDefault="00D822FF" w:rsidP="00D822FF">
            <w:pPr>
              <w:spacing w:after="200" w:line="276" w:lineRule="auto"/>
              <w:rPr>
                <w:lang w:val="en-US"/>
              </w:rPr>
            </w:pPr>
            <w:r w:rsidRPr="00D822FF">
              <w:rPr>
                <w:lang w:val="en-US"/>
              </w:rPr>
              <w:t>Ongoing</w:t>
            </w:r>
          </w:p>
        </w:tc>
      </w:tr>
      <w:tr w:rsidR="00D822FF" w:rsidRPr="00D822FF" w:rsidTr="002B222D">
        <w:tc>
          <w:tcPr>
            <w:tcW w:w="2207" w:type="dxa"/>
          </w:tcPr>
          <w:p w:rsidR="00D822FF" w:rsidRPr="00D822FF" w:rsidRDefault="00D822FF" w:rsidP="00D822FF">
            <w:pPr>
              <w:spacing w:after="200" w:line="276" w:lineRule="auto"/>
              <w:rPr>
                <w:b/>
                <w:lang w:val="en-US"/>
              </w:rPr>
            </w:pPr>
            <w:r w:rsidRPr="00D822FF">
              <w:rPr>
                <w:b/>
                <w:lang w:val="en-US"/>
              </w:rPr>
              <w:t>School Culture and Practice</w:t>
            </w:r>
          </w:p>
          <w:p w:rsidR="00D822FF" w:rsidRPr="00D822FF" w:rsidRDefault="00D822FF" w:rsidP="00D822FF">
            <w:pPr>
              <w:spacing w:after="200" w:line="276" w:lineRule="auto"/>
              <w:rPr>
                <w:lang w:val="en-US"/>
              </w:rPr>
            </w:pPr>
            <w:r w:rsidRPr="00D822FF">
              <w:rPr>
                <w:lang w:val="en-US"/>
              </w:rPr>
              <w:t xml:space="preserve">To contribute to the development and trialing of a Code of Conduct to support the appointment and promotion/pay processes. </w:t>
            </w:r>
          </w:p>
          <w:p w:rsidR="00D822FF" w:rsidRPr="00D822FF" w:rsidRDefault="00D822FF" w:rsidP="00D822FF">
            <w:pPr>
              <w:spacing w:after="200" w:line="276" w:lineRule="auto"/>
              <w:rPr>
                <w:lang w:val="en-US"/>
              </w:rPr>
            </w:pPr>
            <w:r w:rsidRPr="00D822FF">
              <w:rPr>
                <w:lang w:val="en-US"/>
              </w:rPr>
              <w:t xml:space="preserve">To support practice through awareness and understanding of Faculty/University Policies. </w:t>
            </w:r>
          </w:p>
          <w:p w:rsidR="00D822FF" w:rsidRPr="00D822FF" w:rsidRDefault="00D822FF" w:rsidP="00D822FF">
            <w:pPr>
              <w:spacing w:after="200" w:line="276" w:lineRule="auto"/>
              <w:rPr>
                <w:lang w:val="en-US"/>
              </w:rPr>
            </w:pPr>
          </w:p>
        </w:tc>
        <w:tc>
          <w:tcPr>
            <w:tcW w:w="3866" w:type="dxa"/>
          </w:tcPr>
          <w:p w:rsidR="00D822FF" w:rsidRPr="00D822FF" w:rsidRDefault="00D822FF" w:rsidP="00D822FF">
            <w:pPr>
              <w:spacing w:after="200" w:line="276" w:lineRule="auto"/>
              <w:rPr>
                <w:lang w:val="en-US"/>
              </w:rPr>
            </w:pPr>
          </w:p>
          <w:p w:rsidR="002B222D" w:rsidRDefault="002B222D" w:rsidP="00D822FF">
            <w:pPr>
              <w:spacing w:after="200" w:line="276" w:lineRule="auto"/>
              <w:rPr>
                <w:lang w:val="en-US"/>
              </w:rPr>
            </w:pPr>
          </w:p>
          <w:p w:rsidR="00D822FF" w:rsidRPr="00D822FF" w:rsidRDefault="00D822FF" w:rsidP="00D822FF">
            <w:pPr>
              <w:spacing w:after="200" w:line="276" w:lineRule="auto"/>
              <w:rPr>
                <w:lang w:val="en-US"/>
              </w:rPr>
            </w:pPr>
            <w:r w:rsidRPr="00D822FF">
              <w:rPr>
                <w:lang w:val="en-US"/>
              </w:rPr>
              <w:t xml:space="preserve">Working Party to draft a code of conduct. </w:t>
            </w:r>
          </w:p>
          <w:p w:rsidR="002B222D" w:rsidRDefault="002B222D" w:rsidP="00D822FF">
            <w:pPr>
              <w:spacing w:after="200" w:line="276" w:lineRule="auto"/>
              <w:rPr>
                <w:lang w:val="en-US"/>
              </w:rPr>
            </w:pPr>
          </w:p>
          <w:p w:rsidR="002B222D" w:rsidRDefault="002B222D" w:rsidP="00D822FF">
            <w:pPr>
              <w:spacing w:after="200" w:line="276" w:lineRule="auto"/>
              <w:rPr>
                <w:lang w:val="en-US"/>
              </w:rPr>
            </w:pPr>
          </w:p>
          <w:p w:rsidR="002B222D" w:rsidRDefault="002B222D" w:rsidP="00D822FF">
            <w:pPr>
              <w:spacing w:after="200" w:line="276" w:lineRule="auto"/>
              <w:rPr>
                <w:lang w:val="en-US"/>
              </w:rPr>
            </w:pPr>
          </w:p>
          <w:p w:rsidR="00D822FF" w:rsidRPr="00D822FF" w:rsidRDefault="00D822FF" w:rsidP="00D822FF">
            <w:pPr>
              <w:spacing w:after="200" w:line="276" w:lineRule="auto"/>
              <w:rPr>
                <w:lang w:val="en-US"/>
              </w:rPr>
            </w:pPr>
            <w:r w:rsidRPr="00D822FF">
              <w:rPr>
                <w:lang w:val="en-US"/>
              </w:rPr>
              <w:t>Trialing of the Code of Conduct in appointment and promotion processes</w:t>
            </w:r>
          </w:p>
          <w:p w:rsidR="00D822FF" w:rsidRPr="00D822FF" w:rsidRDefault="00D822FF" w:rsidP="00D822FF">
            <w:pPr>
              <w:spacing w:after="200" w:line="276" w:lineRule="auto"/>
              <w:rPr>
                <w:lang w:val="en-US"/>
              </w:rPr>
            </w:pPr>
            <w:r w:rsidRPr="00D822FF">
              <w:rPr>
                <w:lang w:val="en-US"/>
              </w:rPr>
              <w:t>To have a space on Staff Intranet for Equality and Diversity that contains the Code of Conduct and the links to policies.</w:t>
            </w:r>
          </w:p>
          <w:p w:rsidR="00D822FF" w:rsidRPr="00D822FF" w:rsidRDefault="00D822FF" w:rsidP="00D822FF">
            <w:pPr>
              <w:spacing w:after="200" w:line="276" w:lineRule="auto"/>
              <w:rPr>
                <w:lang w:val="en-US"/>
              </w:rPr>
            </w:pPr>
            <w:r w:rsidRPr="00D822FF">
              <w:rPr>
                <w:lang w:val="en-US"/>
              </w:rPr>
              <w:t xml:space="preserve">Build this into staff and student induction processes and documentation. </w:t>
            </w:r>
          </w:p>
          <w:p w:rsidR="00D822FF" w:rsidRPr="00D822FF" w:rsidRDefault="00D822FF" w:rsidP="00D822FF">
            <w:pPr>
              <w:spacing w:after="200" w:line="276" w:lineRule="auto"/>
              <w:rPr>
                <w:lang w:val="en-US"/>
              </w:rPr>
            </w:pPr>
            <w:r w:rsidRPr="00D822FF">
              <w:rPr>
                <w:lang w:val="en-US"/>
              </w:rPr>
              <w:lastRenderedPageBreak/>
              <w:t xml:space="preserve">Build this into staff and student exiting data collection. </w:t>
            </w:r>
          </w:p>
        </w:tc>
        <w:tc>
          <w:tcPr>
            <w:tcW w:w="3566" w:type="dxa"/>
          </w:tcPr>
          <w:p w:rsidR="00D822FF" w:rsidRPr="00D822FF" w:rsidRDefault="00D822FF" w:rsidP="00D822FF">
            <w:pPr>
              <w:spacing w:after="200" w:line="276" w:lineRule="auto"/>
              <w:rPr>
                <w:lang w:val="en-US"/>
              </w:rPr>
            </w:pPr>
          </w:p>
          <w:p w:rsidR="00D822FF" w:rsidRPr="00D822FF" w:rsidRDefault="00D822FF" w:rsidP="00D822FF">
            <w:pPr>
              <w:spacing w:after="200" w:line="276" w:lineRule="auto"/>
              <w:rPr>
                <w:lang w:val="en-US"/>
              </w:rPr>
            </w:pPr>
          </w:p>
          <w:p w:rsidR="00D822FF" w:rsidRPr="00D822FF" w:rsidRDefault="00D822FF" w:rsidP="00D822FF">
            <w:pPr>
              <w:spacing w:after="200" w:line="276" w:lineRule="auto"/>
              <w:rPr>
                <w:lang w:val="en-US"/>
              </w:rPr>
            </w:pPr>
            <w:r w:rsidRPr="00D822FF">
              <w:rPr>
                <w:lang w:val="en-US"/>
              </w:rPr>
              <w:t xml:space="preserve">Working Party discussed and agreed that this is an important issue. To be discussed at June SEED Leadership Team meeting, and then taken forward in the next Working Party meeting.  </w:t>
            </w:r>
          </w:p>
          <w:p w:rsidR="00D822FF" w:rsidRPr="00D822FF" w:rsidRDefault="00D822FF" w:rsidP="00D822FF">
            <w:pPr>
              <w:spacing w:after="200" w:line="276" w:lineRule="auto"/>
              <w:rPr>
                <w:lang w:val="en-US"/>
              </w:rPr>
            </w:pPr>
            <w:r w:rsidRPr="00D822FF">
              <w:rPr>
                <w:lang w:val="en-US"/>
              </w:rPr>
              <w:t>Ongoing</w:t>
            </w:r>
          </w:p>
          <w:p w:rsidR="002B222D" w:rsidRDefault="002B222D" w:rsidP="00D822FF">
            <w:pPr>
              <w:spacing w:after="200" w:line="276" w:lineRule="auto"/>
              <w:rPr>
                <w:lang w:val="en-US"/>
              </w:rPr>
            </w:pPr>
          </w:p>
          <w:p w:rsidR="00D822FF" w:rsidRPr="00D822FF" w:rsidRDefault="00D822FF" w:rsidP="00D822FF">
            <w:pPr>
              <w:spacing w:after="200" w:line="276" w:lineRule="auto"/>
              <w:rPr>
                <w:lang w:val="en-US"/>
              </w:rPr>
            </w:pPr>
            <w:r w:rsidRPr="00D822FF">
              <w:rPr>
                <w:lang w:val="en-US"/>
              </w:rPr>
              <w:t>Ongoing</w:t>
            </w:r>
          </w:p>
          <w:p w:rsidR="00D822FF" w:rsidRPr="00D822FF" w:rsidRDefault="00D822FF" w:rsidP="00D822FF">
            <w:pPr>
              <w:spacing w:after="200" w:line="276" w:lineRule="auto"/>
              <w:rPr>
                <w:lang w:val="en-US"/>
              </w:rPr>
            </w:pPr>
          </w:p>
          <w:p w:rsidR="002B222D" w:rsidRDefault="002B222D" w:rsidP="00D822FF">
            <w:pPr>
              <w:spacing w:after="200" w:line="276" w:lineRule="auto"/>
              <w:rPr>
                <w:lang w:val="en-US"/>
              </w:rPr>
            </w:pPr>
          </w:p>
          <w:p w:rsidR="00D822FF" w:rsidRPr="00D822FF" w:rsidRDefault="00D822FF" w:rsidP="00D822FF">
            <w:pPr>
              <w:spacing w:after="200" w:line="276" w:lineRule="auto"/>
              <w:rPr>
                <w:lang w:val="en-US"/>
              </w:rPr>
            </w:pPr>
            <w:r w:rsidRPr="00D822FF">
              <w:rPr>
                <w:lang w:val="en-US"/>
              </w:rPr>
              <w:t>Ongoing</w:t>
            </w:r>
          </w:p>
        </w:tc>
      </w:tr>
      <w:tr w:rsidR="00D822FF" w:rsidRPr="00D822FF" w:rsidTr="002B222D">
        <w:tc>
          <w:tcPr>
            <w:tcW w:w="2207" w:type="dxa"/>
          </w:tcPr>
          <w:p w:rsidR="00D822FF" w:rsidRPr="00D822FF" w:rsidRDefault="00D822FF" w:rsidP="00D822FF">
            <w:pPr>
              <w:spacing w:after="200" w:line="276" w:lineRule="auto"/>
              <w:rPr>
                <w:b/>
                <w:lang w:val="en-US"/>
              </w:rPr>
            </w:pPr>
            <w:r w:rsidRPr="00D822FF">
              <w:rPr>
                <w:b/>
                <w:lang w:val="en-US"/>
              </w:rPr>
              <w:lastRenderedPageBreak/>
              <w:t>Data collection and monitoring</w:t>
            </w:r>
          </w:p>
          <w:p w:rsidR="00D822FF" w:rsidRPr="00D822FF" w:rsidRDefault="00D822FF" w:rsidP="00D822FF">
            <w:pPr>
              <w:spacing w:after="200" w:line="276" w:lineRule="auto"/>
              <w:rPr>
                <w:lang w:val="en-US"/>
              </w:rPr>
            </w:pPr>
            <w:r w:rsidRPr="00D822FF">
              <w:rPr>
                <w:lang w:val="en-US"/>
              </w:rPr>
              <w:t>To use existing data and to improve data collection to support Equality and Diversity monitoring and planning</w:t>
            </w:r>
          </w:p>
        </w:tc>
        <w:tc>
          <w:tcPr>
            <w:tcW w:w="3866" w:type="dxa"/>
          </w:tcPr>
          <w:p w:rsidR="00D822FF" w:rsidRPr="00D822FF" w:rsidRDefault="00D822FF" w:rsidP="00D822FF">
            <w:pPr>
              <w:spacing w:after="200" w:line="276" w:lineRule="auto"/>
              <w:rPr>
                <w:lang w:val="en-US"/>
              </w:rPr>
            </w:pPr>
          </w:p>
          <w:p w:rsidR="002B222D" w:rsidRDefault="002B222D" w:rsidP="00D822FF">
            <w:pPr>
              <w:spacing w:after="200" w:line="276" w:lineRule="auto"/>
              <w:rPr>
                <w:lang w:val="en-US"/>
              </w:rPr>
            </w:pPr>
          </w:p>
          <w:p w:rsidR="00D822FF" w:rsidRPr="00D822FF" w:rsidRDefault="00D822FF" w:rsidP="00D822FF">
            <w:pPr>
              <w:spacing w:after="200" w:line="276" w:lineRule="auto"/>
              <w:rPr>
                <w:lang w:val="en-US"/>
              </w:rPr>
            </w:pPr>
            <w:r w:rsidRPr="00D822FF">
              <w:rPr>
                <w:lang w:val="en-US"/>
              </w:rPr>
              <w:t>To conduct an annual review and update of the report.</w:t>
            </w:r>
          </w:p>
        </w:tc>
        <w:tc>
          <w:tcPr>
            <w:tcW w:w="3566" w:type="dxa"/>
          </w:tcPr>
          <w:p w:rsidR="00D822FF" w:rsidRPr="00D822FF" w:rsidRDefault="00D822FF" w:rsidP="00D822FF">
            <w:pPr>
              <w:spacing w:after="200" w:line="276" w:lineRule="auto"/>
              <w:rPr>
                <w:lang w:val="en-US"/>
              </w:rPr>
            </w:pPr>
          </w:p>
          <w:p w:rsidR="00D822FF" w:rsidRPr="00D822FF" w:rsidRDefault="00D822FF" w:rsidP="00D822FF">
            <w:pPr>
              <w:spacing w:after="200" w:line="276" w:lineRule="auto"/>
              <w:rPr>
                <w:lang w:val="en-US"/>
              </w:rPr>
            </w:pPr>
            <w:r w:rsidRPr="00D822FF">
              <w:rPr>
                <w:lang w:val="en-US"/>
              </w:rPr>
              <w:t xml:space="preserve"> </w:t>
            </w:r>
          </w:p>
          <w:p w:rsidR="00D822FF" w:rsidRPr="00D822FF" w:rsidRDefault="00D822FF" w:rsidP="00D822FF">
            <w:pPr>
              <w:spacing w:after="200" w:line="276" w:lineRule="auto"/>
              <w:rPr>
                <w:lang w:val="en-US"/>
              </w:rPr>
            </w:pPr>
            <w:r w:rsidRPr="00D822FF">
              <w:rPr>
                <w:lang w:val="en-US"/>
              </w:rPr>
              <w:t>Ongoing</w:t>
            </w:r>
          </w:p>
        </w:tc>
      </w:tr>
      <w:tr w:rsidR="00D822FF" w:rsidRPr="00D822FF" w:rsidTr="002B222D">
        <w:tc>
          <w:tcPr>
            <w:tcW w:w="2207" w:type="dxa"/>
          </w:tcPr>
          <w:p w:rsidR="00D822FF" w:rsidRPr="00D822FF" w:rsidRDefault="00D822FF" w:rsidP="00D822FF">
            <w:pPr>
              <w:spacing w:after="200" w:line="276" w:lineRule="auto"/>
              <w:rPr>
                <w:b/>
                <w:lang w:val="en-US"/>
              </w:rPr>
            </w:pPr>
            <w:r w:rsidRPr="00D822FF">
              <w:rPr>
                <w:b/>
                <w:lang w:val="en-US"/>
              </w:rPr>
              <w:t>Appointment Processes</w:t>
            </w:r>
          </w:p>
          <w:p w:rsidR="00D822FF" w:rsidRPr="00D822FF" w:rsidRDefault="00D822FF" w:rsidP="00D822FF">
            <w:pPr>
              <w:spacing w:after="200" w:line="276" w:lineRule="auto"/>
              <w:rPr>
                <w:lang w:val="en-US"/>
              </w:rPr>
            </w:pPr>
            <w:r w:rsidRPr="00D822FF">
              <w:rPr>
                <w:lang w:val="en-US"/>
              </w:rPr>
              <w:t xml:space="preserve">To focus on this as a key area of action. </w:t>
            </w:r>
          </w:p>
        </w:tc>
        <w:tc>
          <w:tcPr>
            <w:tcW w:w="3866" w:type="dxa"/>
          </w:tcPr>
          <w:p w:rsidR="00D822FF" w:rsidRPr="00D822FF" w:rsidRDefault="00D822FF" w:rsidP="00D822FF">
            <w:pPr>
              <w:spacing w:after="200" w:line="276" w:lineRule="auto"/>
              <w:rPr>
                <w:lang w:val="en-US"/>
              </w:rPr>
            </w:pPr>
          </w:p>
          <w:p w:rsidR="00D822FF" w:rsidRPr="00D822FF" w:rsidRDefault="00D822FF" w:rsidP="00D822FF">
            <w:pPr>
              <w:spacing w:after="200" w:line="276" w:lineRule="auto"/>
              <w:rPr>
                <w:lang w:val="en-US"/>
              </w:rPr>
            </w:pPr>
            <w:r w:rsidRPr="00D822FF">
              <w:rPr>
                <w:lang w:val="en-US"/>
              </w:rPr>
              <w:t>To closely monitor the appointment process, and to provide a specific report with recommendations.</w:t>
            </w:r>
          </w:p>
        </w:tc>
        <w:tc>
          <w:tcPr>
            <w:tcW w:w="3566" w:type="dxa"/>
          </w:tcPr>
          <w:p w:rsidR="00D822FF" w:rsidRPr="00D822FF" w:rsidRDefault="00D822FF" w:rsidP="00D822FF">
            <w:pPr>
              <w:spacing w:after="200" w:line="276" w:lineRule="auto"/>
              <w:rPr>
                <w:lang w:val="en-US"/>
              </w:rPr>
            </w:pPr>
          </w:p>
          <w:p w:rsidR="00D822FF" w:rsidRPr="00D822FF" w:rsidRDefault="00D822FF" w:rsidP="00D822FF">
            <w:pPr>
              <w:spacing w:after="200" w:line="276" w:lineRule="auto"/>
              <w:rPr>
                <w:lang w:val="en-US"/>
              </w:rPr>
            </w:pPr>
            <w:r w:rsidRPr="00D822FF">
              <w:rPr>
                <w:lang w:val="en-US"/>
              </w:rPr>
              <w:t>Ongoing</w:t>
            </w:r>
          </w:p>
        </w:tc>
      </w:tr>
      <w:tr w:rsidR="00D822FF" w:rsidRPr="00D822FF" w:rsidTr="002B222D">
        <w:tc>
          <w:tcPr>
            <w:tcW w:w="2207" w:type="dxa"/>
          </w:tcPr>
          <w:p w:rsidR="00D822FF" w:rsidRPr="00D822FF" w:rsidRDefault="00D822FF" w:rsidP="00D822FF">
            <w:pPr>
              <w:spacing w:after="200" w:line="276" w:lineRule="auto"/>
              <w:rPr>
                <w:b/>
                <w:lang w:val="en-US"/>
              </w:rPr>
            </w:pPr>
            <w:r w:rsidRPr="00D822FF">
              <w:rPr>
                <w:b/>
                <w:lang w:val="en-US"/>
              </w:rPr>
              <w:t>Promotion/Pay Processes</w:t>
            </w:r>
          </w:p>
          <w:p w:rsidR="00D822FF" w:rsidRPr="00D822FF" w:rsidRDefault="00D822FF" w:rsidP="00D822FF">
            <w:pPr>
              <w:spacing w:after="200" w:line="276" w:lineRule="auto"/>
              <w:rPr>
                <w:lang w:val="en-US"/>
              </w:rPr>
            </w:pPr>
            <w:r w:rsidRPr="00D822FF">
              <w:rPr>
                <w:lang w:val="en-US"/>
              </w:rPr>
              <w:t xml:space="preserve">To focus on this as a key area of action. </w:t>
            </w:r>
          </w:p>
          <w:p w:rsidR="00D822FF" w:rsidRPr="00D822FF" w:rsidRDefault="00D822FF" w:rsidP="00D822FF">
            <w:pPr>
              <w:spacing w:after="200" w:line="276" w:lineRule="auto"/>
              <w:rPr>
                <w:lang w:val="en-US"/>
              </w:rPr>
            </w:pPr>
          </w:p>
        </w:tc>
        <w:tc>
          <w:tcPr>
            <w:tcW w:w="3866" w:type="dxa"/>
          </w:tcPr>
          <w:p w:rsidR="00D822FF" w:rsidRPr="00D822FF" w:rsidRDefault="00D822FF" w:rsidP="00D822FF">
            <w:pPr>
              <w:spacing w:after="200" w:line="276" w:lineRule="auto"/>
              <w:rPr>
                <w:lang w:val="en-US"/>
              </w:rPr>
            </w:pPr>
          </w:p>
          <w:p w:rsidR="00D822FF" w:rsidRPr="00D822FF" w:rsidRDefault="00D822FF" w:rsidP="00D822FF">
            <w:pPr>
              <w:spacing w:after="200" w:line="276" w:lineRule="auto"/>
              <w:rPr>
                <w:lang w:val="en-US"/>
              </w:rPr>
            </w:pPr>
            <w:r w:rsidRPr="00D822FF">
              <w:rPr>
                <w:lang w:val="en-US"/>
              </w:rPr>
              <w:t xml:space="preserve">To expand publicity for the 2015-2016 Academic Promotions round, with clear equality and diversity messages, and offering mentoring/support. </w:t>
            </w:r>
          </w:p>
          <w:p w:rsidR="00D822FF" w:rsidRPr="00D822FF" w:rsidRDefault="00D822FF" w:rsidP="00D822FF">
            <w:pPr>
              <w:spacing w:after="200" w:line="276" w:lineRule="auto"/>
              <w:rPr>
                <w:lang w:val="en-US"/>
              </w:rPr>
            </w:pPr>
            <w:r w:rsidRPr="00D822FF">
              <w:rPr>
                <w:lang w:val="en-US"/>
              </w:rPr>
              <w:t xml:space="preserve">To closely monitor 2015/16 promotion round with a view to putting in place a formalized mentoring system for - date. </w:t>
            </w:r>
          </w:p>
          <w:p w:rsidR="00D822FF" w:rsidRPr="00D822FF" w:rsidRDefault="00D822FF" w:rsidP="00D822FF">
            <w:pPr>
              <w:spacing w:after="200" w:line="276" w:lineRule="auto"/>
              <w:rPr>
                <w:lang w:val="en-US"/>
              </w:rPr>
            </w:pPr>
            <w:r w:rsidRPr="00D822FF">
              <w:rPr>
                <w:lang w:val="en-US"/>
              </w:rPr>
              <w:t xml:space="preserve">Review the application process for exceptional performance awards for academic and PSS. </w:t>
            </w:r>
          </w:p>
          <w:p w:rsidR="002B222D" w:rsidRDefault="002B222D" w:rsidP="00D822FF">
            <w:pPr>
              <w:spacing w:after="200" w:line="276" w:lineRule="auto"/>
              <w:rPr>
                <w:lang w:val="en-US"/>
              </w:rPr>
            </w:pPr>
          </w:p>
          <w:p w:rsidR="002B222D" w:rsidRDefault="002B222D" w:rsidP="00D822FF">
            <w:pPr>
              <w:spacing w:after="200" w:line="276" w:lineRule="auto"/>
              <w:rPr>
                <w:lang w:val="en-US"/>
              </w:rPr>
            </w:pPr>
          </w:p>
          <w:p w:rsidR="002B222D" w:rsidRDefault="002B222D" w:rsidP="00D822FF">
            <w:pPr>
              <w:spacing w:after="200" w:line="276" w:lineRule="auto"/>
              <w:rPr>
                <w:lang w:val="en-US"/>
              </w:rPr>
            </w:pPr>
          </w:p>
          <w:p w:rsidR="00D822FF" w:rsidRPr="00D822FF" w:rsidRDefault="00D822FF" w:rsidP="00D822FF">
            <w:pPr>
              <w:spacing w:after="200" w:line="276" w:lineRule="auto"/>
              <w:rPr>
                <w:lang w:val="en-US"/>
              </w:rPr>
            </w:pPr>
            <w:r w:rsidRPr="00D822FF">
              <w:rPr>
                <w:lang w:val="en-US"/>
              </w:rPr>
              <w:t xml:space="preserve">To undertake an equal pay review. </w:t>
            </w:r>
          </w:p>
          <w:p w:rsidR="00D822FF" w:rsidRPr="00D822FF" w:rsidRDefault="00D822FF" w:rsidP="00D822FF">
            <w:pPr>
              <w:spacing w:after="200" w:line="276" w:lineRule="auto"/>
              <w:rPr>
                <w:lang w:val="en-US"/>
              </w:rPr>
            </w:pPr>
            <w:r w:rsidRPr="00D822FF">
              <w:rPr>
                <w:lang w:val="en-US"/>
              </w:rPr>
              <w:t xml:space="preserve">To review role of PDR. </w:t>
            </w:r>
          </w:p>
        </w:tc>
        <w:tc>
          <w:tcPr>
            <w:tcW w:w="3566" w:type="dxa"/>
          </w:tcPr>
          <w:p w:rsidR="00D822FF" w:rsidRPr="00D822FF" w:rsidRDefault="00D822FF" w:rsidP="00D822FF">
            <w:pPr>
              <w:spacing w:after="200" w:line="276" w:lineRule="auto"/>
              <w:rPr>
                <w:lang w:val="en-US"/>
              </w:rPr>
            </w:pPr>
          </w:p>
          <w:p w:rsidR="00D822FF" w:rsidRPr="00D822FF" w:rsidRDefault="00D822FF" w:rsidP="00D822FF">
            <w:pPr>
              <w:spacing w:after="200" w:line="276" w:lineRule="auto"/>
              <w:rPr>
                <w:lang w:val="en-US"/>
              </w:rPr>
            </w:pPr>
            <w:r w:rsidRPr="00D822FF">
              <w:rPr>
                <w:lang w:val="en-US"/>
              </w:rPr>
              <w:t>Ongoing.</w:t>
            </w:r>
          </w:p>
          <w:p w:rsidR="00D822FF" w:rsidRPr="00D822FF" w:rsidRDefault="00D822FF" w:rsidP="00D822FF">
            <w:pPr>
              <w:spacing w:after="200" w:line="276" w:lineRule="auto"/>
              <w:rPr>
                <w:lang w:val="en-US"/>
              </w:rPr>
            </w:pPr>
          </w:p>
          <w:p w:rsidR="002B222D" w:rsidRDefault="002B222D" w:rsidP="00D822FF">
            <w:pPr>
              <w:spacing w:after="200" w:line="276" w:lineRule="auto"/>
              <w:rPr>
                <w:lang w:val="en-US"/>
              </w:rPr>
            </w:pPr>
          </w:p>
          <w:p w:rsidR="00D822FF" w:rsidRPr="00D822FF" w:rsidRDefault="00D822FF" w:rsidP="00D822FF">
            <w:pPr>
              <w:spacing w:after="200" w:line="276" w:lineRule="auto"/>
              <w:rPr>
                <w:lang w:val="en-US"/>
              </w:rPr>
            </w:pPr>
            <w:r w:rsidRPr="00D822FF">
              <w:rPr>
                <w:lang w:val="en-US"/>
              </w:rPr>
              <w:t xml:space="preserve">Ongoing. </w:t>
            </w:r>
          </w:p>
          <w:p w:rsidR="00D822FF" w:rsidRPr="00D822FF" w:rsidRDefault="00D822FF" w:rsidP="00D822FF">
            <w:pPr>
              <w:spacing w:after="200" w:line="276" w:lineRule="auto"/>
              <w:rPr>
                <w:lang w:val="en-US"/>
              </w:rPr>
            </w:pPr>
          </w:p>
          <w:p w:rsidR="002B222D" w:rsidRDefault="002B222D" w:rsidP="00D822FF">
            <w:pPr>
              <w:spacing w:after="200" w:line="276" w:lineRule="auto"/>
              <w:rPr>
                <w:lang w:val="en-US"/>
              </w:rPr>
            </w:pPr>
            <w:r>
              <w:rPr>
                <w:lang w:val="en-US"/>
              </w:rPr>
              <w:t>W</w:t>
            </w:r>
            <w:r w:rsidR="00D822FF" w:rsidRPr="00D822FF">
              <w:rPr>
                <w:lang w:val="en-US"/>
              </w:rPr>
              <w:t xml:space="preserve">orking Party has identified issue regarding the appointment of people to roles within a Discipline (e.g. coordinator roles for Teaching, Research). There seems to be different practices. Working party to examine this and to make recommendations. </w:t>
            </w:r>
          </w:p>
          <w:p w:rsidR="002B222D" w:rsidRDefault="00D822FF" w:rsidP="00D822FF">
            <w:pPr>
              <w:spacing w:after="200" w:line="276" w:lineRule="auto"/>
              <w:rPr>
                <w:lang w:val="en-US"/>
              </w:rPr>
            </w:pPr>
            <w:r w:rsidRPr="00D822FF">
              <w:rPr>
                <w:lang w:val="en-US"/>
              </w:rPr>
              <w:t xml:space="preserve">Faculty. </w:t>
            </w:r>
          </w:p>
          <w:p w:rsidR="002B222D" w:rsidRDefault="002B222D" w:rsidP="00D822FF">
            <w:pPr>
              <w:spacing w:after="200" w:line="276" w:lineRule="auto"/>
              <w:rPr>
                <w:lang w:val="en-US"/>
              </w:rPr>
            </w:pPr>
          </w:p>
          <w:p w:rsidR="00D822FF" w:rsidRPr="00D822FF" w:rsidRDefault="00D822FF" w:rsidP="00D822FF">
            <w:pPr>
              <w:spacing w:after="200" w:line="276" w:lineRule="auto"/>
              <w:rPr>
                <w:lang w:val="en-US"/>
              </w:rPr>
            </w:pPr>
            <w:r w:rsidRPr="00D822FF">
              <w:rPr>
                <w:lang w:val="en-US"/>
              </w:rPr>
              <w:t xml:space="preserve">To examine how the PDR process can ‘trigger’ the appointment of a mentor. </w:t>
            </w:r>
          </w:p>
        </w:tc>
      </w:tr>
      <w:tr w:rsidR="00D822FF" w:rsidRPr="00D822FF" w:rsidTr="002B222D">
        <w:tc>
          <w:tcPr>
            <w:tcW w:w="2207" w:type="dxa"/>
          </w:tcPr>
          <w:p w:rsidR="00D822FF" w:rsidRPr="00D822FF" w:rsidRDefault="00D822FF" w:rsidP="00D822FF">
            <w:pPr>
              <w:spacing w:after="200" w:line="276" w:lineRule="auto"/>
              <w:rPr>
                <w:b/>
                <w:lang w:val="en-US"/>
              </w:rPr>
            </w:pPr>
            <w:r w:rsidRPr="00D822FF">
              <w:rPr>
                <w:b/>
                <w:lang w:val="en-US"/>
              </w:rPr>
              <w:t xml:space="preserve">Training and </w:t>
            </w:r>
            <w:r w:rsidRPr="00D822FF">
              <w:rPr>
                <w:b/>
                <w:lang w:val="en-US"/>
              </w:rPr>
              <w:lastRenderedPageBreak/>
              <w:t>Development</w:t>
            </w:r>
          </w:p>
          <w:p w:rsidR="00D822FF" w:rsidRPr="00D822FF" w:rsidRDefault="00D822FF" w:rsidP="00D822FF">
            <w:pPr>
              <w:spacing w:after="200" w:line="276" w:lineRule="auto"/>
              <w:rPr>
                <w:lang w:val="en-US"/>
              </w:rPr>
            </w:pPr>
            <w:r w:rsidRPr="00D822FF">
              <w:rPr>
                <w:lang w:val="en-US"/>
              </w:rPr>
              <w:t xml:space="preserve">To provide generic and targeted training. </w:t>
            </w:r>
          </w:p>
          <w:p w:rsidR="00D822FF" w:rsidRPr="00D822FF" w:rsidRDefault="00D822FF" w:rsidP="00D822FF">
            <w:pPr>
              <w:spacing w:after="200" w:line="276" w:lineRule="auto"/>
              <w:rPr>
                <w:lang w:val="en-US"/>
              </w:rPr>
            </w:pPr>
          </w:p>
          <w:p w:rsidR="00D822FF" w:rsidRPr="00D822FF" w:rsidRDefault="00D822FF" w:rsidP="00D822FF">
            <w:pPr>
              <w:spacing w:after="200" w:line="276" w:lineRule="auto"/>
              <w:rPr>
                <w:lang w:val="en-US"/>
              </w:rPr>
            </w:pPr>
          </w:p>
          <w:p w:rsidR="00D822FF" w:rsidRPr="00D822FF" w:rsidRDefault="00D822FF" w:rsidP="00D822FF">
            <w:pPr>
              <w:spacing w:after="200" w:line="276" w:lineRule="auto"/>
              <w:rPr>
                <w:lang w:val="en-US"/>
              </w:rPr>
            </w:pPr>
          </w:p>
        </w:tc>
        <w:tc>
          <w:tcPr>
            <w:tcW w:w="3866" w:type="dxa"/>
          </w:tcPr>
          <w:p w:rsidR="00D822FF" w:rsidRPr="00D822FF" w:rsidRDefault="00D822FF" w:rsidP="00D822FF">
            <w:pPr>
              <w:spacing w:after="200" w:line="276" w:lineRule="auto"/>
              <w:rPr>
                <w:lang w:val="en-US"/>
              </w:rPr>
            </w:pPr>
          </w:p>
          <w:p w:rsidR="002B222D" w:rsidRDefault="002B222D" w:rsidP="00D822FF">
            <w:pPr>
              <w:spacing w:after="200" w:line="276" w:lineRule="auto"/>
              <w:rPr>
                <w:lang w:val="en-US"/>
              </w:rPr>
            </w:pPr>
          </w:p>
          <w:p w:rsidR="00D822FF" w:rsidRPr="00D822FF" w:rsidRDefault="00D822FF" w:rsidP="00D822FF">
            <w:pPr>
              <w:spacing w:after="200" w:line="276" w:lineRule="auto"/>
              <w:rPr>
                <w:lang w:val="en-US"/>
              </w:rPr>
            </w:pPr>
            <w:r w:rsidRPr="00D822FF">
              <w:rPr>
                <w:lang w:val="en-US"/>
              </w:rPr>
              <w:t xml:space="preserve">Undertake a needs audit for equality and diversity training. </w:t>
            </w:r>
          </w:p>
          <w:p w:rsidR="00D822FF" w:rsidRPr="00D822FF" w:rsidRDefault="00D822FF" w:rsidP="00D822FF">
            <w:pPr>
              <w:spacing w:after="200" w:line="276" w:lineRule="auto"/>
              <w:rPr>
                <w:lang w:val="en-US"/>
              </w:rPr>
            </w:pPr>
          </w:p>
          <w:p w:rsidR="00D822FF" w:rsidRPr="00D822FF" w:rsidRDefault="00D822FF" w:rsidP="00D822FF">
            <w:pPr>
              <w:spacing w:after="200" w:line="276" w:lineRule="auto"/>
              <w:rPr>
                <w:lang w:val="en-US"/>
              </w:rPr>
            </w:pPr>
          </w:p>
          <w:p w:rsidR="00D822FF" w:rsidRPr="00D822FF" w:rsidRDefault="00D822FF" w:rsidP="00D822FF">
            <w:pPr>
              <w:spacing w:after="200" w:line="276" w:lineRule="auto"/>
              <w:rPr>
                <w:lang w:val="en-US"/>
              </w:rPr>
            </w:pPr>
          </w:p>
          <w:p w:rsidR="00D822FF" w:rsidRPr="00D822FF" w:rsidRDefault="00D822FF" w:rsidP="00D822FF">
            <w:pPr>
              <w:spacing w:after="200" w:line="276" w:lineRule="auto"/>
              <w:rPr>
                <w:lang w:val="en-US"/>
              </w:rPr>
            </w:pPr>
          </w:p>
          <w:p w:rsidR="00D822FF" w:rsidRPr="00D822FF" w:rsidRDefault="00D822FF" w:rsidP="00D822FF">
            <w:pPr>
              <w:spacing w:after="200" w:line="276" w:lineRule="auto"/>
              <w:rPr>
                <w:lang w:val="en-US"/>
              </w:rPr>
            </w:pPr>
            <w:r w:rsidRPr="00D822FF">
              <w:rPr>
                <w:lang w:val="en-US"/>
              </w:rPr>
              <w:t xml:space="preserve">Provide training on unconscious bias for key roles in SEED, with the view to rolling this out across the School. </w:t>
            </w:r>
          </w:p>
        </w:tc>
        <w:tc>
          <w:tcPr>
            <w:tcW w:w="3566" w:type="dxa"/>
          </w:tcPr>
          <w:p w:rsidR="00D822FF" w:rsidRPr="00D822FF" w:rsidRDefault="00D822FF" w:rsidP="00D822FF">
            <w:pPr>
              <w:spacing w:after="200" w:line="276" w:lineRule="auto"/>
              <w:rPr>
                <w:lang w:val="en-US"/>
              </w:rPr>
            </w:pPr>
          </w:p>
          <w:p w:rsidR="00D822FF" w:rsidRPr="00D822FF" w:rsidRDefault="00D822FF" w:rsidP="00D822FF">
            <w:pPr>
              <w:spacing w:after="200" w:line="276" w:lineRule="auto"/>
              <w:rPr>
                <w:lang w:val="en-US"/>
              </w:rPr>
            </w:pPr>
          </w:p>
          <w:p w:rsidR="002B222D" w:rsidRDefault="00D822FF" w:rsidP="00D822FF">
            <w:pPr>
              <w:spacing w:after="200" w:line="276" w:lineRule="auto"/>
              <w:rPr>
                <w:lang w:val="en-US"/>
              </w:rPr>
            </w:pPr>
            <w:r w:rsidRPr="00D822FF">
              <w:rPr>
                <w:lang w:val="en-US"/>
              </w:rPr>
              <w:t xml:space="preserve">Working Party has identified issue regarding how </w:t>
            </w:r>
            <w:proofErr w:type="gramStart"/>
            <w:r w:rsidRPr="00D822FF">
              <w:rPr>
                <w:lang w:val="en-US"/>
              </w:rPr>
              <w:t>staff are</w:t>
            </w:r>
            <w:proofErr w:type="gramEnd"/>
            <w:r w:rsidRPr="00D822FF">
              <w:rPr>
                <w:lang w:val="en-US"/>
              </w:rPr>
              <w:t xml:space="preserve"> advised in regard to the technical aspects of promotion, and the preparation/career planning involved. We need to investigate what is available at Faculty, and what might be developed, and how this links to School level support. </w:t>
            </w:r>
          </w:p>
          <w:p w:rsidR="00D822FF" w:rsidRPr="00D822FF" w:rsidRDefault="00D822FF" w:rsidP="00D822FF">
            <w:pPr>
              <w:spacing w:after="200" w:line="276" w:lineRule="auto"/>
              <w:rPr>
                <w:lang w:val="en-US"/>
              </w:rPr>
            </w:pPr>
            <w:r w:rsidRPr="00D822FF">
              <w:rPr>
                <w:lang w:val="en-US"/>
              </w:rPr>
              <w:t xml:space="preserve">Faculty has this underway. </w:t>
            </w:r>
          </w:p>
        </w:tc>
      </w:tr>
    </w:tbl>
    <w:p w:rsidR="00D100AA" w:rsidRDefault="00D100AA" w:rsidP="00D822FF">
      <w:pPr>
        <w:rPr>
          <w:b/>
          <w:lang w:val="en-US"/>
        </w:rPr>
      </w:pPr>
    </w:p>
    <w:p w:rsidR="00D100AA" w:rsidRDefault="00D100AA" w:rsidP="00D822FF">
      <w:pPr>
        <w:rPr>
          <w:b/>
          <w:lang w:val="en-US"/>
        </w:rPr>
      </w:pPr>
    </w:p>
    <w:p w:rsidR="00896E11" w:rsidRDefault="00896E11">
      <w:pPr>
        <w:rPr>
          <w:b/>
          <w:lang w:val="en-US"/>
        </w:rPr>
      </w:pPr>
      <w:r>
        <w:rPr>
          <w:b/>
          <w:lang w:val="en-US"/>
        </w:rPr>
        <w:br w:type="page"/>
      </w:r>
    </w:p>
    <w:p w:rsidR="00D822FF" w:rsidRPr="00D822FF" w:rsidRDefault="00D822FF" w:rsidP="00D822FF">
      <w:pPr>
        <w:rPr>
          <w:b/>
          <w:lang w:val="en-US"/>
        </w:rPr>
      </w:pPr>
      <w:r w:rsidRPr="00D822FF">
        <w:rPr>
          <w:b/>
          <w:lang w:val="en-US"/>
        </w:rPr>
        <w:lastRenderedPageBreak/>
        <w:t>1.3</w:t>
      </w:r>
      <w:r w:rsidRPr="00D822FF">
        <w:rPr>
          <w:b/>
          <w:lang w:val="en-US"/>
        </w:rPr>
        <w:tab/>
        <w:t>School of Law</w:t>
      </w:r>
    </w:p>
    <w:p w:rsidR="00D822FF" w:rsidRPr="00D822FF" w:rsidRDefault="00D822FF" w:rsidP="00D822FF">
      <w:pPr>
        <w:rPr>
          <w:b/>
        </w:rPr>
      </w:pPr>
      <w:r w:rsidRPr="00D822FF">
        <w:rPr>
          <w:b/>
        </w:rPr>
        <w:t>Update on School of Law Equality and Diversity Working Group – to be read in conjunction with Work in Progress Spreadsheet</w:t>
      </w:r>
    </w:p>
    <w:p w:rsidR="00D822FF" w:rsidRPr="00D822FF" w:rsidRDefault="00D822FF" w:rsidP="00D822FF">
      <w:r w:rsidRPr="00D822FF">
        <w:t>The School of Law’s Equity and Diversity Working Group was established in November 2014. The group has representatives from all three discipline areas (Law, CSEP and Criminology), has representatives from the PSS, and is broadly representative in terms of gender and BME. The current membership of the group is:</w:t>
      </w:r>
    </w:p>
    <w:tbl>
      <w:tblPr>
        <w:tblW w:w="0" w:type="auto"/>
        <w:tblLook w:val="04A0" w:firstRow="1" w:lastRow="0" w:firstColumn="1" w:lastColumn="0" w:noHBand="0" w:noVBand="1"/>
      </w:tblPr>
      <w:tblGrid>
        <w:gridCol w:w="4621"/>
        <w:gridCol w:w="4621"/>
      </w:tblGrid>
      <w:tr w:rsidR="00D822FF" w:rsidRPr="00D822FF" w:rsidTr="00D822FF">
        <w:tc>
          <w:tcPr>
            <w:tcW w:w="4621" w:type="dxa"/>
          </w:tcPr>
          <w:p w:rsidR="00D822FF" w:rsidRPr="00D822FF" w:rsidRDefault="00D822FF" w:rsidP="00D822FF">
            <w:r w:rsidRPr="00D822FF">
              <w:t>Dr Carolyn Abbot</w:t>
            </w:r>
          </w:p>
        </w:tc>
        <w:tc>
          <w:tcPr>
            <w:tcW w:w="4621" w:type="dxa"/>
          </w:tcPr>
          <w:p w:rsidR="00D822FF" w:rsidRPr="00D822FF" w:rsidRDefault="00D822FF" w:rsidP="00D822FF">
            <w:r w:rsidRPr="00D822FF">
              <w:t>Chair (Law)</w:t>
            </w:r>
          </w:p>
        </w:tc>
      </w:tr>
      <w:tr w:rsidR="00D822FF" w:rsidRPr="00D822FF" w:rsidTr="00D822FF">
        <w:tc>
          <w:tcPr>
            <w:tcW w:w="4621" w:type="dxa"/>
          </w:tcPr>
          <w:p w:rsidR="00D822FF" w:rsidRPr="00D822FF" w:rsidRDefault="00D822FF" w:rsidP="00D822FF">
            <w:r w:rsidRPr="00D822FF">
              <w:rPr>
                <w:b/>
              </w:rPr>
              <w:t xml:space="preserve">Law Representatives: </w:t>
            </w:r>
          </w:p>
          <w:p w:rsidR="00D822FF" w:rsidRPr="00D822FF" w:rsidRDefault="00D822FF" w:rsidP="00D822FF">
            <w:r w:rsidRPr="00D822FF">
              <w:t>Dr Alan Cunningham</w:t>
            </w:r>
          </w:p>
          <w:p w:rsidR="00D822FF" w:rsidRPr="00D822FF" w:rsidRDefault="00D822FF" w:rsidP="00D822FF">
            <w:r w:rsidRPr="00D822FF">
              <w:t xml:space="preserve">Dr </w:t>
            </w:r>
            <w:proofErr w:type="spellStart"/>
            <w:r w:rsidRPr="00D822FF">
              <w:t>Yenkong</w:t>
            </w:r>
            <w:proofErr w:type="spellEnd"/>
            <w:r w:rsidRPr="00D822FF">
              <w:t xml:space="preserve"> </w:t>
            </w:r>
            <w:proofErr w:type="spellStart"/>
            <w:r w:rsidRPr="00D822FF">
              <w:t>Hodu</w:t>
            </w:r>
            <w:proofErr w:type="spellEnd"/>
          </w:p>
        </w:tc>
        <w:tc>
          <w:tcPr>
            <w:tcW w:w="4621" w:type="dxa"/>
          </w:tcPr>
          <w:p w:rsidR="00D822FF" w:rsidRPr="00D822FF" w:rsidRDefault="00D822FF" w:rsidP="00D822FF"/>
          <w:p w:rsidR="00D822FF" w:rsidRPr="00D822FF" w:rsidRDefault="00D822FF" w:rsidP="00D822FF">
            <w:r w:rsidRPr="00D822FF">
              <w:t>Lecturer</w:t>
            </w:r>
          </w:p>
          <w:p w:rsidR="00D822FF" w:rsidRPr="00D822FF" w:rsidRDefault="00D822FF" w:rsidP="00D822FF">
            <w:r w:rsidRPr="00D822FF">
              <w:t>Senior Lecturer</w:t>
            </w:r>
          </w:p>
        </w:tc>
      </w:tr>
      <w:tr w:rsidR="00D822FF" w:rsidRPr="00D822FF" w:rsidTr="00D822FF">
        <w:tc>
          <w:tcPr>
            <w:tcW w:w="4621" w:type="dxa"/>
          </w:tcPr>
          <w:p w:rsidR="00D822FF" w:rsidRPr="00D822FF" w:rsidRDefault="00D822FF" w:rsidP="00D822FF">
            <w:pPr>
              <w:rPr>
                <w:b/>
              </w:rPr>
            </w:pPr>
            <w:r w:rsidRPr="00D822FF">
              <w:rPr>
                <w:b/>
              </w:rPr>
              <w:t>Criminology Representatives</w:t>
            </w:r>
          </w:p>
          <w:p w:rsidR="00D822FF" w:rsidRPr="00D822FF" w:rsidRDefault="00D822FF" w:rsidP="00D822FF">
            <w:r w:rsidRPr="00D822FF">
              <w:t>Dr Judith Aldridge</w:t>
            </w:r>
          </w:p>
          <w:p w:rsidR="00D822FF" w:rsidRPr="00D822FF" w:rsidRDefault="00D822FF" w:rsidP="00D822FF">
            <w:r w:rsidRPr="00D822FF">
              <w:t>Dr Graham Smith</w:t>
            </w:r>
          </w:p>
          <w:p w:rsidR="00D822FF" w:rsidRPr="00D822FF" w:rsidRDefault="00D822FF" w:rsidP="00D822FF">
            <w:pPr>
              <w:rPr>
                <w:b/>
              </w:rPr>
            </w:pPr>
            <w:r w:rsidRPr="00D822FF">
              <w:t>Dr Rosemary Broad</w:t>
            </w:r>
          </w:p>
        </w:tc>
        <w:tc>
          <w:tcPr>
            <w:tcW w:w="4621" w:type="dxa"/>
          </w:tcPr>
          <w:p w:rsidR="00D822FF" w:rsidRPr="00D822FF" w:rsidRDefault="00D822FF" w:rsidP="00D822FF"/>
          <w:p w:rsidR="00D822FF" w:rsidRPr="00D822FF" w:rsidRDefault="00D822FF" w:rsidP="00D822FF">
            <w:r w:rsidRPr="00D822FF">
              <w:t>Senior Lecturer</w:t>
            </w:r>
          </w:p>
          <w:p w:rsidR="00D822FF" w:rsidRPr="00D822FF" w:rsidRDefault="00D822FF" w:rsidP="00D822FF">
            <w:r w:rsidRPr="00D822FF">
              <w:t>Senior Lecturer</w:t>
            </w:r>
          </w:p>
          <w:p w:rsidR="00D822FF" w:rsidRPr="00D822FF" w:rsidRDefault="00D822FF" w:rsidP="00D822FF">
            <w:r w:rsidRPr="00D822FF">
              <w:t>Lecturer</w:t>
            </w:r>
          </w:p>
        </w:tc>
      </w:tr>
      <w:tr w:rsidR="00D822FF" w:rsidRPr="00D822FF" w:rsidTr="00D822FF">
        <w:tc>
          <w:tcPr>
            <w:tcW w:w="4621" w:type="dxa"/>
          </w:tcPr>
          <w:p w:rsidR="00D822FF" w:rsidRPr="00D822FF" w:rsidRDefault="00D822FF" w:rsidP="00D822FF">
            <w:pPr>
              <w:rPr>
                <w:b/>
              </w:rPr>
            </w:pPr>
            <w:r w:rsidRPr="00D822FF">
              <w:rPr>
                <w:b/>
              </w:rPr>
              <w:t>CSEP Representatives</w:t>
            </w:r>
          </w:p>
          <w:p w:rsidR="00D822FF" w:rsidRPr="00D822FF" w:rsidRDefault="00D822FF" w:rsidP="00D822FF">
            <w:r w:rsidRPr="00D822FF">
              <w:t>Professor Becki Bennett</w:t>
            </w:r>
          </w:p>
          <w:p w:rsidR="00D822FF" w:rsidRPr="00D822FF" w:rsidRDefault="00D822FF" w:rsidP="00D822FF">
            <w:r w:rsidRPr="00D822FF">
              <w:t xml:space="preserve">Dr Alex </w:t>
            </w:r>
            <w:proofErr w:type="spellStart"/>
            <w:r w:rsidRPr="00D822FF">
              <w:t>Mullock</w:t>
            </w:r>
            <w:proofErr w:type="spellEnd"/>
          </w:p>
        </w:tc>
        <w:tc>
          <w:tcPr>
            <w:tcW w:w="4621" w:type="dxa"/>
          </w:tcPr>
          <w:p w:rsidR="00D822FF" w:rsidRPr="00D822FF" w:rsidRDefault="00D822FF" w:rsidP="00D822FF"/>
          <w:p w:rsidR="00D822FF" w:rsidRPr="00D822FF" w:rsidRDefault="00D822FF" w:rsidP="00D822FF">
            <w:r w:rsidRPr="00D822FF">
              <w:t>Professor</w:t>
            </w:r>
          </w:p>
          <w:p w:rsidR="00D822FF" w:rsidRPr="00D822FF" w:rsidRDefault="00D822FF" w:rsidP="00D822FF">
            <w:r w:rsidRPr="00D822FF">
              <w:t>Lecturer</w:t>
            </w:r>
          </w:p>
        </w:tc>
      </w:tr>
      <w:tr w:rsidR="00D822FF" w:rsidRPr="00D822FF" w:rsidTr="00D822FF">
        <w:tc>
          <w:tcPr>
            <w:tcW w:w="4621" w:type="dxa"/>
          </w:tcPr>
          <w:p w:rsidR="00D822FF" w:rsidRPr="00D822FF" w:rsidRDefault="00D822FF" w:rsidP="00D822FF">
            <w:pPr>
              <w:rPr>
                <w:b/>
              </w:rPr>
            </w:pPr>
            <w:r w:rsidRPr="00D822FF">
              <w:rPr>
                <w:b/>
              </w:rPr>
              <w:t>PSS Representatives:</w:t>
            </w:r>
          </w:p>
          <w:p w:rsidR="00D822FF" w:rsidRPr="00D822FF" w:rsidRDefault="00D822FF" w:rsidP="00D822FF">
            <w:r w:rsidRPr="00D822FF">
              <w:t xml:space="preserve">Ms Myra </w:t>
            </w:r>
            <w:proofErr w:type="spellStart"/>
            <w:r w:rsidRPr="00D822FF">
              <w:t>Knutton</w:t>
            </w:r>
            <w:proofErr w:type="spellEnd"/>
          </w:p>
          <w:p w:rsidR="00D822FF" w:rsidRPr="00D822FF" w:rsidRDefault="00D822FF" w:rsidP="00D822FF">
            <w:r w:rsidRPr="00D822FF">
              <w:t>Ms Ceri Wilson</w:t>
            </w:r>
          </w:p>
          <w:p w:rsidR="00D822FF" w:rsidRPr="00D822FF" w:rsidRDefault="00D822FF" w:rsidP="00D822FF">
            <w:r w:rsidRPr="00D822FF">
              <w:t xml:space="preserve">Ms </w:t>
            </w:r>
            <w:proofErr w:type="spellStart"/>
            <w:r w:rsidRPr="00D822FF">
              <w:t>Saba</w:t>
            </w:r>
            <w:proofErr w:type="spellEnd"/>
            <w:r w:rsidRPr="00D822FF">
              <w:t xml:space="preserve"> </w:t>
            </w:r>
            <w:proofErr w:type="spellStart"/>
            <w:r w:rsidRPr="00D822FF">
              <w:t>Mirshafiei</w:t>
            </w:r>
            <w:proofErr w:type="spellEnd"/>
          </w:p>
        </w:tc>
        <w:tc>
          <w:tcPr>
            <w:tcW w:w="4621" w:type="dxa"/>
          </w:tcPr>
          <w:p w:rsidR="00D822FF" w:rsidRPr="00D822FF" w:rsidRDefault="00D822FF" w:rsidP="00D822FF"/>
          <w:p w:rsidR="00D822FF" w:rsidRPr="00D822FF" w:rsidRDefault="00D822FF" w:rsidP="00D822FF">
            <w:r w:rsidRPr="00D822FF">
              <w:t>PGT Law Administrator</w:t>
            </w:r>
          </w:p>
          <w:p w:rsidR="00D822FF" w:rsidRPr="00D822FF" w:rsidRDefault="00D822FF" w:rsidP="00D822FF">
            <w:r w:rsidRPr="00D822FF">
              <w:t>Work and Attendance Administrator</w:t>
            </w:r>
          </w:p>
          <w:p w:rsidR="00D822FF" w:rsidRPr="00D822FF" w:rsidRDefault="00D822FF" w:rsidP="00D822FF">
            <w:r w:rsidRPr="00D822FF">
              <w:t>PGT Recruitment and Admissions</w:t>
            </w:r>
          </w:p>
        </w:tc>
      </w:tr>
    </w:tbl>
    <w:p w:rsidR="00D822FF" w:rsidRPr="00D822FF" w:rsidRDefault="00D822FF" w:rsidP="00D822FF"/>
    <w:p w:rsidR="00D822FF" w:rsidRPr="00D822FF" w:rsidRDefault="00D822FF" w:rsidP="002B222D">
      <w:pPr>
        <w:jc w:val="both"/>
      </w:pPr>
      <w:r w:rsidRPr="00D822FF">
        <w:t xml:space="preserve">The group has met twice since November. It was agreed at the first meeting that we would initially focus on BME and gender issues, although it was recognised that moving forward, the remit of the group would expand to consider other important aspects of equality and diversity such as disability and LGBT. In light of the challenges we face in the School, it is important that our colleagues have trust and confidence in the work of the group. With this in mind, we agreed to contact all colleagues offering them (1) the opportunity to discuss any equality and diversity concerns they may have and (2) suggest improvements to current processes </w:t>
      </w:r>
      <w:proofErr w:type="spellStart"/>
      <w:proofErr w:type="gramStart"/>
      <w:r w:rsidRPr="00D822FF">
        <w:t>etc</w:t>
      </w:r>
      <w:proofErr w:type="spellEnd"/>
      <w:r w:rsidRPr="00D822FF">
        <w:t xml:space="preserve"> .</w:t>
      </w:r>
      <w:proofErr w:type="gramEnd"/>
      <w:r w:rsidRPr="00D822FF">
        <w:t xml:space="preserve"> This was done by discipline area/PSS representatives in January 2015. We will also be updating the School regularly on our progress.</w:t>
      </w:r>
    </w:p>
    <w:p w:rsidR="00D822FF" w:rsidRPr="00D822FF" w:rsidRDefault="00D822FF" w:rsidP="00D822FF">
      <w:r w:rsidRPr="00D822FF">
        <w:t>We also identified several priority actions:</w:t>
      </w:r>
    </w:p>
    <w:p w:rsidR="00D822FF" w:rsidRPr="00D822FF" w:rsidRDefault="00D822FF" w:rsidP="00D822FF">
      <w:pPr>
        <w:numPr>
          <w:ilvl w:val="0"/>
          <w:numId w:val="18"/>
        </w:numPr>
      </w:pPr>
      <w:r w:rsidRPr="00D822FF">
        <w:lastRenderedPageBreak/>
        <w:t xml:space="preserve">Expanding our evidence base </w:t>
      </w:r>
    </w:p>
    <w:p w:rsidR="00D822FF" w:rsidRPr="00D822FF" w:rsidRDefault="00D822FF" w:rsidP="00D822FF">
      <w:pPr>
        <w:numPr>
          <w:ilvl w:val="0"/>
          <w:numId w:val="18"/>
        </w:numPr>
      </w:pPr>
      <w:r w:rsidRPr="00D822FF">
        <w:t>Identifying good practice in other Schools</w:t>
      </w:r>
    </w:p>
    <w:p w:rsidR="00D822FF" w:rsidRPr="00D822FF" w:rsidRDefault="00D822FF" w:rsidP="00D822FF">
      <w:pPr>
        <w:numPr>
          <w:ilvl w:val="0"/>
          <w:numId w:val="18"/>
        </w:numPr>
      </w:pPr>
      <w:r w:rsidRPr="00D822FF">
        <w:t>Reviewing existing promotions and appointment procedures</w:t>
      </w:r>
    </w:p>
    <w:p w:rsidR="00D822FF" w:rsidRPr="00D822FF" w:rsidRDefault="00D822FF" w:rsidP="00D822FF">
      <w:r w:rsidRPr="00D822FF">
        <w:t xml:space="preserve">The ‘work in progress’ spreadsheet provides an overview of the current work of the group. </w:t>
      </w:r>
    </w:p>
    <w:p w:rsidR="00D822FF" w:rsidRPr="00D822FF" w:rsidRDefault="00D822FF" w:rsidP="002B222D">
      <w:pPr>
        <w:jc w:val="both"/>
      </w:pPr>
      <w:r w:rsidRPr="00D822FF">
        <w:t xml:space="preserve">The second meeting was attended by three UCU representatives. Their input was incredibly useful. They had several suggestions relating to evidence on E&amp;D issues (such as comparing our E&amp;D </w:t>
      </w:r>
      <w:proofErr w:type="gramStart"/>
      <w:r w:rsidRPr="00D822FF">
        <w:t>profile</w:t>
      </w:r>
      <w:proofErr w:type="gramEnd"/>
      <w:r w:rsidRPr="00D822FF">
        <w:t xml:space="preserve"> with other Law Schools and considering more carefully the available evidence on e.g. promotions in light of the current staff profile in the School). They also identified activities taking in place in other Athena-SWAN Schools in the University relating to </w:t>
      </w:r>
      <w:r w:rsidRPr="00D822FF">
        <w:rPr>
          <w:i/>
        </w:rPr>
        <w:t>inter alia</w:t>
      </w:r>
      <w:r w:rsidRPr="00D822FF">
        <w:t xml:space="preserve"> workload allocation and promotions procedures.</w:t>
      </w:r>
    </w:p>
    <w:p w:rsidR="00D822FF" w:rsidRPr="00D822FF" w:rsidRDefault="00D822FF" w:rsidP="002B222D">
      <w:pPr>
        <w:jc w:val="both"/>
      </w:pPr>
      <w:r w:rsidRPr="00D822FF">
        <w:t>In addition to these two meetings, I met with Helen Ryder. She has already been very helpful and has offered to continue working with me and our group so that we can move forward swiftly on addressing E&amp;D in the School.</w:t>
      </w:r>
    </w:p>
    <w:p w:rsidR="00D822FF" w:rsidRPr="00D822FF" w:rsidRDefault="00D822FF" w:rsidP="00D822FF">
      <w:r w:rsidRPr="00D822FF">
        <w:t>Carolyn Abbot</w:t>
      </w:r>
    </w:p>
    <w:p w:rsidR="00D822FF" w:rsidRPr="00D822FF" w:rsidRDefault="00D822FF" w:rsidP="00D822FF">
      <w:r w:rsidRPr="00D822FF">
        <w:t>February 2015</w:t>
      </w:r>
    </w:p>
    <w:tbl>
      <w:tblPr>
        <w:tblStyle w:val="TableGrid"/>
        <w:tblW w:w="0" w:type="auto"/>
        <w:tblLook w:val="04A0" w:firstRow="1" w:lastRow="0" w:firstColumn="1" w:lastColumn="0" w:noHBand="0" w:noVBand="1"/>
      </w:tblPr>
      <w:tblGrid>
        <w:gridCol w:w="3033"/>
        <w:gridCol w:w="1895"/>
        <w:gridCol w:w="1134"/>
        <w:gridCol w:w="3180"/>
      </w:tblGrid>
      <w:tr w:rsidR="00D822FF" w:rsidRPr="00D822FF" w:rsidTr="00896E11">
        <w:trPr>
          <w:trHeight w:val="300"/>
        </w:trPr>
        <w:tc>
          <w:tcPr>
            <w:tcW w:w="3033" w:type="dxa"/>
            <w:noWrap/>
            <w:hideMark/>
          </w:tcPr>
          <w:p w:rsidR="00D822FF" w:rsidRPr="00D822FF" w:rsidRDefault="00D822FF" w:rsidP="00D822FF">
            <w:pPr>
              <w:spacing w:after="200" w:line="276" w:lineRule="auto"/>
            </w:pPr>
            <w:r w:rsidRPr="00D822FF">
              <w:t> </w:t>
            </w:r>
            <w:r w:rsidR="00896E11" w:rsidRPr="00D822FF">
              <w:rPr>
                <w:bCs/>
              </w:rPr>
              <w:t>School of Law Equality and Diversity Group</w:t>
            </w:r>
          </w:p>
        </w:tc>
        <w:tc>
          <w:tcPr>
            <w:tcW w:w="1895" w:type="dxa"/>
            <w:noWrap/>
            <w:hideMark/>
          </w:tcPr>
          <w:p w:rsidR="00D822FF" w:rsidRPr="00D822FF" w:rsidRDefault="00D822FF" w:rsidP="00D822FF">
            <w:pPr>
              <w:spacing w:after="200" w:line="276" w:lineRule="auto"/>
              <w:rPr>
                <w:bCs/>
              </w:rPr>
            </w:pPr>
            <w:r w:rsidRPr="00D822FF">
              <w:rPr>
                <w:bCs/>
              </w:rPr>
              <w:t>By whom</w:t>
            </w:r>
          </w:p>
        </w:tc>
        <w:tc>
          <w:tcPr>
            <w:tcW w:w="1134" w:type="dxa"/>
            <w:noWrap/>
            <w:hideMark/>
          </w:tcPr>
          <w:p w:rsidR="00D822FF" w:rsidRPr="00D822FF" w:rsidRDefault="00D822FF" w:rsidP="00D822FF">
            <w:pPr>
              <w:spacing w:after="200" w:line="276" w:lineRule="auto"/>
              <w:rPr>
                <w:bCs/>
              </w:rPr>
            </w:pPr>
            <w:r w:rsidRPr="00D822FF">
              <w:rPr>
                <w:bCs/>
              </w:rPr>
              <w:t>Target Date</w:t>
            </w:r>
          </w:p>
        </w:tc>
        <w:tc>
          <w:tcPr>
            <w:tcW w:w="3180" w:type="dxa"/>
            <w:noWrap/>
            <w:hideMark/>
          </w:tcPr>
          <w:p w:rsidR="00D822FF" w:rsidRPr="00D822FF" w:rsidRDefault="00D822FF" w:rsidP="00D822FF">
            <w:pPr>
              <w:spacing w:after="200" w:line="276" w:lineRule="auto"/>
              <w:rPr>
                <w:bCs/>
              </w:rPr>
            </w:pPr>
            <w:r w:rsidRPr="00D822FF">
              <w:rPr>
                <w:bCs/>
              </w:rPr>
              <w:t>Progress</w:t>
            </w:r>
          </w:p>
        </w:tc>
      </w:tr>
      <w:tr w:rsidR="00D822FF" w:rsidRPr="00D822FF" w:rsidTr="00896E11">
        <w:trPr>
          <w:trHeight w:val="300"/>
        </w:trPr>
        <w:tc>
          <w:tcPr>
            <w:tcW w:w="3033" w:type="dxa"/>
            <w:noWrap/>
            <w:hideMark/>
          </w:tcPr>
          <w:p w:rsidR="00D822FF" w:rsidRPr="00D822FF" w:rsidRDefault="00D822FF" w:rsidP="00D822FF">
            <w:pPr>
              <w:spacing w:after="200" w:line="276" w:lineRule="auto"/>
              <w:rPr>
                <w:bCs/>
              </w:rPr>
            </w:pPr>
            <w:r w:rsidRPr="00D822FF">
              <w:rPr>
                <w:bCs/>
              </w:rPr>
              <w:t xml:space="preserve"> Expanding Evidence Base</w:t>
            </w:r>
          </w:p>
        </w:tc>
        <w:tc>
          <w:tcPr>
            <w:tcW w:w="1895" w:type="dxa"/>
            <w:noWrap/>
            <w:hideMark/>
          </w:tcPr>
          <w:p w:rsidR="00D822FF" w:rsidRPr="00D822FF" w:rsidRDefault="00D822FF" w:rsidP="00D822FF">
            <w:pPr>
              <w:spacing w:after="200" w:line="276" w:lineRule="auto"/>
            </w:pPr>
            <w:r w:rsidRPr="00D822FF">
              <w:t> </w:t>
            </w:r>
          </w:p>
        </w:tc>
        <w:tc>
          <w:tcPr>
            <w:tcW w:w="1134" w:type="dxa"/>
            <w:noWrap/>
            <w:hideMark/>
          </w:tcPr>
          <w:p w:rsidR="00D822FF" w:rsidRPr="00D822FF" w:rsidRDefault="00D822FF" w:rsidP="00D822FF">
            <w:pPr>
              <w:spacing w:after="200" w:line="276" w:lineRule="auto"/>
            </w:pPr>
            <w:r w:rsidRPr="00D822FF">
              <w:t> </w:t>
            </w:r>
          </w:p>
        </w:tc>
        <w:tc>
          <w:tcPr>
            <w:tcW w:w="3180" w:type="dxa"/>
            <w:noWrap/>
            <w:hideMark/>
          </w:tcPr>
          <w:p w:rsidR="00D822FF" w:rsidRPr="00D822FF" w:rsidRDefault="00D822FF" w:rsidP="00D822FF">
            <w:pPr>
              <w:spacing w:after="200" w:line="276" w:lineRule="auto"/>
            </w:pPr>
            <w:r w:rsidRPr="00D822FF">
              <w:t> </w:t>
            </w:r>
          </w:p>
        </w:tc>
      </w:tr>
      <w:tr w:rsidR="00D822FF" w:rsidRPr="00D822FF" w:rsidTr="00896E11">
        <w:trPr>
          <w:trHeight w:val="1500"/>
        </w:trPr>
        <w:tc>
          <w:tcPr>
            <w:tcW w:w="3033" w:type="dxa"/>
            <w:hideMark/>
          </w:tcPr>
          <w:p w:rsidR="00D822FF" w:rsidRPr="00D822FF" w:rsidRDefault="00D822FF" w:rsidP="00D822FF">
            <w:pPr>
              <w:spacing w:after="200" w:line="276" w:lineRule="auto"/>
            </w:pPr>
            <w:r w:rsidRPr="00D822FF">
              <w:t>Arrange meeting with UCU Reps to discuss E&amp;D good practice</w:t>
            </w:r>
          </w:p>
        </w:tc>
        <w:tc>
          <w:tcPr>
            <w:tcW w:w="1895" w:type="dxa"/>
            <w:noWrap/>
            <w:hideMark/>
          </w:tcPr>
          <w:p w:rsidR="00D822FF" w:rsidRPr="00D822FF" w:rsidRDefault="00D822FF" w:rsidP="00D822FF">
            <w:pPr>
              <w:spacing w:after="200" w:line="276" w:lineRule="auto"/>
            </w:pPr>
            <w:r w:rsidRPr="00D822FF">
              <w:t>Carolyn</w:t>
            </w:r>
          </w:p>
        </w:tc>
        <w:tc>
          <w:tcPr>
            <w:tcW w:w="1134" w:type="dxa"/>
            <w:noWrap/>
            <w:hideMark/>
          </w:tcPr>
          <w:p w:rsidR="00D822FF" w:rsidRPr="00D822FF" w:rsidRDefault="00D822FF" w:rsidP="00D822FF">
            <w:pPr>
              <w:spacing w:after="200" w:line="276" w:lineRule="auto"/>
            </w:pPr>
            <w:r w:rsidRPr="00D822FF">
              <w:t>Feb-15</w:t>
            </w:r>
          </w:p>
        </w:tc>
        <w:tc>
          <w:tcPr>
            <w:tcW w:w="3180" w:type="dxa"/>
            <w:hideMark/>
          </w:tcPr>
          <w:p w:rsidR="00D822FF" w:rsidRPr="00D822FF" w:rsidRDefault="00D822FF" w:rsidP="00D822FF">
            <w:pPr>
              <w:spacing w:after="200" w:line="276" w:lineRule="auto"/>
            </w:pPr>
            <w:r w:rsidRPr="00D822FF">
              <w:t>Completed: Meeting held 2/2/15: Useful input in terms of expanding our evidence base and some suggestions on, amongst other things, appointment and promotion, progression and development, curriculum inclusivity and value/culture</w:t>
            </w:r>
          </w:p>
        </w:tc>
      </w:tr>
      <w:tr w:rsidR="00D822FF" w:rsidRPr="00D822FF" w:rsidTr="00896E11">
        <w:trPr>
          <w:trHeight w:val="900"/>
        </w:trPr>
        <w:tc>
          <w:tcPr>
            <w:tcW w:w="3033" w:type="dxa"/>
            <w:hideMark/>
          </w:tcPr>
          <w:p w:rsidR="00D822FF" w:rsidRPr="00D822FF" w:rsidRDefault="00D822FF" w:rsidP="00D822FF">
            <w:pPr>
              <w:spacing w:after="200" w:line="276" w:lineRule="auto"/>
            </w:pPr>
            <w:r w:rsidRPr="00D822FF">
              <w:t>Review of Athena SWAN documentation for the School of Pharmacy, identifying areas of good practice</w:t>
            </w:r>
          </w:p>
        </w:tc>
        <w:tc>
          <w:tcPr>
            <w:tcW w:w="1895" w:type="dxa"/>
            <w:hideMark/>
          </w:tcPr>
          <w:p w:rsidR="00D822FF" w:rsidRPr="00D822FF" w:rsidRDefault="00D822FF" w:rsidP="00D822FF">
            <w:pPr>
              <w:spacing w:after="200" w:line="276" w:lineRule="auto"/>
            </w:pPr>
            <w:r w:rsidRPr="00D822FF">
              <w:t>Carolyn, Alex, Becki</w:t>
            </w:r>
          </w:p>
        </w:tc>
        <w:tc>
          <w:tcPr>
            <w:tcW w:w="1134" w:type="dxa"/>
            <w:noWrap/>
            <w:hideMark/>
          </w:tcPr>
          <w:p w:rsidR="00D822FF" w:rsidRPr="00D822FF" w:rsidRDefault="00D822FF" w:rsidP="00D822FF">
            <w:pPr>
              <w:spacing w:after="200" w:line="276" w:lineRule="auto"/>
            </w:pPr>
            <w:r w:rsidRPr="00D822FF">
              <w:t>Jun-15</w:t>
            </w:r>
          </w:p>
        </w:tc>
        <w:tc>
          <w:tcPr>
            <w:tcW w:w="3180" w:type="dxa"/>
            <w:noWrap/>
            <w:hideMark/>
          </w:tcPr>
          <w:p w:rsidR="00D822FF" w:rsidRPr="00D822FF" w:rsidRDefault="00D822FF" w:rsidP="00D822FF">
            <w:pPr>
              <w:spacing w:after="200" w:line="276" w:lineRule="auto"/>
            </w:pPr>
            <w:r w:rsidRPr="00D822FF">
              <w:t>Documentation circulated to E&amp;D members</w:t>
            </w:r>
          </w:p>
        </w:tc>
      </w:tr>
      <w:tr w:rsidR="00D822FF" w:rsidRPr="00D822FF" w:rsidTr="00896E11">
        <w:trPr>
          <w:trHeight w:val="600"/>
        </w:trPr>
        <w:tc>
          <w:tcPr>
            <w:tcW w:w="3033" w:type="dxa"/>
            <w:noWrap/>
            <w:hideMark/>
          </w:tcPr>
          <w:p w:rsidR="00D822FF" w:rsidRPr="00D822FF" w:rsidRDefault="00D822FF" w:rsidP="00D822FF">
            <w:pPr>
              <w:spacing w:after="200" w:line="276" w:lineRule="auto"/>
            </w:pPr>
            <w:r w:rsidRPr="00D822FF">
              <w:t>Design and Circulate Athena SWAN questionnaire</w:t>
            </w:r>
          </w:p>
        </w:tc>
        <w:tc>
          <w:tcPr>
            <w:tcW w:w="1895" w:type="dxa"/>
            <w:hideMark/>
          </w:tcPr>
          <w:p w:rsidR="00D822FF" w:rsidRPr="00D822FF" w:rsidRDefault="00D822FF" w:rsidP="00D822FF">
            <w:pPr>
              <w:spacing w:after="200" w:line="276" w:lineRule="auto"/>
            </w:pPr>
            <w:r w:rsidRPr="00D822FF">
              <w:t>Carolyn/Rose/ Helen Ryder</w:t>
            </w:r>
          </w:p>
        </w:tc>
        <w:tc>
          <w:tcPr>
            <w:tcW w:w="1134" w:type="dxa"/>
            <w:noWrap/>
            <w:hideMark/>
          </w:tcPr>
          <w:p w:rsidR="00D822FF" w:rsidRPr="00D822FF" w:rsidRDefault="00D822FF" w:rsidP="00D822FF">
            <w:pPr>
              <w:spacing w:after="200" w:line="276" w:lineRule="auto"/>
            </w:pPr>
            <w:r w:rsidRPr="00D822FF">
              <w:t>Nov-15</w:t>
            </w:r>
          </w:p>
        </w:tc>
        <w:tc>
          <w:tcPr>
            <w:tcW w:w="3180" w:type="dxa"/>
            <w:noWrap/>
            <w:hideMark/>
          </w:tcPr>
          <w:p w:rsidR="00D822FF" w:rsidRPr="00D822FF" w:rsidRDefault="00D822FF" w:rsidP="00D822FF">
            <w:pPr>
              <w:spacing w:after="200" w:line="276" w:lineRule="auto"/>
            </w:pPr>
            <w:r w:rsidRPr="00D822FF">
              <w:t> </w:t>
            </w:r>
          </w:p>
        </w:tc>
      </w:tr>
      <w:tr w:rsidR="00D822FF" w:rsidRPr="00D822FF" w:rsidTr="00896E11">
        <w:trPr>
          <w:trHeight w:val="300"/>
        </w:trPr>
        <w:tc>
          <w:tcPr>
            <w:tcW w:w="3033" w:type="dxa"/>
            <w:noWrap/>
            <w:hideMark/>
          </w:tcPr>
          <w:p w:rsidR="00D822FF" w:rsidRPr="00D822FF" w:rsidRDefault="00D822FF" w:rsidP="00D822FF">
            <w:pPr>
              <w:spacing w:after="200" w:line="276" w:lineRule="auto"/>
            </w:pPr>
            <w:r w:rsidRPr="00D822FF">
              <w:t>Arrange meeting with UNISON Representatives</w:t>
            </w:r>
          </w:p>
        </w:tc>
        <w:tc>
          <w:tcPr>
            <w:tcW w:w="1895" w:type="dxa"/>
            <w:noWrap/>
            <w:hideMark/>
          </w:tcPr>
          <w:p w:rsidR="00D822FF" w:rsidRPr="00D822FF" w:rsidRDefault="00D822FF" w:rsidP="00D822FF">
            <w:pPr>
              <w:spacing w:after="200" w:line="276" w:lineRule="auto"/>
            </w:pPr>
            <w:proofErr w:type="spellStart"/>
            <w:r w:rsidRPr="00D822FF">
              <w:t>Saba</w:t>
            </w:r>
            <w:proofErr w:type="spellEnd"/>
            <w:r w:rsidRPr="00D822FF">
              <w:t>/Myra/Ceri</w:t>
            </w:r>
          </w:p>
        </w:tc>
        <w:tc>
          <w:tcPr>
            <w:tcW w:w="1134" w:type="dxa"/>
            <w:noWrap/>
            <w:hideMark/>
          </w:tcPr>
          <w:p w:rsidR="00D822FF" w:rsidRPr="00D822FF" w:rsidRDefault="00D822FF" w:rsidP="00D822FF">
            <w:pPr>
              <w:spacing w:after="200" w:line="276" w:lineRule="auto"/>
            </w:pPr>
            <w:r w:rsidRPr="00D822FF">
              <w:t>Jun-15</w:t>
            </w:r>
          </w:p>
        </w:tc>
        <w:tc>
          <w:tcPr>
            <w:tcW w:w="3180" w:type="dxa"/>
            <w:noWrap/>
            <w:hideMark/>
          </w:tcPr>
          <w:p w:rsidR="00D822FF" w:rsidRPr="00D822FF" w:rsidRDefault="00D822FF" w:rsidP="00D822FF">
            <w:pPr>
              <w:spacing w:after="200" w:line="276" w:lineRule="auto"/>
            </w:pPr>
            <w:r w:rsidRPr="00D822FF">
              <w:t>25/2/15 contacted UNISON rep Kevin Gaskell-Clow</w:t>
            </w:r>
          </w:p>
        </w:tc>
      </w:tr>
      <w:tr w:rsidR="00D822FF" w:rsidRPr="00D822FF" w:rsidTr="00896E11">
        <w:trPr>
          <w:trHeight w:val="600"/>
        </w:trPr>
        <w:tc>
          <w:tcPr>
            <w:tcW w:w="3033" w:type="dxa"/>
            <w:hideMark/>
          </w:tcPr>
          <w:p w:rsidR="00D822FF" w:rsidRPr="00D822FF" w:rsidRDefault="00D822FF" w:rsidP="00D822FF">
            <w:pPr>
              <w:spacing w:after="200" w:line="276" w:lineRule="auto"/>
            </w:pPr>
            <w:r w:rsidRPr="00D822FF">
              <w:lastRenderedPageBreak/>
              <w:t>Circulate and analyse evidence received from an anonymous survey sent to PSS Staff</w:t>
            </w:r>
          </w:p>
        </w:tc>
        <w:tc>
          <w:tcPr>
            <w:tcW w:w="1895" w:type="dxa"/>
            <w:noWrap/>
            <w:hideMark/>
          </w:tcPr>
          <w:p w:rsidR="00D822FF" w:rsidRPr="00D822FF" w:rsidRDefault="00D822FF" w:rsidP="00D822FF">
            <w:pPr>
              <w:spacing w:after="200" w:line="276" w:lineRule="auto"/>
            </w:pPr>
            <w:proofErr w:type="spellStart"/>
            <w:r w:rsidRPr="00D822FF">
              <w:t>Saba</w:t>
            </w:r>
            <w:proofErr w:type="spellEnd"/>
            <w:r w:rsidRPr="00D822FF">
              <w:t>/Myra/Ceri</w:t>
            </w:r>
          </w:p>
        </w:tc>
        <w:tc>
          <w:tcPr>
            <w:tcW w:w="1134" w:type="dxa"/>
            <w:noWrap/>
            <w:hideMark/>
          </w:tcPr>
          <w:p w:rsidR="00D822FF" w:rsidRPr="00D822FF" w:rsidRDefault="00D822FF" w:rsidP="00D822FF">
            <w:pPr>
              <w:spacing w:after="200" w:line="276" w:lineRule="auto"/>
            </w:pPr>
            <w:r w:rsidRPr="00D822FF">
              <w:t>May-15</w:t>
            </w:r>
          </w:p>
        </w:tc>
        <w:tc>
          <w:tcPr>
            <w:tcW w:w="3180" w:type="dxa"/>
            <w:noWrap/>
            <w:hideMark/>
          </w:tcPr>
          <w:p w:rsidR="00D822FF" w:rsidRPr="00D822FF" w:rsidRDefault="00D822FF" w:rsidP="00D822FF">
            <w:pPr>
              <w:spacing w:after="200" w:line="276" w:lineRule="auto"/>
            </w:pPr>
            <w:r w:rsidRPr="00D822FF">
              <w:t>Survey circulated 6/4/15</w:t>
            </w:r>
          </w:p>
        </w:tc>
      </w:tr>
      <w:tr w:rsidR="00D822FF" w:rsidRPr="00D822FF" w:rsidTr="00896E11">
        <w:trPr>
          <w:trHeight w:val="600"/>
        </w:trPr>
        <w:tc>
          <w:tcPr>
            <w:tcW w:w="3033" w:type="dxa"/>
            <w:noWrap/>
            <w:hideMark/>
          </w:tcPr>
          <w:p w:rsidR="00D822FF" w:rsidRPr="00D822FF" w:rsidRDefault="00D822FF" w:rsidP="00D822FF">
            <w:pPr>
              <w:spacing w:after="200" w:line="276" w:lineRule="auto"/>
            </w:pPr>
            <w:r w:rsidRPr="00D822FF">
              <w:t>Compare E&amp;D data against other Law Schools</w:t>
            </w:r>
          </w:p>
        </w:tc>
        <w:tc>
          <w:tcPr>
            <w:tcW w:w="1895" w:type="dxa"/>
            <w:hideMark/>
          </w:tcPr>
          <w:p w:rsidR="00D822FF" w:rsidRPr="00D822FF" w:rsidRDefault="00D822FF" w:rsidP="00D822FF">
            <w:pPr>
              <w:spacing w:after="200" w:line="276" w:lineRule="auto"/>
            </w:pPr>
            <w:r w:rsidRPr="00D822FF">
              <w:t>Carolyn/Helen Ryder</w:t>
            </w:r>
          </w:p>
        </w:tc>
        <w:tc>
          <w:tcPr>
            <w:tcW w:w="1134" w:type="dxa"/>
            <w:noWrap/>
            <w:hideMark/>
          </w:tcPr>
          <w:p w:rsidR="00D822FF" w:rsidRPr="00D822FF" w:rsidRDefault="00D822FF" w:rsidP="00D822FF">
            <w:pPr>
              <w:spacing w:after="200" w:line="276" w:lineRule="auto"/>
            </w:pPr>
            <w:r w:rsidRPr="00D822FF">
              <w:t>Sep-15</w:t>
            </w:r>
          </w:p>
        </w:tc>
        <w:tc>
          <w:tcPr>
            <w:tcW w:w="3180" w:type="dxa"/>
            <w:noWrap/>
            <w:hideMark/>
          </w:tcPr>
          <w:p w:rsidR="00D822FF" w:rsidRPr="00D822FF" w:rsidRDefault="00D822FF" w:rsidP="00D822FF">
            <w:pPr>
              <w:spacing w:after="200" w:line="276" w:lineRule="auto"/>
            </w:pPr>
            <w:r w:rsidRPr="00D822FF">
              <w:t xml:space="preserve">UG and PGT JACS codes sent to Helen Ryder </w:t>
            </w:r>
            <w:proofErr w:type="spellStart"/>
            <w:r w:rsidRPr="00D822FF">
              <w:t>Feburary</w:t>
            </w:r>
            <w:proofErr w:type="spellEnd"/>
            <w:r w:rsidRPr="00D822FF">
              <w:t xml:space="preserve"> 2015</w:t>
            </w:r>
          </w:p>
        </w:tc>
      </w:tr>
      <w:tr w:rsidR="00D822FF" w:rsidRPr="00D822FF" w:rsidTr="00742245">
        <w:trPr>
          <w:trHeight w:val="712"/>
        </w:trPr>
        <w:tc>
          <w:tcPr>
            <w:tcW w:w="3033" w:type="dxa"/>
            <w:noWrap/>
            <w:hideMark/>
          </w:tcPr>
          <w:p w:rsidR="00D822FF" w:rsidRPr="00D822FF" w:rsidRDefault="00D822FF" w:rsidP="00D822FF">
            <w:pPr>
              <w:spacing w:after="200" w:line="276" w:lineRule="auto"/>
            </w:pPr>
            <w:r w:rsidRPr="00D822FF">
              <w:t>Review existing promotions procedures</w:t>
            </w:r>
          </w:p>
        </w:tc>
        <w:tc>
          <w:tcPr>
            <w:tcW w:w="1895" w:type="dxa"/>
            <w:noWrap/>
            <w:hideMark/>
          </w:tcPr>
          <w:p w:rsidR="00D822FF" w:rsidRPr="00D822FF" w:rsidRDefault="00D822FF" w:rsidP="00D822FF">
            <w:pPr>
              <w:spacing w:after="200" w:line="276" w:lineRule="auto"/>
            </w:pPr>
            <w:r w:rsidRPr="00D822FF">
              <w:t>Becki</w:t>
            </w:r>
          </w:p>
        </w:tc>
        <w:tc>
          <w:tcPr>
            <w:tcW w:w="1134" w:type="dxa"/>
            <w:noWrap/>
            <w:hideMark/>
          </w:tcPr>
          <w:p w:rsidR="00D822FF" w:rsidRPr="00D822FF" w:rsidRDefault="00D822FF" w:rsidP="00D822FF">
            <w:pPr>
              <w:spacing w:after="200" w:line="276" w:lineRule="auto"/>
            </w:pPr>
            <w:r w:rsidRPr="00D822FF">
              <w:t>May-15</w:t>
            </w:r>
          </w:p>
        </w:tc>
        <w:tc>
          <w:tcPr>
            <w:tcW w:w="3180" w:type="dxa"/>
            <w:noWrap/>
            <w:hideMark/>
          </w:tcPr>
          <w:p w:rsidR="00D822FF" w:rsidRPr="00D822FF" w:rsidRDefault="00D822FF" w:rsidP="00D822FF">
            <w:pPr>
              <w:spacing w:after="200" w:line="276" w:lineRule="auto"/>
            </w:pPr>
            <w:r w:rsidRPr="00D822FF">
              <w:t> </w:t>
            </w:r>
          </w:p>
        </w:tc>
      </w:tr>
      <w:tr w:rsidR="00D822FF" w:rsidRPr="00D822FF" w:rsidTr="00896E11">
        <w:trPr>
          <w:trHeight w:val="300"/>
        </w:trPr>
        <w:tc>
          <w:tcPr>
            <w:tcW w:w="3033" w:type="dxa"/>
            <w:noWrap/>
            <w:hideMark/>
          </w:tcPr>
          <w:p w:rsidR="00D822FF" w:rsidRPr="00D822FF" w:rsidRDefault="00D822FF" w:rsidP="00D822FF">
            <w:pPr>
              <w:spacing w:after="200" w:line="276" w:lineRule="auto"/>
            </w:pPr>
            <w:r w:rsidRPr="00D822FF">
              <w:t>Review existing appointments procedures</w:t>
            </w:r>
          </w:p>
        </w:tc>
        <w:tc>
          <w:tcPr>
            <w:tcW w:w="1895" w:type="dxa"/>
            <w:noWrap/>
            <w:hideMark/>
          </w:tcPr>
          <w:p w:rsidR="00D822FF" w:rsidRPr="00D822FF" w:rsidRDefault="00D822FF" w:rsidP="00D822FF">
            <w:pPr>
              <w:spacing w:after="200" w:line="276" w:lineRule="auto"/>
            </w:pPr>
            <w:r w:rsidRPr="00D822FF">
              <w:t>Carolyn</w:t>
            </w:r>
          </w:p>
        </w:tc>
        <w:tc>
          <w:tcPr>
            <w:tcW w:w="1134" w:type="dxa"/>
            <w:noWrap/>
            <w:hideMark/>
          </w:tcPr>
          <w:p w:rsidR="00D822FF" w:rsidRPr="00D822FF" w:rsidRDefault="00D822FF" w:rsidP="00D822FF">
            <w:pPr>
              <w:spacing w:after="200" w:line="276" w:lineRule="auto"/>
            </w:pPr>
            <w:r w:rsidRPr="00D822FF">
              <w:t>May-15</w:t>
            </w:r>
          </w:p>
        </w:tc>
        <w:tc>
          <w:tcPr>
            <w:tcW w:w="3180" w:type="dxa"/>
            <w:noWrap/>
            <w:hideMark/>
          </w:tcPr>
          <w:p w:rsidR="00D822FF" w:rsidRPr="00D822FF" w:rsidRDefault="00D822FF" w:rsidP="00D822FF">
            <w:pPr>
              <w:spacing w:after="200" w:line="276" w:lineRule="auto"/>
            </w:pPr>
            <w:r w:rsidRPr="00D822FF">
              <w:t> </w:t>
            </w:r>
          </w:p>
        </w:tc>
      </w:tr>
      <w:tr w:rsidR="00D822FF" w:rsidRPr="00D822FF" w:rsidTr="00896E11">
        <w:trPr>
          <w:trHeight w:val="300"/>
        </w:trPr>
        <w:tc>
          <w:tcPr>
            <w:tcW w:w="3033" w:type="dxa"/>
            <w:noWrap/>
            <w:hideMark/>
          </w:tcPr>
          <w:p w:rsidR="00D822FF" w:rsidRPr="00D822FF" w:rsidRDefault="00D822FF" w:rsidP="00D822FF">
            <w:pPr>
              <w:spacing w:after="200" w:line="276" w:lineRule="auto"/>
              <w:rPr>
                <w:bCs/>
              </w:rPr>
            </w:pPr>
            <w:r w:rsidRPr="00D822FF">
              <w:rPr>
                <w:bCs/>
              </w:rPr>
              <w:t>Implementation of E&amp;D Actions</w:t>
            </w:r>
          </w:p>
        </w:tc>
        <w:tc>
          <w:tcPr>
            <w:tcW w:w="1895" w:type="dxa"/>
            <w:noWrap/>
            <w:hideMark/>
          </w:tcPr>
          <w:p w:rsidR="00D822FF" w:rsidRPr="00D822FF" w:rsidRDefault="00D822FF" w:rsidP="00D822FF">
            <w:pPr>
              <w:spacing w:after="200" w:line="276" w:lineRule="auto"/>
            </w:pPr>
            <w:r w:rsidRPr="00D822FF">
              <w:t> </w:t>
            </w:r>
          </w:p>
        </w:tc>
        <w:tc>
          <w:tcPr>
            <w:tcW w:w="1134" w:type="dxa"/>
            <w:noWrap/>
            <w:hideMark/>
          </w:tcPr>
          <w:p w:rsidR="00D822FF" w:rsidRPr="00D822FF" w:rsidRDefault="00D822FF" w:rsidP="00D822FF">
            <w:pPr>
              <w:spacing w:after="200" w:line="276" w:lineRule="auto"/>
            </w:pPr>
            <w:r w:rsidRPr="00D822FF">
              <w:t> </w:t>
            </w:r>
          </w:p>
        </w:tc>
        <w:tc>
          <w:tcPr>
            <w:tcW w:w="3180" w:type="dxa"/>
            <w:noWrap/>
            <w:hideMark/>
          </w:tcPr>
          <w:p w:rsidR="00D822FF" w:rsidRPr="00D822FF" w:rsidRDefault="00D822FF" w:rsidP="00D822FF">
            <w:pPr>
              <w:spacing w:after="200" w:line="276" w:lineRule="auto"/>
            </w:pPr>
            <w:r w:rsidRPr="00D822FF">
              <w:t> </w:t>
            </w:r>
          </w:p>
        </w:tc>
      </w:tr>
      <w:tr w:rsidR="00D822FF" w:rsidRPr="00D822FF" w:rsidTr="00896E11">
        <w:trPr>
          <w:trHeight w:val="300"/>
        </w:trPr>
        <w:tc>
          <w:tcPr>
            <w:tcW w:w="3033" w:type="dxa"/>
            <w:noWrap/>
            <w:hideMark/>
          </w:tcPr>
          <w:p w:rsidR="00D822FF" w:rsidRPr="00D822FF" w:rsidRDefault="00D822FF" w:rsidP="00D822FF">
            <w:pPr>
              <w:spacing w:after="200" w:line="276" w:lineRule="auto"/>
            </w:pPr>
            <w:r w:rsidRPr="00D822FF">
              <w:t>Draft E&amp;D Group terms of reference</w:t>
            </w:r>
          </w:p>
        </w:tc>
        <w:tc>
          <w:tcPr>
            <w:tcW w:w="1895" w:type="dxa"/>
            <w:noWrap/>
            <w:hideMark/>
          </w:tcPr>
          <w:p w:rsidR="00D822FF" w:rsidRPr="00D822FF" w:rsidRDefault="00D822FF" w:rsidP="00D822FF">
            <w:pPr>
              <w:spacing w:after="200" w:line="276" w:lineRule="auto"/>
            </w:pPr>
            <w:r w:rsidRPr="00D822FF">
              <w:t>Carolyn/Graham</w:t>
            </w:r>
          </w:p>
        </w:tc>
        <w:tc>
          <w:tcPr>
            <w:tcW w:w="1134" w:type="dxa"/>
            <w:noWrap/>
            <w:hideMark/>
          </w:tcPr>
          <w:p w:rsidR="00D822FF" w:rsidRPr="00D822FF" w:rsidRDefault="00D822FF" w:rsidP="00D822FF">
            <w:pPr>
              <w:spacing w:after="200" w:line="276" w:lineRule="auto"/>
            </w:pPr>
            <w:r w:rsidRPr="00D822FF">
              <w:t>Mar-15</w:t>
            </w:r>
          </w:p>
        </w:tc>
        <w:tc>
          <w:tcPr>
            <w:tcW w:w="3180" w:type="dxa"/>
            <w:noWrap/>
            <w:hideMark/>
          </w:tcPr>
          <w:p w:rsidR="00D822FF" w:rsidRPr="00D822FF" w:rsidRDefault="00D822FF" w:rsidP="00D822FF">
            <w:pPr>
              <w:spacing w:after="200" w:line="276" w:lineRule="auto"/>
            </w:pPr>
            <w:r w:rsidRPr="00D822FF">
              <w:t> </w:t>
            </w:r>
          </w:p>
        </w:tc>
      </w:tr>
      <w:tr w:rsidR="00D822FF" w:rsidRPr="00D822FF" w:rsidTr="00896E11">
        <w:trPr>
          <w:trHeight w:val="600"/>
        </w:trPr>
        <w:tc>
          <w:tcPr>
            <w:tcW w:w="3033" w:type="dxa"/>
            <w:hideMark/>
          </w:tcPr>
          <w:p w:rsidR="00D822FF" w:rsidRPr="00D822FF" w:rsidRDefault="00D822FF" w:rsidP="00D822FF">
            <w:pPr>
              <w:spacing w:after="200" w:line="276" w:lineRule="auto"/>
            </w:pPr>
            <w:r w:rsidRPr="00D822FF">
              <w:t>Draft and regularly update the School E&amp;D Action Plan</w:t>
            </w:r>
          </w:p>
        </w:tc>
        <w:tc>
          <w:tcPr>
            <w:tcW w:w="1895" w:type="dxa"/>
            <w:noWrap/>
            <w:hideMark/>
          </w:tcPr>
          <w:p w:rsidR="00D822FF" w:rsidRPr="00D822FF" w:rsidRDefault="00D822FF" w:rsidP="00D822FF">
            <w:pPr>
              <w:spacing w:after="200" w:line="276" w:lineRule="auto"/>
            </w:pPr>
            <w:r w:rsidRPr="00D822FF">
              <w:t>Carolyn</w:t>
            </w:r>
          </w:p>
        </w:tc>
        <w:tc>
          <w:tcPr>
            <w:tcW w:w="1134" w:type="dxa"/>
            <w:noWrap/>
            <w:hideMark/>
          </w:tcPr>
          <w:p w:rsidR="00D822FF" w:rsidRPr="00D822FF" w:rsidRDefault="00D822FF" w:rsidP="00D822FF">
            <w:pPr>
              <w:spacing w:after="200" w:line="276" w:lineRule="auto"/>
            </w:pPr>
            <w:r w:rsidRPr="00D822FF">
              <w:t>ongoing</w:t>
            </w:r>
          </w:p>
        </w:tc>
        <w:tc>
          <w:tcPr>
            <w:tcW w:w="3180" w:type="dxa"/>
            <w:noWrap/>
            <w:hideMark/>
          </w:tcPr>
          <w:p w:rsidR="00D822FF" w:rsidRPr="00D822FF" w:rsidRDefault="00D822FF" w:rsidP="00D822FF">
            <w:pPr>
              <w:spacing w:after="200" w:line="276" w:lineRule="auto"/>
            </w:pPr>
            <w:r w:rsidRPr="00D822FF">
              <w:t>Ongoing</w:t>
            </w:r>
          </w:p>
        </w:tc>
      </w:tr>
      <w:tr w:rsidR="00D822FF" w:rsidRPr="00D822FF" w:rsidTr="00896E11">
        <w:trPr>
          <w:trHeight w:val="600"/>
        </w:trPr>
        <w:tc>
          <w:tcPr>
            <w:tcW w:w="3033" w:type="dxa"/>
            <w:noWrap/>
            <w:hideMark/>
          </w:tcPr>
          <w:p w:rsidR="00D822FF" w:rsidRPr="00D822FF" w:rsidRDefault="00D822FF" w:rsidP="00D822FF">
            <w:pPr>
              <w:spacing w:after="200" w:line="276" w:lineRule="auto"/>
            </w:pPr>
            <w:r w:rsidRPr="00D822FF">
              <w:t>Embed E&amp;D in School governance structures</w:t>
            </w:r>
          </w:p>
        </w:tc>
        <w:tc>
          <w:tcPr>
            <w:tcW w:w="1895" w:type="dxa"/>
            <w:noWrap/>
            <w:hideMark/>
          </w:tcPr>
          <w:p w:rsidR="00D822FF" w:rsidRPr="00D822FF" w:rsidRDefault="00D822FF" w:rsidP="00D822FF">
            <w:pPr>
              <w:spacing w:after="200" w:line="276" w:lineRule="auto"/>
            </w:pPr>
            <w:r w:rsidRPr="00D822FF">
              <w:t>Carolyn</w:t>
            </w:r>
          </w:p>
        </w:tc>
        <w:tc>
          <w:tcPr>
            <w:tcW w:w="1134" w:type="dxa"/>
            <w:noWrap/>
            <w:hideMark/>
          </w:tcPr>
          <w:p w:rsidR="00D822FF" w:rsidRPr="00D822FF" w:rsidRDefault="00D822FF" w:rsidP="00D822FF">
            <w:pPr>
              <w:spacing w:after="200" w:line="276" w:lineRule="auto"/>
            </w:pPr>
            <w:r w:rsidRPr="00D822FF">
              <w:t>Mar-15</w:t>
            </w:r>
          </w:p>
        </w:tc>
        <w:tc>
          <w:tcPr>
            <w:tcW w:w="3180" w:type="dxa"/>
            <w:hideMark/>
          </w:tcPr>
          <w:p w:rsidR="00D822FF" w:rsidRPr="00D822FF" w:rsidRDefault="00D822FF" w:rsidP="00D822FF">
            <w:pPr>
              <w:spacing w:after="200" w:line="276" w:lineRule="auto"/>
            </w:pPr>
            <w:r w:rsidRPr="00D822FF">
              <w:t>Completed: E&amp;D now an item on future School Board and Strategic Management Team agendas</w:t>
            </w:r>
          </w:p>
        </w:tc>
      </w:tr>
      <w:tr w:rsidR="00D822FF" w:rsidRPr="00D822FF" w:rsidTr="00896E11">
        <w:trPr>
          <w:trHeight w:val="300"/>
        </w:trPr>
        <w:tc>
          <w:tcPr>
            <w:tcW w:w="3033" w:type="dxa"/>
            <w:noWrap/>
            <w:hideMark/>
          </w:tcPr>
          <w:p w:rsidR="00D822FF" w:rsidRPr="00D822FF" w:rsidRDefault="00D822FF" w:rsidP="00D822FF">
            <w:pPr>
              <w:spacing w:after="200" w:line="276" w:lineRule="auto"/>
            </w:pPr>
            <w:r w:rsidRPr="00D822FF">
              <w:t>Explore unconscious bias training</w:t>
            </w:r>
          </w:p>
        </w:tc>
        <w:tc>
          <w:tcPr>
            <w:tcW w:w="1895" w:type="dxa"/>
            <w:noWrap/>
            <w:hideMark/>
          </w:tcPr>
          <w:p w:rsidR="00D822FF" w:rsidRPr="00D822FF" w:rsidRDefault="00D822FF" w:rsidP="00D822FF">
            <w:pPr>
              <w:spacing w:after="200" w:line="276" w:lineRule="auto"/>
            </w:pPr>
            <w:r w:rsidRPr="00D822FF">
              <w:t>Carolyn</w:t>
            </w:r>
          </w:p>
        </w:tc>
        <w:tc>
          <w:tcPr>
            <w:tcW w:w="1134" w:type="dxa"/>
            <w:noWrap/>
            <w:hideMark/>
          </w:tcPr>
          <w:p w:rsidR="00D822FF" w:rsidRPr="00D822FF" w:rsidRDefault="00D822FF" w:rsidP="00D822FF">
            <w:pPr>
              <w:spacing w:after="200" w:line="276" w:lineRule="auto"/>
            </w:pPr>
            <w:r w:rsidRPr="00D822FF">
              <w:t>May-15</w:t>
            </w:r>
          </w:p>
        </w:tc>
        <w:tc>
          <w:tcPr>
            <w:tcW w:w="3180" w:type="dxa"/>
            <w:noWrap/>
            <w:hideMark/>
          </w:tcPr>
          <w:p w:rsidR="00D822FF" w:rsidRPr="00D822FF" w:rsidRDefault="00D822FF" w:rsidP="00D822FF">
            <w:pPr>
              <w:spacing w:after="200" w:line="276" w:lineRule="auto"/>
            </w:pPr>
            <w:r w:rsidRPr="00D822FF">
              <w:t xml:space="preserve">Online training circulated to E&amp;D Group 19/2/15 </w:t>
            </w:r>
          </w:p>
        </w:tc>
      </w:tr>
      <w:tr w:rsidR="00D822FF" w:rsidRPr="00D822FF" w:rsidTr="00896E11">
        <w:trPr>
          <w:trHeight w:val="300"/>
        </w:trPr>
        <w:tc>
          <w:tcPr>
            <w:tcW w:w="3033" w:type="dxa"/>
            <w:noWrap/>
            <w:hideMark/>
          </w:tcPr>
          <w:p w:rsidR="00D822FF" w:rsidRPr="00D822FF" w:rsidRDefault="00D822FF" w:rsidP="00D822FF">
            <w:pPr>
              <w:spacing w:after="200" w:line="276" w:lineRule="auto"/>
            </w:pPr>
            <w:r w:rsidRPr="00D822FF">
              <w:t>Introduce 'exit interviews'</w:t>
            </w:r>
          </w:p>
        </w:tc>
        <w:tc>
          <w:tcPr>
            <w:tcW w:w="1895" w:type="dxa"/>
            <w:noWrap/>
            <w:hideMark/>
          </w:tcPr>
          <w:p w:rsidR="00D822FF" w:rsidRPr="00D822FF" w:rsidRDefault="00D822FF" w:rsidP="00D822FF">
            <w:pPr>
              <w:spacing w:after="200" w:line="276" w:lineRule="auto"/>
            </w:pPr>
            <w:r w:rsidRPr="00D822FF">
              <w:t>Carolyn</w:t>
            </w:r>
          </w:p>
        </w:tc>
        <w:tc>
          <w:tcPr>
            <w:tcW w:w="1134" w:type="dxa"/>
            <w:noWrap/>
            <w:hideMark/>
          </w:tcPr>
          <w:p w:rsidR="00D822FF" w:rsidRPr="00D822FF" w:rsidRDefault="00D822FF" w:rsidP="00D822FF">
            <w:pPr>
              <w:spacing w:after="200" w:line="276" w:lineRule="auto"/>
            </w:pPr>
            <w:r w:rsidRPr="00D822FF">
              <w:t> </w:t>
            </w:r>
          </w:p>
        </w:tc>
        <w:tc>
          <w:tcPr>
            <w:tcW w:w="3180" w:type="dxa"/>
            <w:noWrap/>
            <w:hideMark/>
          </w:tcPr>
          <w:p w:rsidR="00D822FF" w:rsidRPr="00D822FF" w:rsidRDefault="00D822FF" w:rsidP="00D822FF">
            <w:pPr>
              <w:spacing w:after="200" w:line="276" w:lineRule="auto"/>
            </w:pPr>
            <w:r w:rsidRPr="00D822FF">
              <w:t> </w:t>
            </w:r>
          </w:p>
        </w:tc>
      </w:tr>
      <w:tr w:rsidR="00D822FF" w:rsidRPr="00D822FF" w:rsidTr="00896E11">
        <w:trPr>
          <w:trHeight w:val="900"/>
        </w:trPr>
        <w:tc>
          <w:tcPr>
            <w:tcW w:w="3033" w:type="dxa"/>
            <w:hideMark/>
          </w:tcPr>
          <w:p w:rsidR="00D822FF" w:rsidRPr="00D822FF" w:rsidRDefault="00D822FF" w:rsidP="00D822FF">
            <w:pPr>
              <w:spacing w:after="200" w:line="276" w:lineRule="auto"/>
            </w:pPr>
            <w:r w:rsidRPr="00D822FF">
              <w:t>Design an E&amp;D page on the School staff intranet, with links to relevant School/Faculty/University policies etc.</w:t>
            </w:r>
          </w:p>
        </w:tc>
        <w:tc>
          <w:tcPr>
            <w:tcW w:w="1895" w:type="dxa"/>
            <w:hideMark/>
          </w:tcPr>
          <w:p w:rsidR="00D822FF" w:rsidRPr="00D822FF" w:rsidRDefault="00D822FF" w:rsidP="00D822FF">
            <w:pPr>
              <w:spacing w:after="200" w:line="276" w:lineRule="auto"/>
            </w:pPr>
            <w:r w:rsidRPr="00D822FF">
              <w:t>Carolyn (with web officer support)</w:t>
            </w:r>
          </w:p>
        </w:tc>
        <w:tc>
          <w:tcPr>
            <w:tcW w:w="1134" w:type="dxa"/>
            <w:noWrap/>
            <w:hideMark/>
          </w:tcPr>
          <w:p w:rsidR="00D822FF" w:rsidRPr="00D822FF" w:rsidRDefault="00D822FF" w:rsidP="00D822FF">
            <w:pPr>
              <w:spacing w:after="200" w:line="276" w:lineRule="auto"/>
            </w:pPr>
            <w:r w:rsidRPr="00D822FF">
              <w:t>Jul-15</w:t>
            </w:r>
          </w:p>
        </w:tc>
        <w:tc>
          <w:tcPr>
            <w:tcW w:w="3180" w:type="dxa"/>
            <w:noWrap/>
            <w:hideMark/>
          </w:tcPr>
          <w:p w:rsidR="00D822FF" w:rsidRPr="00D822FF" w:rsidRDefault="00D822FF" w:rsidP="00D822FF">
            <w:pPr>
              <w:spacing w:after="200" w:line="276" w:lineRule="auto"/>
            </w:pPr>
            <w:r w:rsidRPr="00D822FF">
              <w:t> </w:t>
            </w:r>
          </w:p>
        </w:tc>
      </w:tr>
      <w:tr w:rsidR="00D822FF" w:rsidRPr="00D822FF" w:rsidTr="00896E11">
        <w:trPr>
          <w:trHeight w:val="900"/>
        </w:trPr>
        <w:tc>
          <w:tcPr>
            <w:tcW w:w="3033" w:type="dxa"/>
            <w:hideMark/>
          </w:tcPr>
          <w:p w:rsidR="00D822FF" w:rsidRPr="00D822FF" w:rsidRDefault="00D822FF" w:rsidP="00D822FF">
            <w:pPr>
              <w:spacing w:after="200" w:line="276" w:lineRule="auto"/>
            </w:pPr>
            <w:r w:rsidRPr="00D822FF">
              <w:t>Improve existing promotions procedures (building upon good practice identified elsewhere)</w:t>
            </w:r>
          </w:p>
        </w:tc>
        <w:tc>
          <w:tcPr>
            <w:tcW w:w="1895" w:type="dxa"/>
            <w:hideMark/>
          </w:tcPr>
          <w:p w:rsidR="00D822FF" w:rsidRPr="00D822FF" w:rsidRDefault="00D822FF" w:rsidP="00D822FF">
            <w:pPr>
              <w:spacing w:after="200" w:line="276" w:lineRule="auto"/>
            </w:pPr>
            <w:r w:rsidRPr="00D822FF">
              <w:t>Carolyn and other WG members</w:t>
            </w:r>
          </w:p>
        </w:tc>
        <w:tc>
          <w:tcPr>
            <w:tcW w:w="1134" w:type="dxa"/>
            <w:noWrap/>
            <w:hideMark/>
          </w:tcPr>
          <w:p w:rsidR="00D822FF" w:rsidRPr="00D822FF" w:rsidRDefault="00D822FF" w:rsidP="00D822FF">
            <w:pPr>
              <w:spacing w:after="200" w:line="276" w:lineRule="auto"/>
            </w:pPr>
            <w:r w:rsidRPr="00D822FF">
              <w:t>Jul-15</w:t>
            </w:r>
          </w:p>
        </w:tc>
        <w:tc>
          <w:tcPr>
            <w:tcW w:w="3180" w:type="dxa"/>
            <w:hideMark/>
          </w:tcPr>
          <w:p w:rsidR="00D822FF" w:rsidRPr="00D822FF" w:rsidRDefault="00D822FF" w:rsidP="00D822FF">
            <w:pPr>
              <w:spacing w:after="200" w:line="276" w:lineRule="auto"/>
            </w:pPr>
            <w:r w:rsidRPr="00D822FF">
              <w:t xml:space="preserve">Introduce promotions </w:t>
            </w:r>
            <w:proofErr w:type="spellStart"/>
            <w:r w:rsidRPr="00D822FF">
              <w:t>proforma</w:t>
            </w:r>
            <w:proofErr w:type="spellEnd"/>
            <w:r w:rsidRPr="00D822FF">
              <w:t xml:space="preserve"> for completion by members of Promotions Committee</w:t>
            </w:r>
          </w:p>
        </w:tc>
      </w:tr>
      <w:tr w:rsidR="00D822FF" w:rsidRPr="00D822FF" w:rsidTr="00896E11">
        <w:trPr>
          <w:trHeight w:val="274"/>
        </w:trPr>
        <w:tc>
          <w:tcPr>
            <w:tcW w:w="3033" w:type="dxa"/>
            <w:hideMark/>
          </w:tcPr>
          <w:p w:rsidR="00D822FF" w:rsidRPr="00D822FF" w:rsidRDefault="00D822FF" w:rsidP="00D822FF">
            <w:pPr>
              <w:spacing w:after="200" w:line="276" w:lineRule="auto"/>
            </w:pPr>
            <w:r w:rsidRPr="00D822FF">
              <w:t>Improve existing appointments procedures (building upon good practice identified in other Schools)</w:t>
            </w:r>
          </w:p>
        </w:tc>
        <w:tc>
          <w:tcPr>
            <w:tcW w:w="1895" w:type="dxa"/>
            <w:hideMark/>
          </w:tcPr>
          <w:p w:rsidR="00D822FF" w:rsidRPr="00D822FF" w:rsidRDefault="00D822FF" w:rsidP="00D822FF">
            <w:pPr>
              <w:spacing w:after="200" w:line="276" w:lineRule="auto"/>
            </w:pPr>
            <w:r w:rsidRPr="00D822FF">
              <w:t>Carolyn and other WG members</w:t>
            </w:r>
          </w:p>
        </w:tc>
        <w:tc>
          <w:tcPr>
            <w:tcW w:w="1134" w:type="dxa"/>
            <w:noWrap/>
            <w:hideMark/>
          </w:tcPr>
          <w:p w:rsidR="00D822FF" w:rsidRPr="00D822FF" w:rsidRDefault="00D822FF" w:rsidP="00D822FF">
            <w:pPr>
              <w:spacing w:after="200" w:line="276" w:lineRule="auto"/>
            </w:pPr>
            <w:r w:rsidRPr="00D822FF">
              <w:t>Jul-15</w:t>
            </w:r>
          </w:p>
        </w:tc>
        <w:tc>
          <w:tcPr>
            <w:tcW w:w="3180" w:type="dxa"/>
            <w:noWrap/>
            <w:hideMark/>
          </w:tcPr>
          <w:p w:rsidR="00D822FF" w:rsidRPr="00D822FF" w:rsidRDefault="00D822FF" w:rsidP="00D822FF">
            <w:pPr>
              <w:spacing w:after="200" w:line="276" w:lineRule="auto"/>
            </w:pPr>
            <w:r w:rsidRPr="00D822FF">
              <w:t> </w:t>
            </w:r>
          </w:p>
        </w:tc>
      </w:tr>
    </w:tbl>
    <w:p w:rsidR="00896E11" w:rsidRDefault="00896E11">
      <w:pPr>
        <w:rPr>
          <w:b/>
        </w:rPr>
      </w:pPr>
      <w:r>
        <w:rPr>
          <w:b/>
        </w:rPr>
        <w:br w:type="page"/>
      </w:r>
    </w:p>
    <w:p w:rsidR="00896E11" w:rsidRDefault="00896E11" w:rsidP="00D822FF">
      <w:pPr>
        <w:rPr>
          <w:b/>
        </w:rPr>
        <w:sectPr w:rsidR="00896E11" w:rsidSect="006E79A8">
          <w:footerReference w:type="default" r:id="rId9"/>
          <w:pgSz w:w="11906" w:h="16838"/>
          <w:pgMar w:top="1440" w:right="1440" w:bottom="1440" w:left="1440" w:header="708" w:footer="708" w:gutter="0"/>
          <w:cols w:space="708"/>
          <w:docGrid w:linePitch="360"/>
        </w:sectPr>
      </w:pPr>
    </w:p>
    <w:p w:rsidR="00D822FF" w:rsidRPr="00D822FF" w:rsidRDefault="00D822FF" w:rsidP="00D822FF">
      <w:pPr>
        <w:rPr>
          <w:b/>
        </w:rPr>
      </w:pPr>
      <w:r w:rsidRPr="00D822FF">
        <w:rPr>
          <w:b/>
        </w:rPr>
        <w:lastRenderedPageBreak/>
        <w:t>1.4</w:t>
      </w:r>
      <w:r w:rsidRPr="00D822FF">
        <w:rPr>
          <w:b/>
        </w:rPr>
        <w:tab/>
        <w:t>Manchester Business School</w:t>
      </w:r>
    </w:p>
    <w:p w:rsidR="00D822FF" w:rsidRPr="00D822FF" w:rsidRDefault="00D822FF" w:rsidP="00D822FF">
      <w:pPr>
        <w:rPr>
          <w:b/>
        </w:rPr>
      </w:pPr>
      <w:r w:rsidRPr="00D822FF">
        <w:rPr>
          <w:b/>
        </w:rPr>
        <w:t>Equality and Diversity Local Action Plan – Manchester Business School</w:t>
      </w:r>
    </w:p>
    <w:p w:rsidR="00D822FF" w:rsidRPr="00D822FF" w:rsidRDefault="00D822FF" w:rsidP="00D822FF">
      <w:pPr>
        <w:rPr>
          <w:b/>
        </w:rPr>
      </w:pPr>
      <w:r w:rsidRPr="00D822FF">
        <w:rPr>
          <w:b/>
        </w:rPr>
        <w:t>Introduction</w:t>
      </w:r>
    </w:p>
    <w:p w:rsidR="00D822FF" w:rsidRPr="00D822FF" w:rsidRDefault="00D822FF" w:rsidP="00896E11">
      <w:pPr>
        <w:jc w:val="both"/>
      </w:pPr>
      <w:r w:rsidRPr="00D822FF">
        <w:t>The University of Manchester has a genuine commitment to equality of opportunity for staff and students. In the STEMM subjects (science, technology, engineering, mathematics and medicine), the University has been awarded the Athena SWAN Bronze Award. The Faculty of Humanities is committed to adopting Athena SWAN Charter principles and processes, but takes a broader approach by covering ethnicity as well as gender, and PSS as well as academic and research staff. In order to further advance equality and diversity in Humanities, the Faculty established a Staff Equality and Diversity Working Group. The Manchester Business School’s representative on this group, Professor Helge Hoel, has received and analysed equality and diversity data with support from Joanne Couling (HR partner MBS) (see below for a summary) and developed a Draft Local Action Plan in collaboration with an MBS working party. The School working party consists of the following members and has representation from all Academic Divisions as well as PSS:</w:t>
      </w:r>
    </w:p>
    <w:p w:rsidR="00D822FF" w:rsidRPr="00D822FF" w:rsidRDefault="00D822FF" w:rsidP="00896E11">
      <w:pPr>
        <w:numPr>
          <w:ilvl w:val="0"/>
          <w:numId w:val="19"/>
        </w:numPr>
        <w:spacing w:after="0"/>
        <w:ind w:left="357" w:hanging="357"/>
      </w:pPr>
      <w:r w:rsidRPr="00D822FF">
        <w:t>Helge Hoel (PMO) (Chair; MBS Representative on Faculty E&amp;D Working Group)</w:t>
      </w:r>
    </w:p>
    <w:p w:rsidR="00D822FF" w:rsidRPr="00D822FF" w:rsidRDefault="00D822FF" w:rsidP="00896E11">
      <w:pPr>
        <w:numPr>
          <w:ilvl w:val="0"/>
          <w:numId w:val="19"/>
        </w:numPr>
        <w:spacing w:after="0"/>
        <w:ind w:left="357" w:hanging="357"/>
      </w:pPr>
      <w:r w:rsidRPr="00D822FF">
        <w:t>Michelle Kipling (PSS)</w:t>
      </w:r>
    </w:p>
    <w:p w:rsidR="00D822FF" w:rsidRPr="00D822FF" w:rsidRDefault="00D822FF" w:rsidP="00896E11">
      <w:pPr>
        <w:numPr>
          <w:ilvl w:val="0"/>
          <w:numId w:val="19"/>
        </w:numPr>
        <w:spacing w:after="0"/>
        <w:ind w:left="357" w:hanging="357"/>
      </w:pPr>
      <w:r w:rsidRPr="00D822FF">
        <w:t xml:space="preserve">Susanne </w:t>
      </w:r>
      <w:proofErr w:type="spellStart"/>
      <w:r w:rsidRPr="00D822FF">
        <w:t>Espenlaub</w:t>
      </w:r>
      <w:proofErr w:type="spellEnd"/>
      <w:r w:rsidRPr="00D822FF">
        <w:t xml:space="preserve"> (A&amp;F) </w:t>
      </w:r>
    </w:p>
    <w:p w:rsidR="00D822FF" w:rsidRPr="00D822FF" w:rsidRDefault="00D822FF" w:rsidP="00896E11">
      <w:pPr>
        <w:numPr>
          <w:ilvl w:val="0"/>
          <w:numId w:val="19"/>
        </w:numPr>
        <w:spacing w:after="0"/>
        <w:ind w:left="357" w:hanging="357"/>
      </w:pPr>
      <w:proofErr w:type="spellStart"/>
      <w:r w:rsidRPr="00D822FF">
        <w:t>Elivira</w:t>
      </w:r>
      <w:proofErr w:type="spellEnd"/>
      <w:r w:rsidRPr="00D822FF">
        <w:t xml:space="preserve"> Uyarra (IMP)</w:t>
      </w:r>
    </w:p>
    <w:p w:rsidR="00D822FF" w:rsidRPr="00D822FF" w:rsidRDefault="00D822FF" w:rsidP="00896E11">
      <w:pPr>
        <w:numPr>
          <w:ilvl w:val="0"/>
          <w:numId w:val="19"/>
        </w:numPr>
        <w:spacing w:after="0"/>
        <w:ind w:left="357" w:hanging="357"/>
        <w:rPr>
          <w:b/>
        </w:rPr>
      </w:pPr>
      <w:proofErr w:type="spellStart"/>
      <w:r w:rsidRPr="00D822FF">
        <w:t>Ilma</w:t>
      </w:r>
      <w:proofErr w:type="spellEnd"/>
      <w:r w:rsidRPr="00D822FF">
        <w:t xml:space="preserve"> Choudry (MOMS)</w:t>
      </w:r>
    </w:p>
    <w:p w:rsidR="00D822FF" w:rsidRPr="00D822FF" w:rsidRDefault="00D822FF" w:rsidP="00896E11">
      <w:pPr>
        <w:numPr>
          <w:ilvl w:val="0"/>
          <w:numId w:val="19"/>
        </w:numPr>
        <w:spacing w:after="0"/>
        <w:ind w:left="357" w:hanging="357"/>
      </w:pPr>
      <w:r w:rsidRPr="00D822FF">
        <w:t xml:space="preserve">Dil Sidhu (Ex Ed) </w:t>
      </w:r>
    </w:p>
    <w:p w:rsidR="00D822FF" w:rsidRPr="00D822FF" w:rsidRDefault="00D822FF" w:rsidP="00D822FF">
      <w:pPr>
        <w:numPr>
          <w:ilvl w:val="0"/>
          <w:numId w:val="19"/>
        </w:numPr>
      </w:pPr>
      <w:r w:rsidRPr="00D822FF">
        <w:t>Jo Couling (HR Partner)</w:t>
      </w:r>
    </w:p>
    <w:p w:rsidR="00D822FF" w:rsidRPr="00D822FF" w:rsidRDefault="00D822FF" w:rsidP="00D822FF">
      <w:r w:rsidRPr="00D822FF">
        <w:t xml:space="preserve">Consideration will be given on how best to promote the plan within the School. </w:t>
      </w:r>
    </w:p>
    <w:p w:rsidR="00D822FF" w:rsidRPr="00D822FF" w:rsidRDefault="00D822FF" w:rsidP="00D822FF">
      <w:pPr>
        <w:rPr>
          <w:b/>
        </w:rPr>
      </w:pPr>
      <w:r w:rsidRPr="00D822FF">
        <w:rPr>
          <w:b/>
        </w:rPr>
        <w:t>DRAFT ACTION PLAN</w:t>
      </w:r>
    </w:p>
    <w:tbl>
      <w:tblPr>
        <w:tblStyle w:val="TableGrid"/>
        <w:tblW w:w="14236" w:type="dxa"/>
        <w:tblLayout w:type="fixed"/>
        <w:tblLook w:val="04A0" w:firstRow="1" w:lastRow="0" w:firstColumn="1" w:lastColumn="0" w:noHBand="0" w:noVBand="1"/>
      </w:tblPr>
      <w:tblGrid>
        <w:gridCol w:w="2157"/>
        <w:gridCol w:w="6598"/>
        <w:gridCol w:w="1937"/>
        <w:gridCol w:w="3544"/>
      </w:tblGrid>
      <w:tr w:rsidR="00D822FF" w:rsidRPr="00D822FF" w:rsidTr="00D822FF">
        <w:tc>
          <w:tcPr>
            <w:tcW w:w="2157" w:type="dxa"/>
            <w:tcBorders>
              <w:top w:val="single" w:sz="4" w:space="0" w:color="auto"/>
              <w:left w:val="single" w:sz="4" w:space="0" w:color="auto"/>
              <w:bottom w:val="single" w:sz="4" w:space="0" w:color="auto"/>
              <w:right w:val="single" w:sz="4" w:space="0" w:color="auto"/>
            </w:tcBorders>
            <w:hideMark/>
          </w:tcPr>
          <w:p w:rsidR="00D822FF" w:rsidRPr="00D822FF" w:rsidRDefault="00D822FF" w:rsidP="00D822FF">
            <w:pPr>
              <w:rPr>
                <w:b/>
              </w:rPr>
            </w:pPr>
            <w:r w:rsidRPr="00D822FF">
              <w:rPr>
                <w:b/>
              </w:rPr>
              <w:t>ISSUE</w:t>
            </w:r>
          </w:p>
        </w:tc>
        <w:tc>
          <w:tcPr>
            <w:tcW w:w="6598" w:type="dxa"/>
            <w:tcBorders>
              <w:top w:val="single" w:sz="4" w:space="0" w:color="auto"/>
              <w:left w:val="single" w:sz="4" w:space="0" w:color="auto"/>
              <w:bottom w:val="single" w:sz="4" w:space="0" w:color="auto"/>
              <w:right w:val="single" w:sz="4" w:space="0" w:color="auto"/>
            </w:tcBorders>
            <w:hideMark/>
          </w:tcPr>
          <w:p w:rsidR="00D822FF" w:rsidRPr="00D822FF" w:rsidRDefault="00D822FF" w:rsidP="00D822FF">
            <w:pPr>
              <w:rPr>
                <w:b/>
              </w:rPr>
            </w:pPr>
            <w:r w:rsidRPr="00D822FF">
              <w:rPr>
                <w:b/>
              </w:rPr>
              <w:t>ACTION</w:t>
            </w:r>
          </w:p>
        </w:tc>
        <w:tc>
          <w:tcPr>
            <w:tcW w:w="1937" w:type="dxa"/>
            <w:tcBorders>
              <w:top w:val="single" w:sz="4" w:space="0" w:color="auto"/>
              <w:left w:val="single" w:sz="4" w:space="0" w:color="auto"/>
              <w:bottom w:val="single" w:sz="4" w:space="0" w:color="auto"/>
              <w:right w:val="single" w:sz="4" w:space="0" w:color="auto"/>
            </w:tcBorders>
            <w:hideMark/>
          </w:tcPr>
          <w:p w:rsidR="00D822FF" w:rsidRPr="00D822FF" w:rsidRDefault="00D822FF" w:rsidP="00D822FF">
            <w:pPr>
              <w:rPr>
                <w:b/>
              </w:rPr>
            </w:pPr>
            <w:r w:rsidRPr="00D822FF">
              <w:rPr>
                <w:b/>
              </w:rPr>
              <w:t>WHO</w:t>
            </w:r>
          </w:p>
        </w:tc>
        <w:tc>
          <w:tcPr>
            <w:tcW w:w="3544" w:type="dxa"/>
            <w:tcBorders>
              <w:top w:val="single" w:sz="4" w:space="0" w:color="auto"/>
              <w:left w:val="single" w:sz="4" w:space="0" w:color="auto"/>
              <w:bottom w:val="single" w:sz="4" w:space="0" w:color="auto"/>
              <w:right w:val="single" w:sz="4" w:space="0" w:color="auto"/>
            </w:tcBorders>
            <w:hideMark/>
          </w:tcPr>
          <w:p w:rsidR="00D822FF" w:rsidRPr="00D822FF" w:rsidRDefault="00D822FF" w:rsidP="00D822FF">
            <w:pPr>
              <w:rPr>
                <w:b/>
              </w:rPr>
            </w:pPr>
            <w:r w:rsidRPr="00D822FF">
              <w:rPr>
                <w:b/>
              </w:rPr>
              <w:t>WHEN</w:t>
            </w:r>
          </w:p>
        </w:tc>
      </w:tr>
      <w:tr w:rsidR="00D822FF" w:rsidRPr="00D822FF" w:rsidTr="00D822FF">
        <w:trPr>
          <w:trHeight w:val="983"/>
        </w:trPr>
        <w:tc>
          <w:tcPr>
            <w:tcW w:w="2157" w:type="dxa"/>
            <w:vMerge w:val="restart"/>
            <w:tcBorders>
              <w:top w:val="single" w:sz="4" w:space="0" w:color="auto"/>
              <w:left w:val="single" w:sz="4" w:space="0" w:color="auto"/>
              <w:right w:val="single" w:sz="4" w:space="0" w:color="auto"/>
            </w:tcBorders>
          </w:tcPr>
          <w:p w:rsidR="00D822FF" w:rsidRPr="00D822FF" w:rsidRDefault="00D822FF" w:rsidP="00D822FF"/>
          <w:p w:rsidR="00D822FF" w:rsidRPr="00D822FF" w:rsidRDefault="00D822FF" w:rsidP="00D822FF">
            <w:r w:rsidRPr="00D822FF">
              <w:t>WORKING GROUP AND PROCESS</w:t>
            </w:r>
          </w:p>
          <w:p w:rsidR="00D822FF" w:rsidRPr="00D822FF" w:rsidRDefault="00D822FF" w:rsidP="00D822FF"/>
          <w:p w:rsidR="00D822FF" w:rsidRPr="00D822FF" w:rsidRDefault="00D822FF" w:rsidP="00D822FF">
            <w:r w:rsidRPr="00D822FF">
              <w:lastRenderedPageBreak/>
              <w:t xml:space="preserve">Ensure that equality and diversity is discussed and considered, and E&amp;D activity is supported, in all </w:t>
            </w:r>
            <w:r w:rsidR="00896E11">
              <w:t>divisions and amongst PSS teams</w:t>
            </w:r>
          </w:p>
        </w:tc>
        <w:tc>
          <w:tcPr>
            <w:tcW w:w="6598" w:type="dxa"/>
            <w:tcBorders>
              <w:top w:val="single" w:sz="4" w:space="0" w:color="auto"/>
              <w:left w:val="single" w:sz="4" w:space="0" w:color="auto"/>
              <w:bottom w:val="single" w:sz="4" w:space="0" w:color="auto"/>
              <w:right w:val="single" w:sz="4" w:space="0" w:color="auto"/>
            </w:tcBorders>
          </w:tcPr>
          <w:p w:rsidR="00D822FF" w:rsidRPr="00D822FF" w:rsidRDefault="00D822FF" w:rsidP="00D822FF"/>
          <w:p w:rsidR="00D822FF" w:rsidRPr="00D822FF" w:rsidRDefault="00D822FF" w:rsidP="00D822FF">
            <w:r w:rsidRPr="00D822FF">
              <w:t>Establish a MBS E&amp;D Working Group with representation from all divisions and PSS</w:t>
            </w:r>
          </w:p>
          <w:p w:rsidR="00D822FF" w:rsidRPr="00D822FF" w:rsidRDefault="00D822FF" w:rsidP="00D822FF"/>
        </w:tc>
        <w:tc>
          <w:tcPr>
            <w:tcW w:w="1937" w:type="dxa"/>
            <w:tcBorders>
              <w:top w:val="single" w:sz="4" w:space="0" w:color="auto"/>
              <w:left w:val="single" w:sz="4" w:space="0" w:color="auto"/>
              <w:bottom w:val="single" w:sz="4" w:space="0" w:color="auto"/>
              <w:right w:val="single" w:sz="4" w:space="0" w:color="auto"/>
            </w:tcBorders>
          </w:tcPr>
          <w:p w:rsidR="00D822FF" w:rsidRPr="00D822FF" w:rsidRDefault="00D822FF" w:rsidP="00D822FF"/>
          <w:p w:rsidR="00D822FF" w:rsidRPr="00D822FF" w:rsidRDefault="00D822FF" w:rsidP="00D822FF">
            <w:r w:rsidRPr="00D822FF">
              <w:t>School E&amp;D Representative</w:t>
            </w:r>
          </w:p>
          <w:p w:rsidR="00D822FF" w:rsidRPr="00D822FF" w:rsidRDefault="00D822FF" w:rsidP="00D822FF"/>
        </w:tc>
        <w:tc>
          <w:tcPr>
            <w:tcW w:w="3544" w:type="dxa"/>
            <w:tcBorders>
              <w:top w:val="single" w:sz="4" w:space="0" w:color="auto"/>
              <w:left w:val="single" w:sz="4" w:space="0" w:color="auto"/>
              <w:bottom w:val="single" w:sz="4" w:space="0" w:color="auto"/>
              <w:right w:val="single" w:sz="4" w:space="0" w:color="auto"/>
            </w:tcBorders>
          </w:tcPr>
          <w:p w:rsidR="00D822FF" w:rsidRPr="00D822FF" w:rsidRDefault="00D822FF" w:rsidP="00D822FF"/>
          <w:p w:rsidR="00D822FF" w:rsidRPr="00D822FF" w:rsidRDefault="00D822FF" w:rsidP="00D822FF">
            <w:r w:rsidRPr="00D822FF">
              <w:t>Complete – Meetings held 13.10.14 and 25.11.14</w:t>
            </w:r>
          </w:p>
          <w:p w:rsidR="00D822FF" w:rsidRPr="00D822FF" w:rsidRDefault="00D822FF" w:rsidP="00D822FF"/>
        </w:tc>
      </w:tr>
      <w:tr w:rsidR="00D822FF" w:rsidRPr="00D822FF" w:rsidTr="00D822FF">
        <w:trPr>
          <w:trHeight w:val="824"/>
        </w:trPr>
        <w:tc>
          <w:tcPr>
            <w:tcW w:w="2157" w:type="dxa"/>
            <w:vMerge/>
            <w:tcBorders>
              <w:left w:val="single" w:sz="4" w:space="0" w:color="auto"/>
              <w:right w:val="single" w:sz="4" w:space="0" w:color="auto"/>
            </w:tcBorders>
          </w:tcPr>
          <w:p w:rsidR="00D822FF" w:rsidRPr="00D822FF" w:rsidRDefault="00D822FF" w:rsidP="00D822FF"/>
        </w:tc>
        <w:tc>
          <w:tcPr>
            <w:tcW w:w="6598" w:type="dxa"/>
            <w:tcBorders>
              <w:top w:val="single" w:sz="4" w:space="0" w:color="auto"/>
              <w:left w:val="single" w:sz="4" w:space="0" w:color="auto"/>
              <w:bottom w:val="single" w:sz="4" w:space="0" w:color="auto"/>
              <w:right w:val="single" w:sz="4" w:space="0" w:color="auto"/>
            </w:tcBorders>
          </w:tcPr>
          <w:p w:rsidR="00D822FF" w:rsidRPr="00D822FF" w:rsidRDefault="00D822FF" w:rsidP="00D822FF">
            <w:r w:rsidRPr="00D822FF">
              <w:t xml:space="preserve">Draft Action plan to be prepared within input from group, to discuss with Head of School </w:t>
            </w:r>
          </w:p>
          <w:p w:rsidR="00D822FF" w:rsidRPr="00D822FF" w:rsidRDefault="00D822FF" w:rsidP="00D822FF"/>
        </w:tc>
        <w:tc>
          <w:tcPr>
            <w:tcW w:w="1937" w:type="dxa"/>
            <w:tcBorders>
              <w:top w:val="single" w:sz="4" w:space="0" w:color="auto"/>
              <w:left w:val="single" w:sz="4" w:space="0" w:color="auto"/>
              <w:bottom w:val="single" w:sz="4" w:space="0" w:color="auto"/>
              <w:right w:val="single" w:sz="4" w:space="0" w:color="auto"/>
            </w:tcBorders>
          </w:tcPr>
          <w:p w:rsidR="00D822FF" w:rsidRPr="00D822FF" w:rsidRDefault="00D822FF" w:rsidP="00D822FF">
            <w:r w:rsidRPr="00D822FF">
              <w:t>School E&amp;D Representative</w:t>
            </w:r>
          </w:p>
        </w:tc>
        <w:tc>
          <w:tcPr>
            <w:tcW w:w="3544" w:type="dxa"/>
            <w:tcBorders>
              <w:top w:val="single" w:sz="4" w:space="0" w:color="auto"/>
              <w:left w:val="single" w:sz="4" w:space="0" w:color="auto"/>
              <w:bottom w:val="single" w:sz="4" w:space="0" w:color="auto"/>
              <w:right w:val="single" w:sz="4" w:space="0" w:color="auto"/>
            </w:tcBorders>
          </w:tcPr>
          <w:p w:rsidR="00D822FF" w:rsidRPr="00D822FF" w:rsidRDefault="00D822FF" w:rsidP="00D822FF">
            <w:r w:rsidRPr="00D822FF">
              <w:t>Completed December 2014</w:t>
            </w:r>
          </w:p>
        </w:tc>
      </w:tr>
      <w:tr w:rsidR="00D822FF" w:rsidRPr="00D822FF" w:rsidTr="00896E11">
        <w:trPr>
          <w:trHeight w:val="1136"/>
        </w:trPr>
        <w:tc>
          <w:tcPr>
            <w:tcW w:w="2157" w:type="dxa"/>
            <w:vMerge/>
            <w:tcBorders>
              <w:left w:val="single" w:sz="4" w:space="0" w:color="auto"/>
              <w:right w:val="single" w:sz="4" w:space="0" w:color="auto"/>
            </w:tcBorders>
          </w:tcPr>
          <w:p w:rsidR="00D822FF" w:rsidRPr="00D822FF" w:rsidRDefault="00D822FF" w:rsidP="00D822FF"/>
        </w:tc>
        <w:tc>
          <w:tcPr>
            <w:tcW w:w="6598" w:type="dxa"/>
            <w:tcBorders>
              <w:top w:val="single" w:sz="4" w:space="0" w:color="auto"/>
              <w:left w:val="single" w:sz="4" w:space="0" w:color="auto"/>
              <w:bottom w:val="single" w:sz="4" w:space="0" w:color="auto"/>
              <w:right w:val="single" w:sz="4" w:space="0" w:color="auto"/>
            </w:tcBorders>
          </w:tcPr>
          <w:p w:rsidR="00D822FF" w:rsidRPr="00D822FF" w:rsidRDefault="00D822FF" w:rsidP="00D822FF">
            <w:r w:rsidRPr="00D822FF">
              <w:t>Group to review progress against action plan</w:t>
            </w:r>
          </w:p>
        </w:tc>
        <w:tc>
          <w:tcPr>
            <w:tcW w:w="1937" w:type="dxa"/>
            <w:tcBorders>
              <w:top w:val="single" w:sz="4" w:space="0" w:color="auto"/>
              <w:left w:val="single" w:sz="4" w:space="0" w:color="auto"/>
              <w:bottom w:val="single" w:sz="4" w:space="0" w:color="auto"/>
              <w:right w:val="single" w:sz="4" w:space="0" w:color="auto"/>
            </w:tcBorders>
          </w:tcPr>
          <w:p w:rsidR="00D822FF" w:rsidRPr="00D822FF" w:rsidRDefault="00D822FF" w:rsidP="00D822FF">
            <w:r w:rsidRPr="00D822FF">
              <w:t>School E&amp;D Representative</w:t>
            </w:r>
          </w:p>
        </w:tc>
        <w:tc>
          <w:tcPr>
            <w:tcW w:w="3544" w:type="dxa"/>
            <w:tcBorders>
              <w:top w:val="single" w:sz="4" w:space="0" w:color="auto"/>
              <w:left w:val="single" w:sz="4" w:space="0" w:color="auto"/>
              <w:bottom w:val="single" w:sz="4" w:space="0" w:color="auto"/>
              <w:right w:val="single" w:sz="4" w:space="0" w:color="auto"/>
            </w:tcBorders>
          </w:tcPr>
          <w:p w:rsidR="00D822FF" w:rsidRPr="00D822FF" w:rsidRDefault="00D822FF" w:rsidP="00D822FF">
            <w:r w:rsidRPr="00D822FF">
              <w:t>6 and 12 months from launch</w:t>
            </w:r>
          </w:p>
        </w:tc>
      </w:tr>
      <w:tr w:rsidR="00D822FF" w:rsidRPr="00D822FF" w:rsidTr="00896E11">
        <w:trPr>
          <w:trHeight w:val="1406"/>
        </w:trPr>
        <w:tc>
          <w:tcPr>
            <w:tcW w:w="2157" w:type="dxa"/>
            <w:vMerge w:val="restart"/>
            <w:tcBorders>
              <w:top w:val="single" w:sz="4" w:space="0" w:color="auto"/>
              <w:left w:val="single" w:sz="4" w:space="0" w:color="auto"/>
              <w:right w:val="single" w:sz="4" w:space="0" w:color="auto"/>
            </w:tcBorders>
          </w:tcPr>
          <w:p w:rsidR="00D822FF" w:rsidRPr="00D822FF" w:rsidRDefault="00D822FF" w:rsidP="00D822FF"/>
          <w:p w:rsidR="00D822FF" w:rsidRPr="00D822FF" w:rsidRDefault="00D822FF" w:rsidP="00D822FF">
            <w:r w:rsidRPr="00D822FF">
              <w:t>UNDERSTANDING AND TRANSPARENCY OF E&amp;D PROFILE</w:t>
            </w:r>
          </w:p>
          <w:p w:rsidR="00D822FF" w:rsidRPr="00D822FF" w:rsidRDefault="00D822FF" w:rsidP="00D822FF"/>
          <w:p w:rsidR="00D822FF" w:rsidRPr="00D822FF" w:rsidRDefault="00D822FF" w:rsidP="00D822FF">
            <w:r w:rsidRPr="00D822FF">
              <w:t>Improve data-set on equality and diversity issues in the School</w:t>
            </w:r>
          </w:p>
          <w:p w:rsidR="00D822FF" w:rsidRPr="00D822FF" w:rsidRDefault="00D822FF" w:rsidP="00D822FF"/>
        </w:tc>
        <w:tc>
          <w:tcPr>
            <w:tcW w:w="6598" w:type="dxa"/>
            <w:tcBorders>
              <w:top w:val="single" w:sz="4" w:space="0" w:color="auto"/>
              <w:left w:val="single" w:sz="4" w:space="0" w:color="auto"/>
              <w:bottom w:val="single" w:sz="4" w:space="0" w:color="auto"/>
              <w:right w:val="single" w:sz="4" w:space="0" w:color="auto"/>
            </w:tcBorders>
          </w:tcPr>
          <w:p w:rsidR="00D822FF" w:rsidRPr="00D822FF" w:rsidRDefault="00D822FF" w:rsidP="00D822FF"/>
          <w:p w:rsidR="00D822FF" w:rsidRPr="00D822FF" w:rsidRDefault="00D822FF" w:rsidP="00D822FF">
            <w:r w:rsidRPr="00D822FF">
              <w:t>Conduct further analysis based on that done by Faculty E&amp;D Group, at a school level. Being mindful of confidentiality issues when considering smaller data sets.</w:t>
            </w:r>
          </w:p>
          <w:p w:rsidR="00D822FF" w:rsidRPr="00D822FF" w:rsidRDefault="00D822FF" w:rsidP="00D822FF"/>
        </w:tc>
        <w:tc>
          <w:tcPr>
            <w:tcW w:w="1937" w:type="dxa"/>
            <w:tcBorders>
              <w:top w:val="single" w:sz="4" w:space="0" w:color="auto"/>
              <w:left w:val="single" w:sz="4" w:space="0" w:color="auto"/>
              <w:bottom w:val="single" w:sz="4" w:space="0" w:color="auto"/>
              <w:right w:val="single" w:sz="4" w:space="0" w:color="auto"/>
            </w:tcBorders>
          </w:tcPr>
          <w:p w:rsidR="00D822FF" w:rsidRPr="00D822FF" w:rsidRDefault="00D822FF" w:rsidP="00D822FF"/>
          <w:p w:rsidR="00D822FF" w:rsidRPr="00D822FF" w:rsidRDefault="00D822FF" w:rsidP="00D822FF">
            <w:r w:rsidRPr="00D822FF">
              <w:t>HR Partner</w:t>
            </w:r>
          </w:p>
        </w:tc>
        <w:tc>
          <w:tcPr>
            <w:tcW w:w="3544" w:type="dxa"/>
            <w:tcBorders>
              <w:top w:val="single" w:sz="4" w:space="0" w:color="auto"/>
              <w:left w:val="single" w:sz="4" w:space="0" w:color="auto"/>
              <w:bottom w:val="single" w:sz="4" w:space="0" w:color="auto"/>
              <w:right w:val="single" w:sz="4" w:space="0" w:color="auto"/>
            </w:tcBorders>
          </w:tcPr>
          <w:p w:rsidR="00D822FF" w:rsidRPr="00D822FF" w:rsidRDefault="00D822FF" w:rsidP="00D822FF"/>
          <w:p w:rsidR="00D822FF" w:rsidRPr="00D822FF" w:rsidRDefault="00D822FF" w:rsidP="00D822FF">
            <w:r w:rsidRPr="00D822FF">
              <w:t>Complete – shared with MBS E&amp;D Group October 2014</w:t>
            </w:r>
          </w:p>
        </w:tc>
      </w:tr>
      <w:tr w:rsidR="00D822FF" w:rsidRPr="00D822FF" w:rsidTr="00D822FF">
        <w:trPr>
          <w:trHeight w:val="690"/>
        </w:trPr>
        <w:tc>
          <w:tcPr>
            <w:tcW w:w="2157" w:type="dxa"/>
            <w:vMerge/>
            <w:tcBorders>
              <w:left w:val="single" w:sz="4" w:space="0" w:color="auto"/>
              <w:right w:val="single" w:sz="4" w:space="0" w:color="auto"/>
            </w:tcBorders>
          </w:tcPr>
          <w:p w:rsidR="00D822FF" w:rsidRPr="00D822FF" w:rsidRDefault="00D822FF" w:rsidP="00D822FF"/>
        </w:tc>
        <w:tc>
          <w:tcPr>
            <w:tcW w:w="6598" w:type="dxa"/>
            <w:tcBorders>
              <w:top w:val="single" w:sz="4" w:space="0" w:color="auto"/>
              <w:left w:val="single" w:sz="4" w:space="0" w:color="auto"/>
              <w:bottom w:val="single" w:sz="4" w:space="0" w:color="auto"/>
              <w:right w:val="single" w:sz="4" w:space="0" w:color="auto"/>
            </w:tcBorders>
          </w:tcPr>
          <w:p w:rsidR="00D822FF" w:rsidRPr="00D822FF" w:rsidRDefault="00D822FF" w:rsidP="00D822FF">
            <w:r w:rsidRPr="00D822FF">
              <w:t xml:space="preserve">Share and discuss information on E&amp;D with a wider, appropriate audience. </w:t>
            </w:r>
          </w:p>
          <w:p w:rsidR="00D822FF" w:rsidRPr="00D822FF" w:rsidRDefault="00D822FF" w:rsidP="00D822FF">
            <w:r w:rsidRPr="00D822FF">
              <w:t xml:space="preserve">Send draft plan to </w:t>
            </w:r>
            <w:proofErr w:type="spellStart"/>
            <w:r w:rsidRPr="00D822FF">
              <w:t>HoDs</w:t>
            </w:r>
            <w:proofErr w:type="spellEnd"/>
            <w:r w:rsidRPr="00D822FF">
              <w:t xml:space="preserve"> and then to School Board.</w:t>
            </w:r>
          </w:p>
        </w:tc>
        <w:tc>
          <w:tcPr>
            <w:tcW w:w="1937" w:type="dxa"/>
            <w:tcBorders>
              <w:top w:val="single" w:sz="4" w:space="0" w:color="auto"/>
              <w:left w:val="single" w:sz="4" w:space="0" w:color="auto"/>
              <w:bottom w:val="single" w:sz="4" w:space="0" w:color="auto"/>
              <w:right w:val="single" w:sz="4" w:space="0" w:color="auto"/>
            </w:tcBorders>
          </w:tcPr>
          <w:p w:rsidR="00D822FF" w:rsidRPr="00D822FF" w:rsidRDefault="00D822FF" w:rsidP="00D822FF">
            <w:r w:rsidRPr="00D822FF">
              <w:t xml:space="preserve">School E&amp;D Representative </w:t>
            </w:r>
          </w:p>
        </w:tc>
        <w:tc>
          <w:tcPr>
            <w:tcW w:w="3544" w:type="dxa"/>
            <w:tcBorders>
              <w:top w:val="single" w:sz="4" w:space="0" w:color="auto"/>
              <w:left w:val="single" w:sz="4" w:space="0" w:color="auto"/>
              <w:bottom w:val="single" w:sz="4" w:space="0" w:color="auto"/>
              <w:right w:val="single" w:sz="4" w:space="0" w:color="auto"/>
            </w:tcBorders>
          </w:tcPr>
          <w:p w:rsidR="00D822FF" w:rsidRPr="00D822FF" w:rsidRDefault="00D822FF" w:rsidP="00D822FF">
            <w:r w:rsidRPr="00D822FF">
              <w:t>Complete - Plan shared with MBS Executive Committee and SRC.</w:t>
            </w:r>
          </w:p>
          <w:p w:rsidR="00D822FF" w:rsidRPr="00D822FF" w:rsidRDefault="00D822FF" w:rsidP="00D822FF">
            <w:r w:rsidRPr="00D822FF">
              <w:t>High level overview presented to School Board 11</w:t>
            </w:r>
            <w:r w:rsidRPr="00D822FF">
              <w:rPr>
                <w:vertAlign w:val="superscript"/>
              </w:rPr>
              <w:t>th</w:t>
            </w:r>
            <w:r w:rsidRPr="00D822FF">
              <w:t xml:space="preserve"> March 2015.</w:t>
            </w:r>
          </w:p>
        </w:tc>
      </w:tr>
      <w:tr w:rsidR="00D822FF" w:rsidRPr="00D822FF" w:rsidTr="00D822FF">
        <w:trPr>
          <w:trHeight w:val="1979"/>
        </w:trPr>
        <w:tc>
          <w:tcPr>
            <w:tcW w:w="2157" w:type="dxa"/>
            <w:vMerge/>
            <w:tcBorders>
              <w:left w:val="single" w:sz="4" w:space="0" w:color="auto"/>
              <w:bottom w:val="single" w:sz="4" w:space="0" w:color="auto"/>
              <w:right w:val="single" w:sz="4" w:space="0" w:color="auto"/>
            </w:tcBorders>
          </w:tcPr>
          <w:p w:rsidR="00D822FF" w:rsidRPr="00D822FF" w:rsidRDefault="00D822FF" w:rsidP="00D822FF">
            <w:pPr>
              <w:rPr>
                <w:b/>
              </w:rPr>
            </w:pPr>
          </w:p>
        </w:tc>
        <w:tc>
          <w:tcPr>
            <w:tcW w:w="6598" w:type="dxa"/>
            <w:tcBorders>
              <w:top w:val="single" w:sz="4" w:space="0" w:color="auto"/>
              <w:left w:val="single" w:sz="4" w:space="0" w:color="auto"/>
              <w:bottom w:val="single" w:sz="4" w:space="0" w:color="auto"/>
              <w:right w:val="single" w:sz="4" w:space="0" w:color="auto"/>
            </w:tcBorders>
          </w:tcPr>
          <w:p w:rsidR="00D822FF" w:rsidRPr="00D822FF" w:rsidRDefault="00D822FF" w:rsidP="00D822FF">
            <w:r w:rsidRPr="00D822FF">
              <w:t>Establish an Exit interview procedure (building upon the Faculty’s exit questionnaire) to explore e.g. why staff are leaving; any specific issues for staff with respect to equality and diversity; perception of E&amp;D within school. Format should be simple enough to allow data collection and identification of any E&amp;D issues over circa 12 month period. Investigate if it is possible to incorporate into existing exit checklist sent out by HR</w:t>
            </w:r>
          </w:p>
        </w:tc>
        <w:tc>
          <w:tcPr>
            <w:tcW w:w="1937" w:type="dxa"/>
            <w:tcBorders>
              <w:top w:val="single" w:sz="4" w:space="0" w:color="auto"/>
              <w:left w:val="single" w:sz="4" w:space="0" w:color="auto"/>
              <w:bottom w:val="single" w:sz="4" w:space="0" w:color="auto"/>
              <w:right w:val="single" w:sz="4" w:space="0" w:color="auto"/>
            </w:tcBorders>
          </w:tcPr>
          <w:p w:rsidR="00D822FF" w:rsidRPr="00D822FF" w:rsidRDefault="00D822FF" w:rsidP="00D822FF">
            <w:r w:rsidRPr="00D822FF">
              <w:t>School E&amp;D Representative and HR Partner</w:t>
            </w:r>
          </w:p>
          <w:p w:rsidR="00D822FF" w:rsidRPr="00D822FF" w:rsidRDefault="00D822FF" w:rsidP="00D822FF"/>
        </w:tc>
        <w:tc>
          <w:tcPr>
            <w:tcW w:w="3544" w:type="dxa"/>
            <w:tcBorders>
              <w:top w:val="single" w:sz="4" w:space="0" w:color="auto"/>
              <w:left w:val="single" w:sz="4" w:space="0" w:color="auto"/>
              <w:bottom w:val="single" w:sz="4" w:space="0" w:color="auto"/>
              <w:right w:val="single" w:sz="4" w:space="0" w:color="auto"/>
            </w:tcBorders>
          </w:tcPr>
          <w:p w:rsidR="00D822FF" w:rsidRPr="00D822FF" w:rsidRDefault="00D822FF" w:rsidP="00D822FF">
            <w:r w:rsidRPr="00D822FF">
              <w:t>On hold – Action Plan for Race Equality Charter Mark includes roll out of an exit interview across the University</w:t>
            </w:r>
          </w:p>
        </w:tc>
      </w:tr>
      <w:tr w:rsidR="00D822FF" w:rsidRPr="00D822FF" w:rsidTr="00896E11">
        <w:trPr>
          <w:trHeight w:val="889"/>
        </w:trPr>
        <w:tc>
          <w:tcPr>
            <w:tcW w:w="2157" w:type="dxa"/>
            <w:tcBorders>
              <w:top w:val="single" w:sz="4" w:space="0" w:color="auto"/>
              <w:left w:val="single" w:sz="4" w:space="0" w:color="auto"/>
              <w:bottom w:val="single" w:sz="4" w:space="0" w:color="auto"/>
              <w:right w:val="single" w:sz="4" w:space="0" w:color="auto"/>
            </w:tcBorders>
          </w:tcPr>
          <w:p w:rsidR="00D822FF" w:rsidRPr="00D822FF" w:rsidRDefault="00D822FF" w:rsidP="00D822FF">
            <w:r w:rsidRPr="00D822FF">
              <w:t>Regularly rev</w:t>
            </w:r>
            <w:r w:rsidR="00896E11">
              <w:t>iew equality and diversity data</w:t>
            </w:r>
          </w:p>
        </w:tc>
        <w:tc>
          <w:tcPr>
            <w:tcW w:w="6598" w:type="dxa"/>
            <w:tcBorders>
              <w:top w:val="single" w:sz="4" w:space="0" w:color="auto"/>
              <w:left w:val="single" w:sz="4" w:space="0" w:color="auto"/>
              <w:bottom w:val="single" w:sz="4" w:space="0" w:color="auto"/>
              <w:right w:val="single" w:sz="4" w:space="0" w:color="auto"/>
            </w:tcBorders>
          </w:tcPr>
          <w:p w:rsidR="00D822FF" w:rsidRPr="00D822FF" w:rsidRDefault="00D822FF" w:rsidP="00D822FF">
            <w:r w:rsidRPr="00D822FF">
              <w:t>To be determined by Faculty lev</w:t>
            </w:r>
            <w:r w:rsidR="00896E11">
              <w:t>el working group review of data</w:t>
            </w:r>
          </w:p>
        </w:tc>
        <w:tc>
          <w:tcPr>
            <w:tcW w:w="1937" w:type="dxa"/>
            <w:tcBorders>
              <w:top w:val="single" w:sz="4" w:space="0" w:color="auto"/>
              <w:left w:val="single" w:sz="4" w:space="0" w:color="auto"/>
              <w:bottom w:val="single" w:sz="4" w:space="0" w:color="auto"/>
              <w:right w:val="single" w:sz="4" w:space="0" w:color="auto"/>
            </w:tcBorders>
          </w:tcPr>
          <w:p w:rsidR="00D822FF" w:rsidRPr="00D822FF" w:rsidRDefault="00D822FF" w:rsidP="00D822FF">
            <w:r w:rsidRPr="00D822FF">
              <w:t>TBC</w:t>
            </w:r>
          </w:p>
        </w:tc>
        <w:tc>
          <w:tcPr>
            <w:tcW w:w="3544" w:type="dxa"/>
            <w:tcBorders>
              <w:top w:val="single" w:sz="4" w:space="0" w:color="auto"/>
              <w:left w:val="single" w:sz="4" w:space="0" w:color="auto"/>
              <w:bottom w:val="single" w:sz="4" w:space="0" w:color="auto"/>
              <w:right w:val="single" w:sz="4" w:space="0" w:color="auto"/>
            </w:tcBorders>
          </w:tcPr>
          <w:p w:rsidR="00D822FF" w:rsidRPr="00D822FF" w:rsidRDefault="00D822FF" w:rsidP="00D822FF">
            <w:r w:rsidRPr="00D822FF">
              <w:t>TBC</w:t>
            </w:r>
          </w:p>
        </w:tc>
      </w:tr>
      <w:tr w:rsidR="00D822FF" w:rsidRPr="00D822FF" w:rsidTr="00896E11">
        <w:trPr>
          <w:trHeight w:val="983"/>
        </w:trPr>
        <w:tc>
          <w:tcPr>
            <w:tcW w:w="2157" w:type="dxa"/>
            <w:vMerge w:val="restart"/>
            <w:tcBorders>
              <w:top w:val="single" w:sz="4" w:space="0" w:color="auto"/>
              <w:left w:val="single" w:sz="4" w:space="0" w:color="auto"/>
              <w:right w:val="single" w:sz="4" w:space="0" w:color="auto"/>
            </w:tcBorders>
          </w:tcPr>
          <w:p w:rsidR="00D822FF" w:rsidRPr="00D822FF" w:rsidRDefault="00D822FF" w:rsidP="00D822FF"/>
          <w:p w:rsidR="00D822FF" w:rsidRPr="00D822FF" w:rsidRDefault="00D822FF" w:rsidP="00D822FF">
            <w:r w:rsidRPr="00D822FF">
              <w:t>PROMOTING AWARENESS</w:t>
            </w:r>
          </w:p>
          <w:p w:rsidR="00D822FF" w:rsidRPr="00D822FF" w:rsidRDefault="00D822FF" w:rsidP="00D822FF"/>
          <w:p w:rsidR="00D822FF" w:rsidRPr="00D822FF" w:rsidRDefault="00D822FF" w:rsidP="00D822FF">
            <w:r w:rsidRPr="00D822FF">
              <w:lastRenderedPageBreak/>
              <w:t>Improve awareness and understanding of Faculty/University Policies that have equality and diversity implications</w:t>
            </w:r>
          </w:p>
          <w:p w:rsidR="00D822FF" w:rsidRPr="00D822FF" w:rsidRDefault="00D822FF" w:rsidP="00D822FF"/>
        </w:tc>
        <w:tc>
          <w:tcPr>
            <w:tcW w:w="6598" w:type="dxa"/>
            <w:tcBorders>
              <w:top w:val="single" w:sz="4" w:space="0" w:color="auto"/>
              <w:left w:val="single" w:sz="4" w:space="0" w:color="auto"/>
              <w:bottom w:val="single" w:sz="4" w:space="0" w:color="auto"/>
              <w:right w:val="single" w:sz="4" w:space="0" w:color="auto"/>
            </w:tcBorders>
          </w:tcPr>
          <w:p w:rsidR="00D822FF" w:rsidRPr="00D822FF" w:rsidRDefault="00D822FF" w:rsidP="00D822FF"/>
          <w:p w:rsidR="00D822FF" w:rsidRPr="00D822FF" w:rsidRDefault="00D822FF" w:rsidP="00D822FF">
            <w:r w:rsidRPr="00D822FF">
              <w:t>Include reference to E&amp;D agenda in Staff Award criteria</w:t>
            </w:r>
          </w:p>
        </w:tc>
        <w:tc>
          <w:tcPr>
            <w:tcW w:w="1937" w:type="dxa"/>
            <w:tcBorders>
              <w:top w:val="single" w:sz="4" w:space="0" w:color="auto"/>
              <w:left w:val="single" w:sz="4" w:space="0" w:color="auto"/>
              <w:bottom w:val="single" w:sz="4" w:space="0" w:color="auto"/>
              <w:right w:val="single" w:sz="4" w:space="0" w:color="auto"/>
            </w:tcBorders>
          </w:tcPr>
          <w:p w:rsidR="00D822FF" w:rsidRPr="00D822FF" w:rsidRDefault="00D822FF" w:rsidP="00D822FF"/>
          <w:p w:rsidR="00D822FF" w:rsidRPr="00D822FF" w:rsidRDefault="00D822FF" w:rsidP="00D822FF">
            <w:r w:rsidRPr="00D822FF">
              <w:t>HR and Internal Communications</w:t>
            </w:r>
          </w:p>
        </w:tc>
        <w:tc>
          <w:tcPr>
            <w:tcW w:w="3544" w:type="dxa"/>
            <w:tcBorders>
              <w:top w:val="single" w:sz="4" w:space="0" w:color="auto"/>
              <w:left w:val="single" w:sz="4" w:space="0" w:color="auto"/>
              <w:bottom w:val="single" w:sz="4" w:space="0" w:color="auto"/>
              <w:right w:val="single" w:sz="4" w:space="0" w:color="auto"/>
            </w:tcBorders>
          </w:tcPr>
          <w:p w:rsidR="00D822FF" w:rsidRPr="00D822FF" w:rsidRDefault="00D822FF" w:rsidP="00D822FF"/>
          <w:p w:rsidR="00D822FF" w:rsidRPr="00D822FF" w:rsidRDefault="00D822FF" w:rsidP="00D822FF">
            <w:r w:rsidRPr="00D822FF">
              <w:t xml:space="preserve">Complete </w:t>
            </w:r>
          </w:p>
          <w:p w:rsidR="00D822FF" w:rsidRPr="00D822FF" w:rsidRDefault="00D822FF" w:rsidP="00D822FF">
            <w:r w:rsidRPr="00D822FF">
              <w:t>(</w:t>
            </w:r>
            <w:hyperlink r:id="rId10" w:history="1">
              <w:r w:rsidRPr="00D822FF">
                <w:rPr>
                  <w:rStyle w:val="Hyperlink"/>
                </w:rPr>
                <w:t>Link</w:t>
              </w:r>
            </w:hyperlink>
            <w:r w:rsidRPr="00D822FF">
              <w:t>)</w:t>
            </w:r>
          </w:p>
          <w:p w:rsidR="00D822FF" w:rsidRPr="00D822FF" w:rsidRDefault="00D822FF" w:rsidP="00D822FF"/>
        </w:tc>
      </w:tr>
      <w:tr w:rsidR="00D822FF" w:rsidRPr="00D822FF" w:rsidTr="00D822FF">
        <w:trPr>
          <w:trHeight w:val="841"/>
        </w:trPr>
        <w:tc>
          <w:tcPr>
            <w:tcW w:w="2157" w:type="dxa"/>
            <w:vMerge/>
            <w:tcBorders>
              <w:left w:val="single" w:sz="4" w:space="0" w:color="auto"/>
              <w:right w:val="single" w:sz="4" w:space="0" w:color="auto"/>
            </w:tcBorders>
          </w:tcPr>
          <w:p w:rsidR="00D822FF" w:rsidRPr="00D822FF" w:rsidRDefault="00D822FF" w:rsidP="00D822FF"/>
        </w:tc>
        <w:tc>
          <w:tcPr>
            <w:tcW w:w="6598" w:type="dxa"/>
            <w:tcBorders>
              <w:top w:val="single" w:sz="4" w:space="0" w:color="auto"/>
              <w:left w:val="single" w:sz="4" w:space="0" w:color="auto"/>
              <w:bottom w:val="single" w:sz="4" w:space="0" w:color="auto"/>
              <w:right w:val="single" w:sz="4" w:space="0" w:color="auto"/>
            </w:tcBorders>
          </w:tcPr>
          <w:p w:rsidR="00D822FF" w:rsidRPr="00D822FF" w:rsidRDefault="00D822FF" w:rsidP="00D822FF">
            <w:r w:rsidRPr="00D822FF">
              <w:t>Provide links, on the School’s  staff intranet to key University/Faculty/School policies on equality and diversity, includin</w:t>
            </w:r>
            <w:r w:rsidR="00896E11">
              <w:t>g links to grievance procedures</w:t>
            </w:r>
          </w:p>
          <w:p w:rsidR="00D822FF" w:rsidRPr="00D822FF" w:rsidRDefault="00D822FF" w:rsidP="00D822FF"/>
        </w:tc>
        <w:tc>
          <w:tcPr>
            <w:tcW w:w="1937" w:type="dxa"/>
            <w:tcBorders>
              <w:top w:val="single" w:sz="4" w:space="0" w:color="auto"/>
              <w:left w:val="single" w:sz="4" w:space="0" w:color="auto"/>
              <w:bottom w:val="single" w:sz="4" w:space="0" w:color="auto"/>
              <w:right w:val="single" w:sz="4" w:space="0" w:color="auto"/>
            </w:tcBorders>
          </w:tcPr>
          <w:p w:rsidR="00D822FF" w:rsidRPr="00D822FF" w:rsidRDefault="00D822FF" w:rsidP="00D822FF">
            <w:r w:rsidRPr="00D822FF">
              <w:t>HR and Internal Communications/Divisional Services</w:t>
            </w:r>
          </w:p>
          <w:p w:rsidR="00D822FF" w:rsidRPr="00D822FF" w:rsidRDefault="00D822FF" w:rsidP="00D822FF"/>
        </w:tc>
        <w:tc>
          <w:tcPr>
            <w:tcW w:w="3544" w:type="dxa"/>
            <w:tcBorders>
              <w:top w:val="single" w:sz="4" w:space="0" w:color="auto"/>
              <w:left w:val="single" w:sz="4" w:space="0" w:color="auto"/>
              <w:bottom w:val="single" w:sz="4" w:space="0" w:color="auto"/>
              <w:right w:val="single" w:sz="4" w:space="0" w:color="auto"/>
            </w:tcBorders>
          </w:tcPr>
          <w:p w:rsidR="00D822FF" w:rsidRPr="00D822FF" w:rsidRDefault="00D822FF" w:rsidP="00D822FF">
            <w:r w:rsidRPr="00D822FF">
              <w:t>June 2015</w:t>
            </w:r>
          </w:p>
          <w:p w:rsidR="00D822FF" w:rsidRPr="00D822FF" w:rsidRDefault="00D822FF" w:rsidP="00D822FF"/>
        </w:tc>
      </w:tr>
      <w:tr w:rsidR="00D822FF" w:rsidRPr="00D822FF" w:rsidTr="00D822FF">
        <w:trPr>
          <w:trHeight w:val="841"/>
        </w:trPr>
        <w:tc>
          <w:tcPr>
            <w:tcW w:w="2157" w:type="dxa"/>
            <w:vMerge/>
            <w:tcBorders>
              <w:left w:val="single" w:sz="4" w:space="0" w:color="auto"/>
              <w:bottom w:val="single" w:sz="4" w:space="0" w:color="auto"/>
              <w:right w:val="single" w:sz="4" w:space="0" w:color="auto"/>
            </w:tcBorders>
          </w:tcPr>
          <w:p w:rsidR="00D822FF" w:rsidRPr="00D822FF" w:rsidRDefault="00D822FF" w:rsidP="00D822FF"/>
        </w:tc>
        <w:tc>
          <w:tcPr>
            <w:tcW w:w="6598" w:type="dxa"/>
            <w:tcBorders>
              <w:top w:val="single" w:sz="4" w:space="0" w:color="auto"/>
              <w:left w:val="single" w:sz="4" w:space="0" w:color="auto"/>
              <w:bottom w:val="single" w:sz="4" w:space="0" w:color="auto"/>
              <w:right w:val="single" w:sz="4" w:space="0" w:color="auto"/>
            </w:tcBorders>
          </w:tcPr>
          <w:p w:rsidR="00D822FF" w:rsidRPr="00D822FF" w:rsidRDefault="00D822FF" w:rsidP="00D822FF">
            <w:r w:rsidRPr="00D822FF">
              <w:t>Ensure that materials provided to new starters include link to compulsory E&amp;D Online training for new staff.</w:t>
            </w:r>
          </w:p>
          <w:p w:rsidR="00D822FF" w:rsidRPr="00D822FF" w:rsidRDefault="00D822FF" w:rsidP="00D822FF"/>
        </w:tc>
        <w:tc>
          <w:tcPr>
            <w:tcW w:w="1937" w:type="dxa"/>
            <w:tcBorders>
              <w:top w:val="single" w:sz="4" w:space="0" w:color="auto"/>
              <w:left w:val="single" w:sz="4" w:space="0" w:color="auto"/>
              <w:bottom w:val="single" w:sz="4" w:space="0" w:color="auto"/>
              <w:right w:val="single" w:sz="4" w:space="0" w:color="auto"/>
            </w:tcBorders>
          </w:tcPr>
          <w:p w:rsidR="00D822FF" w:rsidRPr="00D822FF" w:rsidRDefault="00D822FF" w:rsidP="00D822FF">
            <w:r w:rsidRPr="00D822FF">
              <w:t>HR and Internal Communications</w:t>
            </w:r>
          </w:p>
          <w:p w:rsidR="00D822FF" w:rsidRPr="00D822FF" w:rsidRDefault="00D822FF" w:rsidP="00D822FF"/>
        </w:tc>
        <w:tc>
          <w:tcPr>
            <w:tcW w:w="3544" w:type="dxa"/>
            <w:tcBorders>
              <w:top w:val="single" w:sz="4" w:space="0" w:color="auto"/>
              <w:left w:val="single" w:sz="4" w:space="0" w:color="auto"/>
              <w:bottom w:val="single" w:sz="4" w:space="0" w:color="auto"/>
              <w:right w:val="single" w:sz="4" w:space="0" w:color="auto"/>
            </w:tcBorders>
          </w:tcPr>
          <w:p w:rsidR="00D822FF" w:rsidRPr="00D822FF" w:rsidRDefault="00D822FF" w:rsidP="00D822FF">
            <w:r w:rsidRPr="00D822FF">
              <w:t>In line with plans for next School “New Starters Lunch”</w:t>
            </w:r>
          </w:p>
          <w:p w:rsidR="00D822FF" w:rsidRPr="00D822FF" w:rsidRDefault="00D822FF" w:rsidP="00D822FF"/>
        </w:tc>
      </w:tr>
      <w:tr w:rsidR="00D822FF" w:rsidRPr="00D822FF" w:rsidTr="00D822FF">
        <w:trPr>
          <w:trHeight w:val="841"/>
        </w:trPr>
        <w:tc>
          <w:tcPr>
            <w:tcW w:w="2157" w:type="dxa"/>
            <w:tcBorders>
              <w:top w:val="single" w:sz="4" w:space="0" w:color="auto"/>
              <w:left w:val="single" w:sz="4" w:space="0" w:color="auto"/>
              <w:bottom w:val="single" w:sz="4" w:space="0" w:color="auto"/>
              <w:right w:val="single" w:sz="4" w:space="0" w:color="auto"/>
            </w:tcBorders>
          </w:tcPr>
          <w:p w:rsidR="00D822FF" w:rsidRPr="00D822FF" w:rsidRDefault="00D822FF" w:rsidP="00D822FF">
            <w:r w:rsidRPr="00D822FF">
              <w:t>Promote University and Wider Equality and Diversity Initiatives within the School</w:t>
            </w:r>
          </w:p>
        </w:tc>
        <w:tc>
          <w:tcPr>
            <w:tcW w:w="6598" w:type="dxa"/>
            <w:tcBorders>
              <w:top w:val="single" w:sz="4" w:space="0" w:color="auto"/>
              <w:left w:val="single" w:sz="4" w:space="0" w:color="auto"/>
              <w:bottom w:val="single" w:sz="4" w:space="0" w:color="auto"/>
              <w:right w:val="single" w:sz="4" w:space="0" w:color="auto"/>
            </w:tcBorders>
          </w:tcPr>
          <w:p w:rsidR="00D822FF" w:rsidRPr="00D822FF" w:rsidRDefault="00D822FF" w:rsidP="00D822FF">
            <w:r w:rsidRPr="00D822FF">
              <w:t xml:space="preserve">Utilise internal communication channels to promote campaigns such as “We Get It”, Black History Month, </w:t>
            </w:r>
            <w:proofErr w:type="spellStart"/>
            <w:r w:rsidRPr="00D822FF">
              <w:t>etc</w:t>
            </w:r>
            <w:proofErr w:type="spellEnd"/>
          </w:p>
          <w:p w:rsidR="00D822FF" w:rsidRPr="00D822FF" w:rsidRDefault="00D822FF" w:rsidP="00D822FF"/>
        </w:tc>
        <w:tc>
          <w:tcPr>
            <w:tcW w:w="1937" w:type="dxa"/>
            <w:tcBorders>
              <w:top w:val="single" w:sz="4" w:space="0" w:color="auto"/>
              <w:left w:val="single" w:sz="4" w:space="0" w:color="auto"/>
              <w:bottom w:val="single" w:sz="4" w:space="0" w:color="auto"/>
              <w:right w:val="single" w:sz="4" w:space="0" w:color="auto"/>
            </w:tcBorders>
          </w:tcPr>
          <w:p w:rsidR="00D822FF" w:rsidRPr="00D822FF" w:rsidRDefault="00D822FF" w:rsidP="00D822FF">
            <w:r w:rsidRPr="00D822FF">
              <w:t>HR and Internal Communications</w:t>
            </w:r>
          </w:p>
        </w:tc>
        <w:tc>
          <w:tcPr>
            <w:tcW w:w="3544" w:type="dxa"/>
            <w:tcBorders>
              <w:top w:val="single" w:sz="4" w:space="0" w:color="auto"/>
              <w:left w:val="single" w:sz="4" w:space="0" w:color="auto"/>
              <w:bottom w:val="single" w:sz="4" w:space="0" w:color="auto"/>
              <w:right w:val="single" w:sz="4" w:space="0" w:color="auto"/>
            </w:tcBorders>
          </w:tcPr>
          <w:p w:rsidR="00D822FF" w:rsidRPr="00D822FF" w:rsidRDefault="00D822FF" w:rsidP="00D822FF">
            <w:r w:rsidRPr="00D822FF">
              <w:t>Ongoing (Recent examples include a school level “Dementia Friends” learning lunch)</w:t>
            </w:r>
          </w:p>
        </w:tc>
      </w:tr>
      <w:tr w:rsidR="00D822FF" w:rsidRPr="00D822FF" w:rsidTr="00D822FF">
        <w:trPr>
          <w:trHeight w:val="699"/>
        </w:trPr>
        <w:tc>
          <w:tcPr>
            <w:tcW w:w="2157" w:type="dxa"/>
            <w:vMerge w:val="restart"/>
            <w:tcBorders>
              <w:top w:val="single" w:sz="4" w:space="0" w:color="auto"/>
              <w:left w:val="single" w:sz="4" w:space="0" w:color="auto"/>
              <w:right w:val="single" w:sz="4" w:space="0" w:color="auto"/>
            </w:tcBorders>
          </w:tcPr>
          <w:p w:rsidR="00D822FF" w:rsidRPr="00D822FF" w:rsidRDefault="00D822FF" w:rsidP="00D822FF"/>
          <w:p w:rsidR="00D822FF" w:rsidRPr="00D822FF" w:rsidRDefault="00D822FF" w:rsidP="00D822FF">
            <w:r w:rsidRPr="00D822FF">
              <w:t>CAREER DEVELOPMENT</w:t>
            </w:r>
          </w:p>
          <w:p w:rsidR="00D822FF" w:rsidRPr="00D822FF" w:rsidRDefault="00D822FF" w:rsidP="00D822FF"/>
          <w:p w:rsidR="00D822FF" w:rsidRPr="00D822FF" w:rsidRDefault="00D822FF" w:rsidP="00D822FF">
            <w:r w:rsidRPr="00D822FF">
              <w:t>Proactively support the promotion of BME and  women to senior academic positions (Specific issue identified in data)</w:t>
            </w:r>
          </w:p>
          <w:p w:rsidR="00D822FF" w:rsidRPr="00D822FF" w:rsidRDefault="00D822FF" w:rsidP="00D822FF"/>
        </w:tc>
        <w:tc>
          <w:tcPr>
            <w:tcW w:w="6598" w:type="dxa"/>
            <w:tcBorders>
              <w:top w:val="single" w:sz="4" w:space="0" w:color="auto"/>
              <w:left w:val="single" w:sz="4" w:space="0" w:color="auto"/>
              <w:bottom w:val="single" w:sz="4" w:space="0" w:color="auto"/>
              <w:right w:val="single" w:sz="4" w:space="0" w:color="auto"/>
            </w:tcBorders>
          </w:tcPr>
          <w:p w:rsidR="00D822FF" w:rsidRPr="00D822FF" w:rsidRDefault="00D822FF" w:rsidP="00D822FF"/>
          <w:p w:rsidR="00D822FF" w:rsidRPr="00D822FF" w:rsidRDefault="00D822FF" w:rsidP="00D822FF">
            <w:r w:rsidRPr="00D822FF">
              <w:t>Promote quality feedback on unsuccessful promotion applications from 2014/15 cycle</w:t>
            </w:r>
          </w:p>
        </w:tc>
        <w:tc>
          <w:tcPr>
            <w:tcW w:w="1937" w:type="dxa"/>
            <w:tcBorders>
              <w:top w:val="single" w:sz="4" w:space="0" w:color="auto"/>
              <w:left w:val="single" w:sz="4" w:space="0" w:color="auto"/>
              <w:bottom w:val="single" w:sz="4" w:space="0" w:color="auto"/>
              <w:right w:val="single" w:sz="4" w:space="0" w:color="auto"/>
            </w:tcBorders>
          </w:tcPr>
          <w:p w:rsidR="00D822FF" w:rsidRPr="00D822FF" w:rsidRDefault="00D822FF" w:rsidP="00D822FF"/>
          <w:p w:rsidR="00D822FF" w:rsidRPr="00D822FF" w:rsidRDefault="00D822FF" w:rsidP="00D822FF">
            <w:r w:rsidRPr="00D822FF">
              <w:t xml:space="preserve">School E&amp;D Representative to discuss with </w:t>
            </w:r>
            <w:proofErr w:type="spellStart"/>
            <w:r w:rsidRPr="00D822FF">
              <w:t>HoS</w:t>
            </w:r>
            <w:proofErr w:type="spellEnd"/>
          </w:p>
          <w:p w:rsidR="00D822FF" w:rsidRPr="00D822FF" w:rsidRDefault="00D822FF" w:rsidP="00D822FF"/>
        </w:tc>
        <w:tc>
          <w:tcPr>
            <w:tcW w:w="3544" w:type="dxa"/>
            <w:tcBorders>
              <w:top w:val="single" w:sz="4" w:space="0" w:color="auto"/>
              <w:left w:val="single" w:sz="4" w:space="0" w:color="auto"/>
              <w:bottom w:val="single" w:sz="4" w:space="0" w:color="auto"/>
              <w:right w:val="single" w:sz="4" w:space="0" w:color="auto"/>
            </w:tcBorders>
          </w:tcPr>
          <w:p w:rsidR="00D822FF" w:rsidRPr="00D822FF" w:rsidRDefault="00D822FF" w:rsidP="00D822FF"/>
          <w:p w:rsidR="00D822FF" w:rsidRPr="00D822FF" w:rsidRDefault="00D822FF" w:rsidP="00D822FF">
            <w:r w:rsidRPr="00D822FF">
              <w:t>March 2015 (SPC) and June 2015 (FPC/UPC)</w:t>
            </w:r>
          </w:p>
          <w:p w:rsidR="00D822FF" w:rsidRPr="00D822FF" w:rsidRDefault="00D822FF" w:rsidP="00D822FF"/>
          <w:p w:rsidR="00D822FF" w:rsidRPr="00D822FF" w:rsidRDefault="00D822FF" w:rsidP="00D822FF"/>
        </w:tc>
      </w:tr>
      <w:tr w:rsidR="00D822FF" w:rsidRPr="00D822FF" w:rsidTr="00D822FF">
        <w:trPr>
          <w:trHeight w:val="699"/>
        </w:trPr>
        <w:tc>
          <w:tcPr>
            <w:tcW w:w="2157" w:type="dxa"/>
            <w:vMerge/>
            <w:tcBorders>
              <w:left w:val="single" w:sz="4" w:space="0" w:color="auto"/>
              <w:right w:val="single" w:sz="4" w:space="0" w:color="auto"/>
            </w:tcBorders>
          </w:tcPr>
          <w:p w:rsidR="00D822FF" w:rsidRPr="00D822FF" w:rsidRDefault="00D822FF" w:rsidP="00D822FF"/>
        </w:tc>
        <w:tc>
          <w:tcPr>
            <w:tcW w:w="6598" w:type="dxa"/>
            <w:tcBorders>
              <w:top w:val="single" w:sz="4" w:space="0" w:color="auto"/>
              <w:left w:val="single" w:sz="4" w:space="0" w:color="auto"/>
              <w:bottom w:val="single" w:sz="4" w:space="0" w:color="auto"/>
              <w:right w:val="single" w:sz="4" w:space="0" w:color="auto"/>
            </w:tcBorders>
          </w:tcPr>
          <w:p w:rsidR="00D822FF" w:rsidRPr="00D822FF" w:rsidRDefault="00D822FF" w:rsidP="00D822FF">
            <w:r w:rsidRPr="00D822FF">
              <w:t>Encourage awareness and utilisation of the PDR process to incorpora</w:t>
            </w:r>
            <w:r w:rsidR="00896E11">
              <w:t>te discussions about promotions</w:t>
            </w:r>
          </w:p>
        </w:tc>
        <w:tc>
          <w:tcPr>
            <w:tcW w:w="1937" w:type="dxa"/>
            <w:tcBorders>
              <w:top w:val="single" w:sz="4" w:space="0" w:color="auto"/>
              <w:left w:val="single" w:sz="4" w:space="0" w:color="auto"/>
              <w:bottom w:val="single" w:sz="4" w:space="0" w:color="auto"/>
              <w:right w:val="single" w:sz="4" w:space="0" w:color="auto"/>
            </w:tcBorders>
          </w:tcPr>
          <w:p w:rsidR="00D822FF" w:rsidRPr="00D822FF" w:rsidRDefault="00D822FF" w:rsidP="00D822FF">
            <w:r w:rsidRPr="00D822FF">
              <w:t xml:space="preserve">HRP, School E&amp;D Representative,  </w:t>
            </w:r>
            <w:proofErr w:type="spellStart"/>
            <w:r w:rsidRPr="00D822FF">
              <w:t>HoS</w:t>
            </w:r>
            <w:proofErr w:type="spellEnd"/>
          </w:p>
          <w:p w:rsidR="00D822FF" w:rsidRPr="00D822FF" w:rsidRDefault="00D822FF" w:rsidP="00D822FF"/>
        </w:tc>
        <w:tc>
          <w:tcPr>
            <w:tcW w:w="3544" w:type="dxa"/>
            <w:tcBorders>
              <w:top w:val="single" w:sz="4" w:space="0" w:color="auto"/>
              <w:left w:val="single" w:sz="4" w:space="0" w:color="auto"/>
              <w:bottom w:val="single" w:sz="4" w:space="0" w:color="auto"/>
              <w:right w:val="single" w:sz="4" w:space="0" w:color="auto"/>
            </w:tcBorders>
          </w:tcPr>
          <w:p w:rsidR="00D822FF" w:rsidRPr="00D822FF" w:rsidRDefault="00D822FF" w:rsidP="00D822FF">
            <w:r w:rsidRPr="00D822FF">
              <w:t>PDR process April to July 2015</w:t>
            </w:r>
          </w:p>
          <w:p w:rsidR="00D822FF" w:rsidRPr="00D822FF" w:rsidRDefault="00D822FF" w:rsidP="00D822FF"/>
        </w:tc>
      </w:tr>
      <w:tr w:rsidR="00D822FF" w:rsidRPr="00D822FF" w:rsidTr="00D822FF">
        <w:trPr>
          <w:trHeight w:val="699"/>
        </w:trPr>
        <w:tc>
          <w:tcPr>
            <w:tcW w:w="2157" w:type="dxa"/>
            <w:vMerge/>
            <w:tcBorders>
              <w:left w:val="single" w:sz="4" w:space="0" w:color="auto"/>
              <w:right w:val="single" w:sz="4" w:space="0" w:color="auto"/>
            </w:tcBorders>
          </w:tcPr>
          <w:p w:rsidR="00D822FF" w:rsidRPr="00D822FF" w:rsidRDefault="00D822FF" w:rsidP="00D822FF"/>
        </w:tc>
        <w:tc>
          <w:tcPr>
            <w:tcW w:w="6598" w:type="dxa"/>
            <w:tcBorders>
              <w:top w:val="single" w:sz="4" w:space="0" w:color="auto"/>
              <w:left w:val="single" w:sz="4" w:space="0" w:color="auto"/>
              <w:bottom w:val="single" w:sz="4" w:space="0" w:color="auto"/>
              <w:right w:val="single" w:sz="4" w:space="0" w:color="auto"/>
            </w:tcBorders>
          </w:tcPr>
          <w:p w:rsidR="00D822FF" w:rsidRPr="00D822FF" w:rsidRDefault="00D822FF" w:rsidP="00D822FF">
            <w:r w:rsidRPr="00D822FF">
              <w:t>Encourage representation of women and BME on SPC. Requests for additional committee members encouraged applications from underrepresented groups, similar to recruitment advertising</w:t>
            </w:r>
          </w:p>
          <w:p w:rsidR="00D822FF" w:rsidRPr="00D822FF" w:rsidRDefault="00D822FF" w:rsidP="00D822FF"/>
        </w:tc>
        <w:tc>
          <w:tcPr>
            <w:tcW w:w="1937" w:type="dxa"/>
            <w:tcBorders>
              <w:top w:val="single" w:sz="4" w:space="0" w:color="auto"/>
              <w:left w:val="single" w:sz="4" w:space="0" w:color="auto"/>
              <w:bottom w:val="single" w:sz="4" w:space="0" w:color="auto"/>
              <w:right w:val="single" w:sz="4" w:space="0" w:color="auto"/>
            </w:tcBorders>
          </w:tcPr>
          <w:p w:rsidR="00D822FF" w:rsidRPr="00D822FF" w:rsidRDefault="00D822FF" w:rsidP="00D822FF">
            <w:r w:rsidRPr="00D822FF">
              <w:t>Divisional Services Manager</w:t>
            </w:r>
          </w:p>
        </w:tc>
        <w:tc>
          <w:tcPr>
            <w:tcW w:w="3544" w:type="dxa"/>
            <w:tcBorders>
              <w:top w:val="single" w:sz="4" w:space="0" w:color="auto"/>
              <w:left w:val="single" w:sz="4" w:space="0" w:color="auto"/>
              <w:bottom w:val="single" w:sz="4" w:space="0" w:color="auto"/>
              <w:right w:val="single" w:sz="4" w:space="0" w:color="auto"/>
            </w:tcBorders>
          </w:tcPr>
          <w:p w:rsidR="00D822FF" w:rsidRPr="00D822FF" w:rsidRDefault="00D822FF" w:rsidP="00D822FF">
            <w:r w:rsidRPr="00D822FF">
              <w:t xml:space="preserve">Complete. </w:t>
            </w:r>
          </w:p>
        </w:tc>
      </w:tr>
      <w:tr w:rsidR="00D822FF" w:rsidRPr="00D822FF" w:rsidTr="00D822FF">
        <w:trPr>
          <w:trHeight w:val="699"/>
        </w:trPr>
        <w:tc>
          <w:tcPr>
            <w:tcW w:w="2157" w:type="dxa"/>
            <w:vMerge/>
            <w:tcBorders>
              <w:left w:val="single" w:sz="4" w:space="0" w:color="auto"/>
              <w:right w:val="single" w:sz="4" w:space="0" w:color="auto"/>
            </w:tcBorders>
          </w:tcPr>
          <w:p w:rsidR="00D822FF" w:rsidRPr="00D822FF" w:rsidRDefault="00D822FF" w:rsidP="00D822FF"/>
        </w:tc>
        <w:tc>
          <w:tcPr>
            <w:tcW w:w="6598" w:type="dxa"/>
            <w:tcBorders>
              <w:top w:val="single" w:sz="4" w:space="0" w:color="auto"/>
              <w:left w:val="single" w:sz="4" w:space="0" w:color="auto"/>
              <w:bottom w:val="single" w:sz="4" w:space="0" w:color="auto"/>
              <w:right w:val="single" w:sz="4" w:space="0" w:color="auto"/>
            </w:tcBorders>
          </w:tcPr>
          <w:p w:rsidR="00D822FF" w:rsidRPr="00D822FF" w:rsidRDefault="00D822FF" w:rsidP="00D822FF">
            <w:r w:rsidRPr="00D822FF">
              <w:t>Heads of Division to submit a short “summary” statement along with Divisional cases to SPC. Summarising E&amp;D profile of applicants and what actions have been taken to encourage equality and diversity in applications.</w:t>
            </w:r>
          </w:p>
          <w:p w:rsidR="00D822FF" w:rsidRPr="00D822FF" w:rsidRDefault="00D822FF" w:rsidP="00D822FF"/>
        </w:tc>
        <w:tc>
          <w:tcPr>
            <w:tcW w:w="1937" w:type="dxa"/>
            <w:tcBorders>
              <w:top w:val="single" w:sz="4" w:space="0" w:color="auto"/>
              <w:left w:val="single" w:sz="4" w:space="0" w:color="auto"/>
              <w:bottom w:val="single" w:sz="4" w:space="0" w:color="auto"/>
              <w:right w:val="single" w:sz="4" w:space="0" w:color="auto"/>
            </w:tcBorders>
          </w:tcPr>
          <w:p w:rsidR="00D822FF" w:rsidRPr="00D822FF" w:rsidRDefault="00D822FF" w:rsidP="00D822FF">
            <w:r w:rsidRPr="00D822FF">
              <w:t>Heads of Division</w:t>
            </w:r>
          </w:p>
          <w:p w:rsidR="00D822FF" w:rsidRPr="00D822FF" w:rsidRDefault="00D822FF" w:rsidP="00D822FF"/>
        </w:tc>
        <w:tc>
          <w:tcPr>
            <w:tcW w:w="3544" w:type="dxa"/>
            <w:tcBorders>
              <w:top w:val="single" w:sz="4" w:space="0" w:color="auto"/>
              <w:left w:val="single" w:sz="4" w:space="0" w:color="auto"/>
              <w:bottom w:val="single" w:sz="4" w:space="0" w:color="auto"/>
              <w:right w:val="single" w:sz="4" w:space="0" w:color="auto"/>
            </w:tcBorders>
          </w:tcPr>
          <w:p w:rsidR="00D822FF" w:rsidRPr="00D822FF" w:rsidRDefault="00D822FF" w:rsidP="00D822FF">
            <w:r w:rsidRPr="00D822FF">
              <w:t>Complete.</w:t>
            </w:r>
          </w:p>
          <w:p w:rsidR="00D822FF" w:rsidRPr="00D822FF" w:rsidRDefault="00D822FF" w:rsidP="00D822FF"/>
        </w:tc>
      </w:tr>
      <w:tr w:rsidR="00D822FF" w:rsidRPr="00D822FF" w:rsidTr="00D822FF">
        <w:trPr>
          <w:trHeight w:val="699"/>
        </w:trPr>
        <w:tc>
          <w:tcPr>
            <w:tcW w:w="2157" w:type="dxa"/>
            <w:vMerge/>
            <w:tcBorders>
              <w:left w:val="single" w:sz="4" w:space="0" w:color="auto"/>
              <w:right w:val="single" w:sz="4" w:space="0" w:color="auto"/>
            </w:tcBorders>
          </w:tcPr>
          <w:p w:rsidR="00D822FF" w:rsidRPr="00D822FF" w:rsidRDefault="00D822FF" w:rsidP="00D822FF"/>
        </w:tc>
        <w:tc>
          <w:tcPr>
            <w:tcW w:w="6598" w:type="dxa"/>
            <w:tcBorders>
              <w:top w:val="single" w:sz="4" w:space="0" w:color="auto"/>
              <w:left w:val="single" w:sz="4" w:space="0" w:color="auto"/>
              <w:bottom w:val="single" w:sz="4" w:space="0" w:color="auto"/>
              <w:right w:val="single" w:sz="4" w:space="0" w:color="auto"/>
            </w:tcBorders>
          </w:tcPr>
          <w:p w:rsidR="00D822FF" w:rsidRPr="00D822FF" w:rsidRDefault="00D822FF" w:rsidP="00D822FF">
            <w:r w:rsidRPr="00D822FF">
              <w:t>Report at School Level following 14/15 SPC on Applicant profile total vs t</w:t>
            </w:r>
            <w:r w:rsidR="00896E11">
              <w:t>aken forward to SPC</w:t>
            </w:r>
          </w:p>
        </w:tc>
        <w:tc>
          <w:tcPr>
            <w:tcW w:w="1937" w:type="dxa"/>
            <w:tcBorders>
              <w:top w:val="single" w:sz="4" w:space="0" w:color="auto"/>
              <w:left w:val="single" w:sz="4" w:space="0" w:color="auto"/>
              <w:bottom w:val="single" w:sz="4" w:space="0" w:color="auto"/>
              <w:right w:val="single" w:sz="4" w:space="0" w:color="auto"/>
            </w:tcBorders>
          </w:tcPr>
          <w:p w:rsidR="00D822FF" w:rsidRPr="00D822FF" w:rsidRDefault="00D822FF" w:rsidP="00D822FF">
            <w:r w:rsidRPr="00D822FF">
              <w:t>HRP</w:t>
            </w:r>
          </w:p>
          <w:p w:rsidR="00D822FF" w:rsidRPr="00D822FF" w:rsidRDefault="00D822FF" w:rsidP="00D822FF"/>
        </w:tc>
        <w:tc>
          <w:tcPr>
            <w:tcW w:w="3544" w:type="dxa"/>
            <w:tcBorders>
              <w:top w:val="single" w:sz="4" w:space="0" w:color="auto"/>
              <w:left w:val="single" w:sz="4" w:space="0" w:color="auto"/>
              <w:bottom w:val="single" w:sz="4" w:space="0" w:color="auto"/>
              <w:right w:val="single" w:sz="4" w:space="0" w:color="auto"/>
            </w:tcBorders>
          </w:tcPr>
          <w:p w:rsidR="00D822FF" w:rsidRPr="00D822FF" w:rsidRDefault="00D822FF" w:rsidP="00D822FF">
            <w:r w:rsidRPr="00D822FF">
              <w:t>Provided to FPC</w:t>
            </w:r>
          </w:p>
          <w:p w:rsidR="00D822FF" w:rsidRPr="00D822FF" w:rsidRDefault="00D822FF" w:rsidP="00D822FF"/>
        </w:tc>
      </w:tr>
      <w:tr w:rsidR="00D822FF" w:rsidRPr="00D822FF" w:rsidTr="00D822FF">
        <w:trPr>
          <w:trHeight w:val="699"/>
        </w:trPr>
        <w:tc>
          <w:tcPr>
            <w:tcW w:w="2157" w:type="dxa"/>
            <w:vMerge/>
            <w:tcBorders>
              <w:left w:val="single" w:sz="4" w:space="0" w:color="auto"/>
              <w:right w:val="single" w:sz="4" w:space="0" w:color="auto"/>
            </w:tcBorders>
          </w:tcPr>
          <w:p w:rsidR="00D822FF" w:rsidRPr="00D822FF" w:rsidRDefault="00D822FF" w:rsidP="00D822FF"/>
        </w:tc>
        <w:tc>
          <w:tcPr>
            <w:tcW w:w="6598" w:type="dxa"/>
            <w:tcBorders>
              <w:top w:val="single" w:sz="4" w:space="0" w:color="auto"/>
              <w:left w:val="single" w:sz="4" w:space="0" w:color="auto"/>
              <w:bottom w:val="single" w:sz="4" w:space="0" w:color="auto"/>
              <w:right w:val="single" w:sz="4" w:space="0" w:color="auto"/>
            </w:tcBorders>
          </w:tcPr>
          <w:p w:rsidR="00D822FF" w:rsidRPr="00D822FF" w:rsidRDefault="00D822FF" w:rsidP="00D822FF">
            <w:r w:rsidRPr="00D822FF">
              <w:t>Review and evaluate the support and advice given to colleagues considering or pr</w:t>
            </w:r>
            <w:r w:rsidR="00896E11">
              <w:t>eparing a promotion application</w:t>
            </w:r>
          </w:p>
        </w:tc>
        <w:tc>
          <w:tcPr>
            <w:tcW w:w="1937" w:type="dxa"/>
            <w:tcBorders>
              <w:top w:val="single" w:sz="4" w:space="0" w:color="auto"/>
              <w:left w:val="single" w:sz="4" w:space="0" w:color="auto"/>
              <w:bottom w:val="single" w:sz="4" w:space="0" w:color="auto"/>
              <w:right w:val="single" w:sz="4" w:space="0" w:color="auto"/>
            </w:tcBorders>
          </w:tcPr>
          <w:p w:rsidR="00D822FF" w:rsidRPr="00D822FF" w:rsidRDefault="00D822FF" w:rsidP="00D822FF">
            <w:r w:rsidRPr="00D822FF">
              <w:t>School E&amp;D Representative</w:t>
            </w:r>
          </w:p>
          <w:p w:rsidR="00D822FF" w:rsidRPr="00D822FF" w:rsidRDefault="00D822FF" w:rsidP="00D822FF"/>
        </w:tc>
        <w:tc>
          <w:tcPr>
            <w:tcW w:w="3544" w:type="dxa"/>
            <w:tcBorders>
              <w:top w:val="single" w:sz="4" w:space="0" w:color="auto"/>
              <w:left w:val="single" w:sz="4" w:space="0" w:color="auto"/>
              <w:bottom w:val="single" w:sz="4" w:space="0" w:color="auto"/>
              <w:right w:val="single" w:sz="4" w:space="0" w:color="auto"/>
            </w:tcBorders>
          </w:tcPr>
          <w:p w:rsidR="00D822FF" w:rsidRPr="00D822FF" w:rsidRDefault="00D822FF" w:rsidP="00D822FF">
            <w:r w:rsidRPr="00D822FF">
              <w:t>In advance of 2015/16 promotion cycle</w:t>
            </w:r>
          </w:p>
          <w:p w:rsidR="00D822FF" w:rsidRPr="00D822FF" w:rsidRDefault="00D822FF" w:rsidP="00D822FF"/>
        </w:tc>
      </w:tr>
      <w:tr w:rsidR="00D822FF" w:rsidRPr="00D822FF" w:rsidTr="00D822FF">
        <w:trPr>
          <w:trHeight w:val="699"/>
        </w:trPr>
        <w:tc>
          <w:tcPr>
            <w:tcW w:w="2157" w:type="dxa"/>
            <w:vMerge/>
            <w:tcBorders>
              <w:left w:val="single" w:sz="4" w:space="0" w:color="auto"/>
              <w:bottom w:val="single" w:sz="4" w:space="0" w:color="auto"/>
              <w:right w:val="single" w:sz="4" w:space="0" w:color="auto"/>
            </w:tcBorders>
          </w:tcPr>
          <w:p w:rsidR="00D822FF" w:rsidRPr="00D822FF" w:rsidRDefault="00D822FF" w:rsidP="00D822FF"/>
        </w:tc>
        <w:tc>
          <w:tcPr>
            <w:tcW w:w="6598" w:type="dxa"/>
            <w:tcBorders>
              <w:top w:val="single" w:sz="4" w:space="0" w:color="auto"/>
              <w:left w:val="single" w:sz="4" w:space="0" w:color="auto"/>
              <w:bottom w:val="single" w:sz="4" w:space="0" w:color="auto"/>
              <w:right w:val="single" w:sz="4" w:space="0" w:color="auto"/>
            </w:tcBorders>
          </w:tcPr>
          <w:p w:rsidR="00D822FF" w:rsidRPr="00D822FF" w:rsidRDefault="00D822FF" w:rsidP="00D822FF">
            <w:r w:rsidRPr="00D822FF">
              <w:t>Hold a “Pilot” targeted, externally facilitated workshops on “Applying for Promotion” for the following groups who are identified as underrepresented in the academic workforce (both generally, and more significantly at senior levels). To be used to seek feedback and to pass on information/support:</w:t>
            </w:r>
          </w:p>
          <w:p w:rsidR="00D822FF" w:rsidRPr="00D822FF" w:rsidRDefault="00D822FF" w:rsidP="00D822FF">
            <w:r w:rsidRPr="00D822FF">
              <w:t xml:space="preserve">Women </w:t>
            </w:r>
          </w:p>
          <w:p w:rsidR="00D822FF" w:rsidRPr="00D822FF" w:rsidRDefault="00896E11" w:rsidP="00D822FF">
            <w:r>
              <w:t>BME staff</w:t>
            </w:r>
          </w:p>
        </w:tc>
        <w:tc>
          <w:tcPr>
            <w:tcW w:w="1937" w:type="dxa"/>
            <w:tcBorders>
              <w:top w:val="single" w:sz="4" w:space="0" w:color="auto"/>
              <w:left w:val="single" w:sz="4" w:space="0" w:color="auto"/>
              <w:bottom w:val="single" w:sz="4" w:space="0" w:color="auto"/>
              <w:right w:val="single" w:sz="4" w:space="0" w:color="auto"/>
            </w:tcBorders>
          </w:tcPr>
          <w:p w:rsidR="00D822FF" w:rsidRPr="00D822FF" w:rsidRDefault="00D822FF" w:rsidP="00D822FF">
            <w:r w:rsidRPr="00D822FF">
              <w:t>Working group</w:t>
            </w:r>
          </w:p>
          <w:p w:rsidR="00D822FF" w:rsidRPr="00D822FF" w:rsidRDefault="00D822FF" w:rsidP="00D822FF"/>
        </w:tc>
        <w:tc>
          <w:tcPr>
            <w:tcW w:w="3544" w:type="dxa"/>
            <w:tcBorders>
              <w:top w:val="single" w:sz="4" w:space="0" w:color="auto"/>
              <w:left w:val="single" w:sz="4" w:space="0" w:color="auto"/>
              <w:bottom w:val="single" w:sz="4" w:space="0" w:color="auto"/>
              <w:right w:val="single" w:sz="4" w:space="0" w:color="auto"/>
            </w:tcBorders>
          </w:tcPr>
          <w:p w:rsidR="00D822FF" w:rsidRPr="00D822FF" w:rsidRDefault="00D822FF" w:rsidP="00D822FF">
            <w:r w:rsidRPr="00D822FF">
              <w:t>Workshops dates confirmed for 13</w:t>
            </w:r>
            <w:r w:rsidRPr="00D822FF">
              <w:rPr>
                <w:vertAlign w:val="superscript"/>
              </w:rPr>
              <w:t>th</w:t>
            </w:r>
            <w:r w:rsidRPr="00D822FF">
              <w:t xml:space="preserve"> and 16</w:t>
            </w:r>
            <w:r w:rsidRPr="00D822FF">
              <w:rPr>
                <w:vertAlign w:val="superscript"/>
              </w:rPr>
              <w:t>th</w:t>
            </w:r>
            <w:r w:rsidRPr="00D822FF">
              <w:t xml:space="preserve"> July 2015. </w:t>
            </w:r>
          </w:p>
        </w:tc>
      </w:tr>
      <w:tr w:rsidR="00D822FF" w:rsidRPr="00D822FF" w:rsidTr="00D822FF">
        <w:trPr>
          <w:trHeight w:val="70"/>
        </w:trPr>
        <w:tc>
          <w:tcPr>
            <w:tcW w:w="2157" w:type="dxa"/>
            <w:vMerge w:val="restart"/>
            <w:tcBorders>
              <w:left w:val="single" w:sz="4" w:space="0" w:color="auto"/>
              <w:right w:val="single" w:sz="4" w:space="0" w:color="auto"/>
            </w:tcBorders>
          </w:tcPr>
          <w:p w:rsidR="00D822FF" w:rsidRPr="00D822FF" w:rsidRDefault="00D822FF" w:rsidP="00D822FF"/>
          <w:p w:rsidR="00D822FF" w:rsidRPr="00D822FF" w:rsidRDefault="00D822FF" w:rsidP="00D822FF">
            <w:r w:rsidRPr="00D822FF">
              <w:t>RECRUITMENT AND SELECTION</w:t>
            </w:r>
          </w:p>
          <w:p w:rsidR="00D822FF" w:rsidRPr="00D822FF" w:rsidRDefault="00D822FF" w:rsidP="00D822FF"/>
          <w:p w:rsidR="00D822FF" w:rsidRPr="00D822FF" w:rsidRDefault="00D822FF" w:rsidP="00D822FF">
            <w:r w:rsidRPr="00D822FF">
              <w:t>Promote equality and diversity in the recruitment and selection process</w:t>
            </w:r>
          </w:p>
          <w:p w:rsidR="00D822FF" w:rsidRPr="00D822FF" w:rsidRDefault="00D822FF" w:rsidP="00D822FF"/>
        </w:tc>
        <w:tc>
          <w:tcPr>
            <w:tcW w:w="6598" w:type="dxa"/>
            <w:tcBorders>
              <w:top w:val="single" w:sz="4" w:space="0" w:color="auto"/>
              <w:left w:val="single" w:sz="4" w:space="0" w:color="auto"/>
              <w:bottom w:val="single" w:sz="4" w:space="0" w:color="auto"/>
              <w:right w:val="single" w:sz="4" w:space="0" w:color="auto"/>
            </w:tcBorders>
          </w:tcPr>
          <w:p w:rsidR="00D822FF" w:rsidRPr="00D822FF" w:rsidRDefault="00D822FF" w:rsidP="00D822FF"/>
          <w:p w:rsidR="00D822FF" w:rsidRPr="00D822FF" w:rsidRDefault="00D822FF" w:rsidP="00D822FF">
            <w:r w:rsidRPr="00D822FF">
              <w:t xml:space="preserve">Provide training on unconscious bias to a targeted audience of senior staff: </w:t>
            </w:r>
            <w:proofErr w:type="spellStart"/>
            <w:r w:rsidRPr="00D822FF">
              <w:t>HoS</w:t>
            </w:r>
            <w:proofErr w:type="spellEnd"/>
            <w:r w:rsidRPr="00D822FF">
              <w:t>, HO</w:t>
            </w:r>
            <w:r w:rsidR="00896E11">
              <w:t xml:space="preserve">SA, </w:t>
            </w:r>
            <w:proofErr w:type="spellStart"/>
            <w:r w:rsidR="00896E11">
              <w:t>HoDs</w:t>
            </w:r>
            <w:proofErr w:type="spellEnd"/>
            <w:r w:rsidR="00896E11">
              <w:t xml:space="preserve">, E&amp;D </w:t>
            </w:r>
            <w:proofErr w:type="spellStart"/>
            <w:r w:rsidR="00896E11">
              <w:t>Commiteee</w:t>
            </w:r>
            <w:proofErr w:type="spellEnd"/>
            <w:r w:rsidR="00896E11">
              <w:t xml:space="preserve"> members</w:t>
            </w:r>
          </w:p>
        </w:tc>
        <w:tc>
          <w:tcPr>
            <w:tcW w:w="1937" w:type="dxa"/>
            <w:tcBorders>
              <w:top w:val="single" w:sz="4" w:space="0" w:color="auto"/>
              <w:left w:val="single" w:sz="4" w:space="0" w:color="auto"/>
              <w:bottom w:val="single" w:sz="4" w:space="0" w:color="auto"/>
              <w:right w:val="single" w:sz="4" w:space="0" w:color="auto"/>
            </w:tcBorders>
          </w:tcPr>
          <w:p w:rsidR="00D822FF" w:rsidRPr="00D822FF" w:rsidRDefault="00D822FF" w:rsidP="00D822FF"/>
          <w:p w:rsidR="00D822FF" w:rsidRPr="00D822FF" w:rsidRDefault="00D822FF" w:rsidP="00D822FF">
            <w:r w:rsidRPr="00D822FF">
              <w:t>HR Partner /STDU/ School E&amp;D Representative</w:t>
            </w:r>
          </w:p>
          <w:p w:rsidR="00D822FF" w:rsidRPr="00D822FF" w:rsidRDefault="00D822FF" w:rsidP="00D822FF"/>
        </w:tc>
        <w:tc>
          <w:tcPr>
            <w:tcW w:w="3544" w:type="dxa"/>
            <w:tcBorders>
              <w:top w:val="single" w:sz="4" w:space="0" w:color="auto"/>
              <w:left w:val="single" w:sz="4" w:space="0" w:color="auto"/>
              <w:bottom w:val="single" w:sz="4" w:space="0" w:color="auto"/>
              <w:right w:val="single" w:sz="4" w:space="0" w:color="auto"/>
            </w:tcBorders>
          </w:tcPr>
          <w:p w:rsidR="00D822FF" w:rsidRPr="00D822FF" w:rsidRDefault="00D822FF" w:rsidP="00D822FF"/>
          <w:p w:rsidR="00D822FF" w:rsidRPr="00D822FF" w:rsidRDefault="00896E11" w:rsidP="00D822FF">
            <w:r>
              <w:t xml:space="preserve">TBC - </w:t>
            </w:r>
            <w:r w:rsidR="00D822FF" w:rsidRPr="00D822FF">
              <w:t xml:space="preserve">potential online and classroom options being piloted by University and Faculty Working Group. </w:t>
            </w:r>
          </w:p>
          <w:p w:rsidR="00D822FF" w:rsidRPr="00D822FF" w:rsidRDefault="00D822FF" w:rsidP="00D822FF">
            <w:r w:rsidRPr="00D822FF">
              <w:t>E&amp;D Committee members have completed c</w:t>
            </w:r>
            <w:r w:rsidR="00896E11">
              <w:t>urrent online training.</w:t>
            </w:r>
          </w:p>
        </w:tc>
      </w:tr>
      <w:tr w:rsidR="00D822FF" w:rsidRPr="00D822FF" w:rsidTr="00D822FF">
        <w:trPr>
          <w:trHeight w:val="70"/>
        </w:trPr>
        <w:tc>
          <w:tcPr>
            <w:tcW w:w="2157" w:type="dxa"/>
            <w:vMerge/>
            <w:tcBorders>
              <w:left w:val="single" w:sz="4" w:space="0" w:color="auto"/>
              <w:right w:val="single" w:sz="4" w:space="0" w:color="auto"/>
            </w:tcBorders>
          </w:tcPr>
          <w:p w:rsidR="00D822FF" w:rsidRPr="00D822FF" w:rsidRDefault="00D822FF" w:rsidP="00D822FF"/>
        </w:tc>
        <w:tc>
          <w:tcPr>
            <w:tcW w:w="6598" w:type="dxa"/>
            <w:tcBorders>
              <w:top w:val="single" w:sz="4" w:space="0" w:color="auto"/>
              <w:left w:val="single" w:sz="4" w:space="0" w:color="auto"/>
              <w:bottom w:val="single" w:sz="4" w:space="0" w:color="auto"/>
              <w:right w:val="single" w:sz="4" w:space="0" w:color="auto"/>
            </w:tcBorders>
          </w:tcPr>
          <w:p w:rsidR="00D822FF" w:rsidRPr="00D822FF" w:rsidRDefault="00D822FF" w:rsidP="00D822FF">
            <w:pPr>
              <w:numPr>
                <w:ilvl w:val="0"/>
                <w:numId w:val="20"/>
              </w:numPr>
              <w:spacing w:after="200" w:line="276" w:lineRule="auto"/>
            </w:pPr>
            <w:r w:rsidRPr="00D822FF">
              <w:t xml:space="preserve">Ensure those involved in all stages of pending academic recruitment campaign are aware of recruitment process and criteria, and potential E&amp;D issues. </w:t>
            </w:r>
          </w:p>
          <w:p w:rsidR="00D822FF" w:rsidRPr="00D822FF" w:rsidRDefault="00D822FF" w:rsidP="00896E11">
            <w:pPr>
              <w:numPr>
                <w:ilvl w:val="0"/>
                <w:numId w:val="20"/>
              </w:numPr>
              <w:spacing w:after="200" w:line="276" w:lineRule="auto"/>
            </w:pPr>
            <w:r w:rsidRPr="00D822FF">
              <w:t>Encourage completion of online training on “</w:t>
            </w:r>
            <w:proofErr w:type="spellStart"/>
            <w:r w:rsidRPr="00D822FF">
              <w:t>Unconcious</w:t>
            </w:r>
            <w:proofErr w:type="spellEnd"/>
            <w:r w:rsidRPr="00D822FF">
              <w:t xml:space="preserve"> bias”.</w:t>
            </w:r>
          </w:p>
        </w:tc>
        <w:tc>
          <w:tcPr>
            <w:tcW w:w="1937" w:type="dxa"/>
            <w:tcBorders>
              <w:top w:val="single" w:sz="4" w:space="0" w:color="auto"/>
              <w:left w:val="single" w:sz="4" w:space="0" w:color="auto"/>
              <w:bottom w:val="single" w:sz="4" w:space="0" w:color="auto"/>
              <w:right w:val="single" w:sz="4" w:space="0" w:color="auto"/>
            </w:tcBorders>
          </w:tcPr>
          <w:p w:rsidR="00D822FF" w:rsidRPr="00D822FF" w:rsidRDefault="00D822FF" w:rsidP="00D822FF">
            <w:pPr>
              <w:rPr>
                <w:b/>
              </w:rPr>
            </w:pPr>
            <w:r w:rsidRPr="00D822FF">
              <w:rPr>
                <w:b/>
              </w:rPr>
              <w:t>HR Partner</w:t>
            </w:r>
          </w:p>
          <w:p w:rsidR="00D822FF" w:rsidRPr="00D822FF" w:rsidRDefault="00D822FF" w:rsidP="00D822FF">
            <w:pPr>
              <w:rPr>
                <w:b/>
              </w:rPr>
            </w:pPr>
          </w:p>
        </w:tc>
        <w:tc>
          <w:tcPr>
            <w:tcW w:w="3544" w:type="dxa"/>
            <w:tcBorders>
              <w:top w:val="single" w:sz="4" w:space="0" w:color="auto"/>
              <w:left w:val="single" w:sz="4" w:space="0" w:color="auto"/>
              <w:bottom w:val="single" w:sz="4" w:space="0" w:color="auto"/>
              <w:right w:val="single" w:sz="4" w:space="0" w:color="auto"/>
            </w:tcBorders>
          </w:tcPr>
          <w:p w:rsidR="00D822FF" w:rsidRPr="00D822FF" w:rsidRDefault="00D822FF" w:rsidP="00D822FF">
            <w:r w:rsidRPr="00D822FF">
              <w:t xml:space="preserve">Complete </w:t>
            </w:r>
          </w:p>
          <w:p w:rsidR="00D822FF" w:rsidRPr="00D822FF" w:rsidRDefault="00D822FF" w:rsidP="00D822FF"/>
          <w:p w:rsidR="00D822FF" w:rsidRPr="00D822FF" w:rsidRDefault="00D822FF" w:rsidP="00D822FF"/>
          <w:p w:rsidR="00D822FF" w:rsidRPr="00D822FF" w:rsidRDefault="00D822FF" w:rsidP="00D822FF">
            <w:r w:rsidRPr="00D822FF">
              <w:t>Subject to roll out of training</w:t>
            </w:r>
          </w:p>
          <w:p w:rsidR="00D822FF" w:rsidRPr="00D822FF" w:rsidRDefault="00D822FF" w:rsidP="00D822FF"/>
        </w:tc>
      </w:tr>
      <w:tr w:rsidR="00D822FF" w:rsidRPr="00D822FF" w:rsidTr="00D822FF">
        <w:trPr>
          <w:trHeight w:val="70"/>
        </w:trPr>
        <w:tc>
          <w:tcPr>
            <w:tcW w:w="2157" w:type="dxa"/>
            <w:vMerge/>
            <w:tcBorders>
              <w:left w:val="single" w:sz="4" w:space="0" w:color="auto"/>
              <w:right w:val="single" w:sz="4" w:space="0" w:color="auto"/>
            </w:tcBorders>
          </w:tcPr>
          <w:p w:rsidR="00D822FF" w:rsidRPr="00D822FF" w:rsidRDefault="00D822FF" w:rsidP="00D822FF">
            <w:pPr>
              <w:rPr>
                <w:b/>
              </w:rPr>
            </w:pPr>
          </w:p>
        </w:tc>
        <w:tc>
          <w:tcPr>
            <w:tcW w:w="6598" w:type="dxa"/>
            <w:tcBorders>
              <w:top w:val="single" w:sz="4" w:space="0" w:color="auto"/>
              <w:left w:val="single" w:sz="4" w:space="0" w:color="auto"/>
              <w:bottom w:val="single" w:sz="4" w:space="0" w:color="auto"/>
              <w:right w:val="single" w:sz="4" w:space="0" w:color="auto"/>
            </w:tcBorders>
          </w:tcPr>
          <w:p w:rsidR="00D822FF" w:rsidRPr="00D822FF" w:rsidRDefault="00D822FF" w:rsidP="00896E11">
            <w:pPr>
              <w:numPr>
                <w:ilvl w:val="0"/>
                <w:numId w:val="20"/>
              </w:numPr>
              <w:spacing w:after="200" w:line="276" w:lineRule="auto"/>
            </w:pPr>
            <w:r w:rsidRPr="00D822FF">
              <w:t>Ask all newly appointed academics in 2014/15 to register for the Recruitment and Selection Training available through STDU</w:t>
            </w:r>
          </w:p>
        </w:tc>
        <w:tc>
          <w:tcPr>
            <w:tcW w:w="1937" w:type="dxa"/>
            <w:tcBorders>
              <w:top w:val="single" w:sz="4" w:space="0" w:color="auto"/>
              <w:left w:val="single" w:sz="4" w:space="0" w:color="auto"/>
              <w:bottom w:val="single" w:sz="4" w:space="0" w:color="auto"/>
              <w:right w:val="single" w:sz="4" w:space="0" w:color="auto"/>
            </w:tcBorders>
          </w:tcPr>
          <w:p w:rsidR="00D822FF" w:rsidRPr="00D822FF" w:rsidRDefault="00D822FF" w:rsidP="00D822FF">
            <w:r w:rsidRPr="00D822FF">
              <w:t>HR Partner</w:t>
            </w:r>
          </w:p>
          <w:p w:rsidR="00D822FF" w:rsidRPr="00D822FF" w:rsidRDefault="00D822FF" w:rsidP="00D822FF"/>
        </w:tc>
        <w:tc>
          <w:tcPr>
            <w:tcW w:w="3544" w:type="dxa"/>
            <w:tcBorders>
              <w:top w:val="single" w:sz="4" w:space="0" w:color="auto"/>
              <w:left w:val="single" w:sz="4" w:space="0" w:color="auto"/>
              <w:bottom w:val="single" w:sz="4" w:space="0" w:color="auto"/>
              <w:right w:val="single" w:sz="4" w:space="0" w:color="auto"/>
            </w:tcBorders>
          </w:tcPr>
          <w:p w:rsidR="00D822FF" w:rsidRPr="00D822FF" w:rsidRDefault="00D822FF" w:rsidP="00D822FF">
            <w:r w:rsidRPr="00D822FF">
              <w:t>Complete.</w:t>
            </w:r>
          </w:p>
          <w:p w:rsidR="00D822FF" w:rsidRPr="00D822FF" w:rsidRDefault="00D822FF" w:rsidP="00D822FF"/>
        </w:tc>
      </w:tr>
      <w:tr w:rsidR="00D822FF" w:rsidRPr="00D822FF" w:rsidTr="00D822FF">
        <w:trPr>
          <w:trHeight w:val="70"/>
        </w:trPr>
        <w:tc>
          <w:tcPr>
            <w:tcW w:w="2157" w:type="dxa"/>
            <w:vMerge/>
            <w:tcBorders>
              <w:left w:val="single" w:sz="4" w:space="0" w:color="auto"/>
              <w:bottom w:val="single" w:sz="4" w:space="0" w:color="auto"/>
              <w:right w:val="single" w:sz="4" w:space="0" w:color="auto"/>
            </w:tcBorders>
          </w:tcPr>
          <w:p w:rsidR="00D822FF" w:rsidRPr="00D822FF" w:rsidRDefault="00D822FF" w:rsidP="00D822FF">
            <w:pPr>
              <w:rPr>
                <w:b/>
              </w:rPr>
            </w:pPr>
          </w:p>
        </w:tc>
        <w:tc>
          <w:tcPr>
            <w:tcW w:w="6598" w:type="dxa"/>
            <w:tcBorders>
              <w:top w:val="single" w:sz="4" w:space="0" w:color="auto"/>
              <w:left w:val="single" w:sz="4" w:space="0" w:color="auto"/>
              <w:bottom w:val="single" w:sz="4" w:space="0" w:color="auto"/>
              <w:right w:val="single" w:sz="4" w:space="0" w:color="auto"/>
            </w:tcBorders>
          </w:tcPr>
          <w:p w:rsidR="00D822FF" w:rsidRPr="00D822FF" w:rsidRDefault="00D822FF" w:rsidP="00896E11">
            <w:pPr>
              <w:numPr>
                <w:ilvl w:val="0"/>
                <w:numId w:val="20"/>
              </w:numPr>
              <w:spacing w:after="200" w:line="276" w:lineRule="auto"/>
            </w:pPr>
            <w:r w:rsidRPr="00D822FF">
              <w:t>Ensure that our expectations regarding E&amp;D are discussed with any external agencies used, and that they provide assurance and information on their approach to E&amp;D</w:t>
            </w:r>
          </w:p>
        </w:tc>
        <w:tc>
          <w:tcPr>
            <w:tcW w:w="1937" w:type="dxa"/>
            <w:tcBorders>
              <w:top w:val="single" w:sz="4" w:space="0" w:color="auto"/>
              <w:left w:val="single" w:sz="4" w:space="0" w:color="auto"/>
              <w:bottom w:val="single" w:sz="4" w:space="0" w:color="auto"/>
              <w:right w:val="single" w:sz="4" w:space="0" w:color="auto"/>
            </w:tcBorders>
          </w:tcPr>
          <w:p w:rsidR="00D822FF" w:rsidRPr="00D822FF" w:rsidRDefault="00D822FF" w:rsidP="00D822FF">
            <w:r w:rsidRPr="00D822FF">
              <w:t>HR partner</w:t>
            </w:r>
          </w:p>
        </w:tc>
        <w:tc>
          <w:tcPr>
            <w:tcW w:w="3544" w:type="dxa"/>
            <w:tcBorders>
              <w:top w:val="single" w:sz="4" w:space="0" w:color="auto"/>
              <w:left w:val="single" w:sz="4" w:space="0" w:color="auto"/>
              <w:bottom w:val="single" w:sz="4" w:space="0" w:color="auto"/>
              <w:right w:val="single" w:sz="4" w:space="0" w:color="auto"/>
            </w:tcBorders>
          </w:tcPr>
          <w:p w:rsidR="00D822FF" w:rsidRPr="00D822FF" w:rsidRDefault="00D822FF" w:rsidP="00D822FF">
            <w:r w:rsidRPr="00D822FF">
              <w:t>Complete – Perret laver December 2014</w:t>
            </w:r>
          </w:p>
          <w:p w:rsidR="00D822FF" w:rsidRPr="00D822FF" w:rsidRDefault="00D822FF" w:rsidP="00D822FF"/>
          <w:p w:rsidR="00D822FF" w:rsidRPr="00D822FF" w:rsidRDefault="00D822FF" w:rsidP="00D822FF"/>
        </w:tc>
      </w:tr>
      <w:tr w:rsidR="00D822FF" w:rsidRPr="00D822FF" w:rsidTr="00D822FF">
        <w:trPr>
          <w:trHeight w:val="70"/>
        </w:trPr>
        <w:tc>
          <w:tcPr>
            <w:tcW w:w="2157" w:type="dxa"/>
            <w:tcBorders>
              <w:top w:val="single" w:sz="4" w:space="0" w:color="auto"/>
              <w:left w:val="single" w:sz="4" w:space="0" w:color="auto"/>
              <w:bottom w:val="single" w:sz="4" w:space="0" w:color="auto"/>
              <w:right w:val="single" w:sz="4" w:space="0" w:color="auto"/>
            </w:tcBorders>
          </w:tcPr>
          <w:p w:rsidR="00D822FF" w:rsidRPr="00D822FF" w:rsidRDefault="00D822FF" w:rsidP="00D822FF">
            <w:r w:rsidRPr="00D822FF">
              <w:t>Awareness of potential procedural consideration</w:t>
            </w:r>
          </w:p>
        </w:tc>
        <w:tc>
          <w:tcPr>
            <w:tcW w:w="6598" w:type="dxa"/>
            <w:tcBorders>
              <w:top w:val="single" w:sz="4" w:space="0" w:color="auto"/>
              <w:left w:val="single" w:sz="4" w:space="0" w:color="auto"/>
              <w:bottom w:val="single" w:sz="4" w:space="0" w:color="auto"/>
              <w:right w:val="single" w:sz="4" w:space="0" w:color="auto"/>
            </w:tcBorders>
          </w:tcPr>
          <w:p w:rsidR="00D822FF" w:rsidRPr="00D822FF" w:rsidRDefault="00D822FF" w:rsidP="00D822FF">
            <w:r w:rsidRPr="00D822FF">
              <w:t>Request from faculty E&amp;D group the review of R&amp;S and Promotion processes, and share with E&amp;D working group</w:t>
            </w:r>
          </w:p>
        </w:tc>
        <w:tc>
          <w:tcPr>
            <w:tcW w:w="1937" w:type="dxa"/>
            <w:tcBorders>
              <w:top w:val="single" w:sz="4" w:space="0" w:color="auto"/>
              <w:left w:val="single" w:sz="4" w:space="0" w:color="auto"/>
              <w:bottom w:val="single" w:sz="4" w:space="0" w:color="auto"/>
              <w:right w:val="single" w:sz="4" w:space="0" w:color="auto"/>
            </w:tcBorders>
          </w:tcPr>
          <w:p w:rsidR="00D822FF" w:rsidRPr="00D822FF" w:rsidRDefault="00D822FF" w:rsidP="00D822FF">
            <w:r w:rsidRPr="00D822FF">
              <w:t>School E&amp;D Representative</w:t>
            </w:r>
          </w:p>
          <w:p w:rsidR="00D822FF" w:rsidRPr="00D822FF" w:rsidRDefault="00D822FF" w:rsidP="00D822FF"/>
        </w:tc>
        <w:tc>
          <w:tcPr>
            <w:tcW w:w="3544" w:type="dxa"/>
            <w:tcBorders>
              <w:top w:val="single" w:sz="4" w:space="0" w:color="auto"/>
              <w:left w:val="single" w:sz="4" w:space="0" w:color="auto"/>
              <w:bottom w:val="single" w:sz="4" w:space="0" w:color="auto"/>
              <w:right w:val="single" w:sz="4" w:space="0" w:color="auto"/>
            </w:tcBorders>
          </w:tcPr>
          <w:p w:rsidR="00D822FF" w:rsidRPr="00D822FF" w:rsidRDefault="00D822FF" w:rsidP="00D822FF">
            <w:r w:rsidRPr="00D822FF">
              <w:t>February 2015</w:t>
            </w:r>
          </w:p>
        </w:tc>
      </w:tr>
    </w:tbl>
    <w:p w:rsidR="00D100AA" w:rsidRDefault="00D100AA" w:rsidP="00D822FF">
      <w:pPr>
        <w:rPr>
          <w:b/>
        </w:rPr>
      </w:pPr>
    </w:p>
    <w:p w:rsidR="00D822FF" w:rsidRPr="00D822FF" w:rsidRDefault="00D822FF" w:rsidP="00D822FF">
      <w:pPr>
        <w:rPr>
          <w:b/>
        </w:rPr>
      </w:pPr>
      <w:r w:rsidRPr="00D822FF">
        <w:rPr>
          <w:b/>
        </w:rPr>
        <w:t>1.5</w:t>
      </w:r>
      <w:r w:rsidRPr="00D822FF">
        <w:rPr>
          <w:b/>
        </w:rPr>
        <w:tab/>
        <w:t>School of Social Sciences</w:t>
      </w:r>
    </w:p>
    <w:p w:rsidR="00D822FF" w:rsidRPr="00D822FF" w:rsidRDefault="00D822FF" w:rsidP="00D822FF">
      <w:pPr>
        <w:rPr>
          <w:b/>
        </w:rPr>
      </w:pPr>
      <w:proofErr w:type="spellStart"/>
      <w:r w:rsidRPr="00D822FF">
        <w:rPr>
          <w:b/>
        </w:rPr>
        <w:t>SoSS</w:t>
      </w:r>
      <w:proofErr w:type="spellEnd"/>
      <w:r w:rsidRPr="00D822FF">
        <w:rPr>
          <w:b/>
        </w:rPr>
        <w:t xml:space="preserve"> Equality and Diversity Action Plan: Update May 2015</w:t>
      </w:r>
    </w:p>
    <w:tbl>
      <w:tblPr>
        <w:tblStyle w:val="TableGrid"/>
        <w:tblW w:w="0" w:type="auto"/>
        <w:tblLook w:val="04A0" w:firstRow="1" w:lastRow="0" w:firstColumn="1" w:lastColumn="0" w:noHBand="0" w:noVBand="1"/>
      </w:tblPr>
      <w:tblGrid>
        <w:gridCol w:w="2660"/>
        <w:gridCol w:w="3402"/>
        <w:gridCol w:w="3402"/>
        <w:gridCol w:w="1701"/>
        <w:gridCol w:w="2126"/>
      </w:tblGrid>
      <w:tr w:rsidR="00D822FF" w:rsidRPr="00D822FF" w:rsidTr="00896E11">
        <w:tc>
          <w:tcPr>
            <w:tcW w:w="2660" w:type="dxa"/>
          </w:tcPr>
          <w:p w:rsidR="00D822FF" w:rsidRPr="00D822FF" w:rsidRDefault="00D822FF" w:rsidP="00D822FF">
            <w:r w:rsidRPr="00D822FF">
              <w:t>Aim</w:t>
            </w:r>
          </w:p>
        </w:tc>
        <w:tc>
          <w:tcPr>
            <w:tcW w:w="3402" w:type="dxa"/>
          </w:tcPr>
          <w:p w:rsidR="00D822FF" w:rsidRPr="00D822FF" w:rsidRDefault="00D822FF" w:rsidP="00D822FF">
            <w:r w:rsidRPr="00D822FF">
              <w:t xml:space="preserve">Action </w:t>
            </w:r>
          </w:p>
        </w:tc>
        <w:tc>
          <w:tcPr>
            <w:tcW w:w="3402" w:type="dxa"/>
          </w:tcPr>
          <w:p w:rsidR="00D822FF" w:rsidRPr="00D822FF" w:rsidRDefault="00D822FF" w:rsidP="00D822FF">
            <w:r w:rsidRPr="00D822FF">
              <w:t>Update</w:t>
            </w:r>
          </w:p>
        </w:tc>
        <w:tc>
          <w:tcPr>
            <w:tcW w:w="1701" w:type="dxa"/>
          </w:tcPr>
          <w:p w:rsidR="00D822FF" w:rsidRPr="00D822FF" w:rsidRDefault="00D822FF" w:rsidP="00D822FF">
            <w:r w:rsidRPr="00D822FF">
              <w:t>Responsibility</w:t>
            </w:r>
          </w:p>
        </w:tc>
        <w:tc>
          <w:tcPr>
            <w:tcW w:w="2126" w:type="dxa"/>
          </w:tcPr>
          <w:p w:rsidR="00D822FF" w:rsidRPr="00D822FF" w:rsidRDefault="00D822FF" w:rsidP="00D822FF">
            <w:r w:rsidRPr="00D822FF">
              <w:t>Date</w:t>
            </w:r>
          </w:p>
        </w:tc>
      </w:tr>
      <w:tr w:rsidR="00D822FF" w:rsidRPr="00D822FF" w:rsidTr="00896E11">
        <w:tc>
          <w:tcPr>
            <w:tcW w:w="2660" w:type="dxa"/>
          </w:tcPr>
          <w:p w:rsidR="00D822FF" w:rsidRPr="00D822FF" w:rsidRDefault="00D822FF" w:rsidP="00D822FF">
            <w:r w:rsidRPr="00D822FF">
              <w:t>To establish internal staffing targets for gender equality within the range of 40-60%</w:t>
            </w:r>
          </w:p>
        </w:tc>
        <w:tc>
          <w:tcPr>
            <w:tcW w:w="3402" w:type="dxa"/>
          </w:tcPr>
          <w:p w:rsidR="00D822FF" w:rsidRPr="00D822FF" w:rsidRDefault="00D822FF" w:rsidP="00D822FF">
            <w:r w:rsidRPr="00D822FF">
              <w:t>To develop DA level forms of monitoring on all staff recruitment/ appointments; to develop DA level action pla</w:t>
            </w:r>
            <w:r w:rsidR="00896E11">
              <w:t>ns to address identified issues</w:t>
            </w:r>
          </w:p>
        </w:tc>
        <w:tc>
          <w:tcPr>
            <w:tcW w:w="3402" w:type="dxa"/>
          </w:tcPr>
          <w:p w:rsidR="00D822FF" w:rsidRPr="00D822FF" w:rsidRDefault="00D822FF" w:rsidP="00D822FF">
            <w:r w:rsidRPr="00D822FF">
              <w:t xml:space="preserve">Aspirational targets agreed at SPRC; </w:t>
            </w:r>
            <w:proofErr w:type="spellStart"/>
            <w:r w:rsidRPr="00D822FF">
              <w:t>HoS</w:t>
            </w:r>
            <w:proofErr w:type="spellEnd"/>
            <w:r w:rsidRPr="00D822FF">
              <w:t xml:space="preserve"> to obtain data on all recent appointments; HR to provide breakdown of applicants and shortlists for all appointments; monitored and evaluated annually by </w:t>
            </w:r>
            <w:proofErr w:type="spellStart"/>
            <w:r w:rsidRPr="00D822FF">
              <w:t>HoDAs</w:t>
            </w:r>
            <w:proofErr w:type="spellEnd"/>
            <w:r w:rsidRPr="00D822FF">
              <w:t>/</w:t>
            </w:r>
            <w:proofErr w:type="spellStart"/>
            <w:r w:rsidRPr="00D822FF">
              <w:t>HoS</w:t>
            </w:r>
            <w:proofErr w:type="spellEnd"/>
          </w:p>
        </w:tc>
        <w:tc>
          <w:tcPr>
            <w:tcW w:w="1701" w:type="dxa"/>
          </w:tcPr>
          <w:p w:rsidR="00D822FF" w:rsidRPr="00D822FF" w:rsidRDefault="00D822FF" w:rsidP="00D822FF">
            <w:r w:rsidRPr="00D822FF">
              <w:t xml:space="preserve">HR lead; </w:t>
            </w:r>
            <w:proofErr w:type="spellStart"/>
            <w:r w:rsidRPr="00D822FF">
              <w:t>HoDAs</w:t>
            </w:r>
            <w:proofErr w:type="spellEnd"/>
            <w:r w:rsidRPr="00D822FF">
              <w:t xml:space="preserve">; </w:t>
            </w:r>
            <w:proofErr w:type="spellStart"/>
            <w:r w:rsidRPr="00D822FF">
              <w:t>HoS</w:t>
            </w:r>
            <w:proofErr w:type="spellEnd"/>
          </w:p>
        </w:tc>
        <w:tc>
          <w:tcPr>
            <w:tcW w:w="2126" w:type="dxa"/>
          </w:tcPr>
          <w:p w:rsidR="00D822FF" w:rsidRPr="00D822FF" w:rsidRDefault="00D822FF" w:rsidP="00D822FF">
            <w:r w:rsidRPr="00D822FF">
              <w:t>From immediate effect and ongoing</w:t>
            </w:r>
          </w:p>
        </w:tc>
      </w:tr>
      <w:tr w:rsidR="00D822FF" w:rsidRPr="00D822FF" w:rsidTr="00896E11">
        <w:tc>
          <w:tcPr>
            <w:tcW w:w="2660" w:type="dxa"/>
          </w:tcPr>
          <w:p w:rsidR="00D822FF" w:rsidRPr="00D822FF" w:rsidRDefault="00D822FF" w:rsidP="00D822FF">
            <w:r w:rsidRPr="00D822FF">
              <w:t>To reflect staffing targets at shortlisting stage (40-60% of shortlisted candidates to be women)</w:t>
            </w:r>
          </w:p>
        </w:tc>
        <w:tc>
          <w:tcPr>
            <w:tcW w:w="3402" w:type="dxa"/>
          </w:tcPr>
          <w:p w:rsidR="00D822FF" w:rsidRPr="00D822FF" w:rsidRDefault="00D822FF" w:rsidP="00D822FF">
            <w:r w:rsidRPr="00D822FF">
              <w:t xml:space="preserve">To monitor shortlisting for all appointments and develop DA level action plans </w:t>
            </w:r>
          </w:p>
        </w:tc>
        <w:tc>
          <w:tcPr>
            <w:tcW w:w="3402" w:type="dxa"/>
          </w:tcPr>
          <w:p w:rsidR="00D822FF" w:rsidRPr="00D822FF" w:rsidRDefault="00D822FF" w:rsidP="00D822FF">
            <w:r w:rsidRPr="00D822FF">
              <w:t>As above</w:t>
            </w:r>
          </w:p>
        </w:tc>
        <w:tc>
          <w:tcPr>
            <w:tcW w:w="1701" w:type="dxa"/>
          </w:tcPr>
          <w:p w:rsidR="00D822FF" w:rsidRPr="00D822FF" w:rsidRDefault="00D822FF" w:rsidP="00D822FF">
            <w:r w:rsidRPr="00D822FF">
              <w:t>As above</w:t>
            </w:r>
          </w:p>
        </w:tc>
        <w:tc>
          <w:tcPr>
            <w:tcW w:w="2126" w:type="dxa"/>
          </w:tcPr>
          <w:p w:rsidR="00D822FF" w:rsidRPr="00D822FF" w:rsidRDefault="00D822FF" w:rsidP="00D822FF">
            <w:r w:rsidRPr="00D822FF">
              <w:t>As above</w:t>
            </w:r>
          </w:p>
        </w:tc>
      </w:tr>
      <w:tr w:rsidR="00D822FF" w:rsidRPr="00D822FF" w:rsidTr="00896E11">
        <w:tc>
          <w:tcPr>
            <w:tcW w:w="2660" w:type="dxa"/>
          </w:tcPr>
          <w:p w:rsidR="00D822FF" w:rsidRPr="00D822FF" w:rsidRDefault="00D822FF" w:rsidP="00D822FF">
            <w:r w:rsidRPr="00D822FF">
              <w:t>To ensure representation of women at all levels in career development, promotion and leadership roles</w:t>
            </w:r>
          </w:p>
        </w:tc>
        <w:tc>
          <w:tcPr>
            <w:tcW w:w="3402" w:type="dxa"/>
          </w:tcPr>
          <w:p w:rsidR="00D822FF" w:rsidRPr="00D822FF" w:rsidRDefault="00D822FF" w:rsidP="00D822FF">
            <w:r w:rsidRPr="00D822FF">
              <w:t xml:space="preserve">To revise </w:t>
            </w:r>
            <w:proofErr w:type="spellStart"/>
            <w:r w:rsidRPr="00D822FF">
              <w:t>SoSS</w:t>
            </w:r>
            <w:proofErr w:type="spellEnd"/>
            <w:r w:rsidRPr="00D822FF">
              <w:t xml:space="preserve"> mentoring policy to (a) incorporate all research staff and (b) establish mechanisms to support career progression; to monitor promotions outcomes</w:t>
            </w:r>
          </w:p>
        </w:tc>
        <w:tc>
          <w:tcPr>
            <w:tcW w:w="3402" w:type="dxa"/>
          </w:tcPr>
          <w:p w:rsidR="00D822FF" w:rsidRPr="00D822FF" w:rsidRDefault="00D822FF" w:rsidP="00D822FF">
            <w:r w:rsidRPr="00D822FF">
              <w:t xml:space="preserve">Changed date of </w:t>
            </w:r>
            <w:proofErr w:type="spellStart"/>
            <w:r w:rsidRPr="00D822FF">
              <w:t>SoSS</w:t>
            </w:r>
            <w:proofErr w:type="spellEnd"/>
            <w:r w:rsidRPr="00D822FF">
              <w:t xml:space="preserve"> promotions committee to ensure time for revisions to applications; have revised mentoring policy accordingly; monitoring of promotions and leadership teams </w:t>
            </w:r>
          </w:p>
        </w:tc>
        <w:tc>
          <w:tcPr>
            <w:tcW w:w="1701" w:type="dxa"/>
          </w:tcPr>
          <w:p w:rsidR="00D822FF" w:rsidRPr="00D822FF" w:rsidRDefault="00D822FF" w:rsidP="00D822FF">
            <w:proofErr w:type="spellStart"/>
            <w:r w:rsidRPr="00D822FF">
              <w:t>HoS</w:t>
            </w:r>
            <w:proofErr w:type="spellEnd"/>
            <w:r w:rsidRPr="00D822FF">
              <w:t xml:space="preserve">, </w:t>
            </w:r>
            <w:proofErr w:type="spellStart"/>
            <w:r w:rsidRPr="00D822FF">
              <w:t>HoSA</w:t>
            </w:r>
            <w:proofErr w:type="spellEnd"/>
            <w:r w:rsidRPr="00D822FF">
              <w:t xml:space="preserve">, </w:t>
            </w:r>
            <w:proofErr w:type="spellStart"/>
            <w:r w:rsidRPr="00D822FF">
              <w:t>HoDAs</w:t>
            </w:r>
            <w:proofErr w:type="spellEnd"/>
          </w:p>
        </w:tc>
        <w:tc>
          <w:tcPr>
            <w:tcW w:w="2126" w:type="dxa"/>
          </w:tcPr>
          <w:p w:rsidR="00D822FF" w:rsidRPr="00D822FF" w:rsidRDefault="00D822FF" w:rsidP="00D822FF">
            <w:r w:rsidRPr="00D822FF">
              <w:t xml:space="preserve">As above – to be examined annually </w:t>
            </w:r>
          </w:p>
        </w:tc>
      </w:tr>
      <w:tr w:rsidR="00D822FF" w:rsidRPr="00D822FF" w:rsidTr="00896E11">
        <w:tc>
          <w:tcPr>
            <w:tcW w:w="2660" w:type="dxa"/>
          </w:tcPr>
          <w:p w:rsidR="00D822FF" w:rsidRPr="00D822FF" w:rsidRDefault="00D822FF" w:rsidP="00D822FF">
            <w:r w:rsidRPr="00D822FF">
              <w:t>To establish internal staffing targets for ethnic/racial  equality to achieve 15% for academic staff and 12% for PSS staff</w:t>
            </w:r>
          </w:p>
        </w:tc>
        <w:tc>
          <w:tcPr>
            <w:tcW w:w="3402" w:type="dxa"/>
          </w:tcPr>
          <w:p w:rsidR="00D822FF" w:rsidRPr="00D822FF" w:rsidRDefault="00D822FF" w:rsidP="00D822FF">
            <w:r w:rsidRPr="00D822FF">
              <w:t>To develop DA level forms of monitoring on all staff recruitment/ appointments; to develop DA level action pla</w:t>
            </w:r>
            <w:r w:rsidR="00896E11">
              <w:t>ns to address identified issues</w:t>
            </w:r>
          </w:p>
        </w:tc>
        <w:tc>
          <w:tcPr>
            <w:tcW w:w="3402" w:type="dxa"/>
          </w:tcPr>
          <w:p w:rsidR="00D822FF" w:rsidRPr="00D822FF" w:rsidRDefault="00D822FF" w:rsidP="00D822FF">
            <w:r w:rsidRPr="00D822FF">
              <w:t xml:space="preserve">Aspirational targets agreed at SPRC; </w:t>
            </w:r>
            <w:proofErr w:type="spellStart"/>
            <w:r w:rsidRPr="00D822FF">
              <w:t>HoS</w:t>
            </w:r>
            <w:proofErr w:type="spellEnd"/>
            <w:r w:rsidRPr="00D822FF">
              <w:t xml:space="preserve"> to obtain data on all recent appointments; HR to provide breakdown of applicants and shortlists for all appointments; monitored and evaluated annually by </w:t>
            </w:r>
            <w:proofErr w:type="spellStart"/>
            <w:r w:rsidRPr="00D822FF">
              <w:t>HoDAs</w:t>
            </w:r>
            <w:proofErr w:type="spellEnd"/>
            <w:r w:rsidRPr="00D822FF">
              <w:t>/</w:t>
            </w:r>
            <w:proofErr w:type="spellStart"/>
            <w:r w:rsidRPr="00D822FF">
              <w:t>HoS</w:t>
            </w:r>
            <w:proofErr w:type="spellEnd"/>
          </w:p>
        </w:tc>
        <w:tc>
          <w:tcPr>
            <w:tcW w:w="1701" w:type="dxa"/>
          </w:tcPr>
          <w:p w:rsidR="00D822FF" w:rsidRPr="00D822FF" w:rsidRDefault="00D822FF" w:rsidP="00D822FF">
            <w:r w:rsidRPr="00D822FF">
              <w:t xml:space="preserve">HR lead; </w:t>
            </w:r>
            <w:proofErr w:type="spellStart"/>
            <w:r w:rsidRPr="00D822FF">
              <w:t>HoDAs</w:t>
            </w:r>
            <w:proofErr w:type="spellEnd"/>
            <w:r w:rsidRPr="00D822FF">
              <w:t xml:space="preserve">; </w:t>
            </w:r>
            <w:proofErr w:type="spellStart"/>
            <w:r w:rsidRPr="00D822FF">
              <w:t>HoS</w:t>
            </w:r>
            <w:proofErr w:type="spellEnd"/>
          </w:p>
        </w:tc>
        <w:tc>
          <w:tcPr>
            <w:tcW w:w="2126" w:type="dxa"/>
          </w:tcPr>
          <w:p w:rsidR="00D822FF" w:rsidRPr="00D822FF" w:rsidRDefault="00D822FF" w:rsidP="00D822FF">
            <w:r w:rsidRPr="00D822FF">
              <w:t>From immediate effect and ongoing</w:t>
            </w:r>
          </w:p>
        </w:tc>
      </w:tr>
      <w:tr w:rsidR="00D822FF" w:rsidRPr="00D822FF" w:rsidTr="00896E11">
        <w:tc>
          <w:tcPr>
            <w:tcW w:w="2660" w:type="dxa"/>
          </w:tcPr>
          <w:p w:rsidR="00D822FF" w:rsidRPr="00D822FF" w:rsidRDefault="00D822FF" w:rsidP="00D822FF">
            <w:r w:rsidRPr="00D822FF">
              <w:t xml:space="preserve">To reflect staffing targets at shortlisting stage (as a </w:t>
            </w:r>
            <w:r w:rsidRPr="00D822FF">
              <w:lastRenderedPageBreak/>
              <w:t>minimum expectation)</w:t>
            </w:r>
          </w:p>
        </w:tc>
        <w:tc>
          <w:tcPr>
            <w:tcW w:w="3402" w:type="dxa"/>
          </w:tcPr>
          <w:p w:rsidR="00D822FF" w:rsidRPr="00D822FF" w:rsidRDefault="00D822FF" w:rsidP="00D822FF">
            <w:r w:rsidRPr="00D822FF">
              <w:lastRenderedPageBreak/>
              <w:t xml:space="preserve">To monitor shortlisting for all appointments and develop DA </w:t>
            </w:r>
            <w:r w:rsidRPr="00D822FF">
              <w:lastRenderedPageBreak/>
              <w:t>level action plans</w:t>
            </w:r>
          </w:p>
        </w:tc>
        <w:tc>
          <w:tcPr>
            <w:tcW w:w="3402" w:type="dxa"/>
          </w:tcPr>
          <w:p w:rsidR="00D822FF" w:rsidRPr="00D822FF" w:rsidRDefault="00D822FF" w:rsidP="00D822FF">
            <w:r w:rsidRPr="00D822FF">
              <w:lastRenderedPageBreak/>
              <w:t>As above</w:t>
            </w:r>
          </w:p>
        </w:tc>
        <w:tc>
          <w:tcPr>
            <w:tcW w:w="1701" w:type="dxa"/>
          </w:tcPr>
          <w:p w:rsidR="00D822FF" w:rsidRPr="00D822FF" w:rsidRDefault="00D822FF" w:rsidP="00D822FF">
            <w:r w:rsidRPr="00D822FF">
              <w:t>As above</w:t>
            </w:r>
          </w:p>
        </w:tc>
        <w:tc>
          <w:tcPr>
            <w:tcW w:w="2126" w:type="dxa"/>
          </w:tcPr>
          <w:p w:rsidR="00D822FF" w:rsidRPr="00D822FF" w:rsidRDefault="00D822FF" w:rsidP="00D822FF">
            <w:r w:rsidRPr="00D822FF">
              <w:t>As above</w:t>
            </w:r>
          </w:p>
        </w:tc>
      </w:tr>
      <w:tr w:rsidR="00D822FF" w:rsidRPr="00D822FF" w:rsidTr="00896E11">
        <w:tc>
          <w:tcPr>
            <w:tcW w:w="2660" w:type="dxa"/>
          </w:tcPr>
          <w:p w:rsidR="00D822FF" w:rsidRPr="00D822FF" w:rsidRDefault="00D822FF" w:rsidP="00D822FF">
            <w:r w:rsidRPr="00D822FF">
              <w:lastRenderedPageBreak/>
              <w:t>To ensure representation of BME staff at all levels in career development, promotion and leadership roles</w:t>
            </w:r>
          </w:p>
        </w:tc>
        <w:tc>
          <w:tcPr>
            <w:tcW w:w="3402" w:type="dxa"/>
          </w:tcPr>
          <w:p w:rsidR="00D822FF" w:rsidRPr="00D822FF" w:rsidRDefault="00D822FF" w:rsidP="00D822FF">
            <w:r w:rsidRPr="00D822FF">
              <w:t>To develop and establish mechanisms to support career progression for BME staff; to monitor promotions outcomes</w:t>
            </w:r>
          </w:p>
        </w:tc>
        <w:tc>
          <w:tcPr>
            <w:tcW w:w="3402" w:type="dxa"/>
          </w:tcPr>
          <w:p w:rsidR="00D822FF" w:rsidRPr="00896E11" w:rsidRDefault="00D822FF" w:rsidP="00D822FF">
            <w:r w:rsidRPr="00896E11">
              <w:t>To monitor BME promotions and makeup of DA and School roles; to ensure suitable mentoring arrangements; to provide advice/support for promotion applications</w:t>
            </w:r>
          </w:p>
        </w:tc>
        <w:tc>
          <w:tcPr>
            <w:tcW w:w="1701" w:type="dxa"/>
          </w:tcPr>
          <w:p w:rsidR="00D822FF" w:rsidRPr="00896E11" w:rsidRDefault="00D822FF" w:rsidP="00D822FF">
            <w:proofErr w:type="spellStart"/>
            <w:r w:rsidRPr="00896E11">
              <w:t>HoS</w:t>
            </w:r>
            <w:proofErr w:type="spellEnd"/>
            <w:r w:rsidRPr="00896E11">
              <w:t xml:space="preserve">, </w:t>
            </w:r>
            <w:proofErr w:type="spellStart"/>
            <w:r w:rsidRPr="00896E11">
              <w:t>HoSA</w:t>
            </w:r>
            <w:proofErr w:type="spellEnd"/>
            <w:r w:rsidRPr="00896E11">
              <w:t xml:space="preserve">, </w:t>
            </w:r>
            <w:proofErr w:type="spellStart"/>
            <w:r w:rsidRPr="00896E11">
              <w:t>HoDAs</w:t>
            </w:r>
            <w:proofErr w:type="spellEnd"/>
          </w:p>
        </w:tc>
        <w:tc>
          <w:tcPr>
            <w:tcW w:w="2126" w:type="dxa"/>
          </w:tcPr>
          <w:p w:rsidR="00D822FF" w:rsidRPr="00896E11" w:rsidRDefault="00D822FF" w:rsidP="00D822FF">
            <w:r w:rsidRPr="00896E11">
              <w:t>As above – to be examined annually</w:t>
            </w:r>
          </w:p>
        </w:tc>
      </w:tr>
      <w:tr w:rsidR="00D822FF" w:rsidRPr="00D822FF" w:rsidTr="00896E11">
        <w:tc>
          <w:tcPr>
            <w:tcW w:w="2660" w:type="dxa"/>
          </w:tcPr>
          <w:p w:rsidR="00D822FF" w:rsidRPr="00D822FF" w:rsidRDefault="00D822FF" w:rsidP="00D822FF">
            <w:r w:rsidRPr="00D822FF">
              <w:t>To embed E&amp;D at DA levels; to establish E&amp;D Reps in each DA and reporting lines to DER</w:t>
            </w:r>
          </w:p>
        </w:tc>
        <w:tc>
          <w:tcPr>
            <w:tcW w:w="3402" w:type="dxa"/>
          </w:tcPr>
          <w:p w:rsidR="00D822FF" w:rsidRPr="00D822FF" w:rsidRDefault="00D822FF" w:rsidP="00D822FF">
            <w:r w:rsidRPr="00D822FF">
              <w:t>To identify suitable E&amp;D leads at DA level and establish links to DER through existing committee structure</w:t>
            </w:r>
          </w:p>
        </w:tc>
        <w:tc>
          <w:tcPr>
            <w:tcW w:w="3402" w:type="dxa"/>
          </w:tcPr>
          <w:p w:rsidR="00D822FF" w:rsidRPr="00D822FF" w:rsidRDefault="00D822FF" w:rsidP="00D822FF">
            <w:r w:rsidRPr="00D822FF">
              <w:t xml:space="preserve">Agreed at SPRC – E&amp;D leads to be identified by </w:t>
            </w:r>
            <w:proofErr w:type="spellStart"/>
            <w:r w:rsidRPr="00D822FF">
              <w:t>HoDAs</w:t>
            </w:r>
            <w:proofErr w:type="spellEnd"/>
          </w:p>
        </w:tc>
        <w:tc>
          <w:tcPr>
            <w:tcW w:w="1701" w:type="dxa"/>
          </w:tcPr>
          <w:p w:rsidR="00D822FF" w:rsidRPr="00D822FF" w:rsidRDefault="00D822FF" w:rsidP="00D822FF">
            <w:proofErr w:type="spellStart"/>
            <w:r w:rsidRPr="00D822FF">
              <w:t>HoDAs</w:t>
            </w:r>
            <w:proofErr w:type="spellEnd"/>
            <w:r w:rsidRPr="00D822FF">
              <w:t xml:space="preserve">; DER; </w:t>
            </w:r>
          </w:p>
        </w:tc>
        <w:tc>
          <w:tcPr>
            <w:tcW w:w="2126" w:type="dxa"/>
          </w:tcPr>
          <w:p w:rsidR="00D822FF" w:rsidRPr="00D822FF" w:rsidRDefault="00D822FF" w:rsidP="00D822FF">
            <w:r w:rsidRPr="00D822FF">
              <w:t xml:space="preserve">By July 2015 </w:t>
            </w:r>
          </w:p>
        </w:tc>
      </w:tr>
      <w:tr w:rsidR="00D822FF" w:rsidRPr="00D822FF" w:rsidTr="00896E11">
        <w:tc>
          <w:tcPr>
            <w:tcW w:w="2660" w:type="dxa"/>
          </w:tcPr>
          <w:p w:rsidR="00D822FF" w:rsidRPr="00D822FF" w:rsidRDefault="00D822FF" w:rsidP="00D822FF">
            <w:r w:rsidRPr="00D822FF">
              <w:t xml:space="preserve">To roll out ‘unconscious bias’ training to all </w:t>
            </w:r>
            <w:proofErr w:type="spellStart"/>
            <w:r w:rsidRPr="00D822FF">
              <w:t>HoDAs</w:t>
            </w:r>
            <w:proofErr w:type="spellEnd"/>
            <w:r w:rsidRPr="00D822FF">
              <w:t xml:space="preserve">, SEG members and colleagues involved in appointments, promotions etc. </w:t>
            </w:r>
          </w:p>
        </w:tc>
        <w:tc>
          <w:tcPr>
            <w:tcW w:w="3402" w:type="dxa"/>
          </w:tcPr>
          <w:p w:rsidR="00D822FF" w:rsidRPr="00D822FF" w:rsidRDefault="00D822FF" w:rsidP="00D822FF">
            <w:r w:rsidRPr="00D822FF">
              <w:t>To make available tailored training to relevant staff and Senior Leadership Team</w:t>
            </w:r>
          </w:p>
        </w:tc>
        <w:tc>
          <w:tcPr>
            <w:tcW w:w="3402" w:type="dxa"/>
          </w:tcPr>
          <w:p w:rsidR="00D822FF" w:rsidRPr="00D822FF" w:rsidRDefault="00D822FF" w:rsidP="00D822FF">
            <w:r w:rsidRPr="00D822FF">
              <w:t>SEG/</w:t>
            </w:r>
            <w:proofErr w:type="spellStart"/>
            <w:r w:rsidRPr="00D822FF">
              <w:t>HoDAs</w:t>
            </w:r>
            <w:proofErr w:type="spellEnd"/>
            <w:r w:rsidRPr="00D822FF">
              <w:t xml:space="preserve"> have trialled online training and fed back to SEG and Equality and Diversity Working Group; DER to undergo tailored training on 1</w:t>
            </w:r>
            <w:r w:rsidRPr="00D822FF">
              <w:rPr>
                <w:vertAlign w:val="superscript"/>
              </w:rPr>
              <w:t>st</w:t>
            </w:r>
            <w:r w:rsidRPr="00D822FF">
              <w:t xml:space="preserve"> July 2015 </w:t>
            </w:r>
          </w:p>
        </w:tc>
        <w:tc>
          <w:tcPr>
            <w:tcW w:w="1701" w:type="dxa"/>
          </w:tcPr>
          <w:p w:rsidR="00D822FF" w:rsidRPr="00D822FF" w:rsidRDefault="00D822FF" w:rsidP="00D822FF">
            <w:r w:rsidRPr="00D822FF">
              <w:t xml:space="preserve">DER, </w:t>
            </w:r>
            <w:proofErr w:type="spellStart"/>
            <w:r w:rsidRPr="00D822FF">
              <w:t>HoS</w:t>
            </w:r>
            <w:proofErr w:type="spellEnd"/>
            <w:r w:rsidRPr="00D822FF">
              <w:t xml:space="preserve">, </w:t>
            </w:r>
            <w:proofErr w:type="spellStart"/>
            <w:r w:rsidRPr="00D822FF">
              <w:t>HoSA</w:t>
            </w:r>
            <w:proofErr w:type="spellEnd"/>
          </w:p>
        </w:tc>
        <w:tc>
          <w:tcPr>
            <w:tcW w:w="2126" w:type="dxa"/>
          </w:tcPr>
          <w:p w:rsidR="00D822FF" w:rsidRPr="00D822FF" w:rsidRDefault="00D822FF" w:rsidP="00D822FF">
            <w:r w:rsidRPr="00D822FF">
              <w:t xml:space="preserve">By December 2015 </w:t>
            </w:r>
          </w:p>
        </w:tc>
      </w:tr>
      <w:tr w:rsidR="00D822FF" w:rsidRPr="00D822FF" w:rsidTr="00896E11">
        <w:tc>
          <w:tcPr>
            <w:tcW w:w="2660" w:type="dxa"/>
          </w:tcPr>
          <w:p w:rsidR="00D822FF" w:rsidRPr="00D822FF" w:rsidRDefault="00D822FF" w:rsidP="00D822FF">
            <w:r w:rsidRPr="00D822FF">
              <w:t xml:space="preserve">To roll out unconscious bias training to all staff in </w:t>
            </w:r>
            <w:proofErr w:type="spellStart"/>
            <w:r w:rsidRPr="00D822FF">
              <w:t>SoSS</w:t>
            </w:r>
            <w:proofErr w:type="spellEnd"/>
          </w:p>
        </w:tc>
        <w:tc>
          <w:tcPr>
            <w:tcW w:w="3402" w:type="dxa"/>
          </w:tcPr>
          <w:p w:rsidR="00D822FF" w:rsidRPr="00D822FF" w:rsidRDefault="00D822FF" w:rsidP="00D822FF">
            <w:r w:rsidRPr="00D822FF">
              <w:t xml:space="preserve">Provide tailored training to all academic advisors, those in leadership roles </w:t>
            </w:r>
          </w:p>
        </w:tc>
        <w:tc>
          <w:tcPr>
            <w:tcW w:w="3402" w:type="dxa"/>
          </w:tcPr>
          <w:p w:rsidR="00D822FF" w:rsidRPr="00D822FF" w:rsidRDefault="00D822FF" w:rsidP="00D822FF">
            <w:r w:rsidRPr="00D822FF">
              <w:t>Will revisit after SLT have undergone training</w:t>
            </w:r>
          </w:p>
        </w:tc>
        <w:tc>
          <w:tcPr>
            <w:tcW w:w="1701" w:type="dxa"/>
          </w:tcPr>
          <w:p w:rsidR="00D822FF" w:rsidRPr="00D822FF" w:rsidRDefault="00D822FF" w:rsidP="00D822FF">
            <w:r w:rsidRPr="00D822FF">
              <w:t xml:space="preserve">DER, </w:t>
            </w:r>
            <w:proofErr w:type="spellStart"/>
            <w:r w:rsidRPr="00D822FF">
              <w:t>HoS</w:t>
            </w:r>
            <w:proofErr w:type="spellEnd"/>
            <w:r w:rsidRPr="00D822FF">
              <w:t xml:space="preserve">, </w:t>
            </w:r>
            <w:proofErr w:type="spellStart"/>
            <w:r w:rsidRPr="00D822FF">
              <w:t>HoSA</w:t>
            </w:r>
            <w:proofErr w:type="spellEnd"/>
          </w:p>
        </w:tc>
        <w:tc>
          <w:tcPr>
            <w:tcW w:w="2126" w:type="dxa"/>
          </w:tcPr>
          <w:p w:rsidR="00D822FF" w:rsidRPr="00D822FF" w:rsidRDefault="00D822FF" w:rsidP="00D822FF">
            <w:r w:rsidRPr="00D822FF">
              <w:t>By July 2016</w:t>
            </w:r>
          </w:p>
        </w:tc>
      </w:tr>
    </w:tbl>
    <w:p w:rsidR="00D822FF" w:rsidRPr="00D822FF" w:rsidRDefault="00D822FF" w:rsidP="00D822FF"/>
    <w:sectPr w:rsidR="00D822FF" w:rsidRPr="00D822FF" w:rsidSect="00896E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CFA" w:rsidRDefault="00C06CFA" w:rsidP="00403E41">
      <w:pPr>
        <w:spacing w:after="0" w:line="240" w:lineRule="auto"/>
      </w:pPr>
      <w:r>
        <w:separator/>
      </w:r>
    </w:p>
  </w:endnote>
  <w:endnote w:type="continuationSeparator" w:id="0">
    <w:p w:rsidR="00C06CFA" w:rsidRDefault="00C06CFA" w:rsidP="00403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22D" w:rsidRDefault="002B222D">
    <w:pPr>
      <w:pStyle w:val="Footer"/>
    </w:pPr>
    <w:r>
      <w:t>CF/AM June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CFA" w:rsidRDefault="00C06CFA" w:rsidP="00403E41">
      <w:pPr>
        <w:spacing w:after="0" w:line="240" w:lineRule="auto"/>
      </w:pPr>
      <w:r>
        <w:separator/>
      </w:r>
    </w:p>
  </w:footnote>
  <w:footnote w:type="continuationSeparator" w:id="0">
    <w:p w:rsidR="00C06CFA" w:rsidRDefault="00C06CFA" w:rsidP="00403E41">
      <w:pPr>
        <w:spacing w:after="0" w:line="240" w:lineRule="auto"/>
      </w:pPr>
      <w:r>
        <w:continuationSeparator/>
      </w:r>
    </w:p>
  </w:footnote>
  <w:footnote w:id="1">
    <w:p w:rsidR="002B222D" w:rsidRDefault="002B222D" w:rsidP="00D822FF">
      <w:pPr>
        <w:pStyle w:val="FootnoteText"/>
      </w:pPr>
      <w:r>
        <w:rPr>
          <w:rStyle w:val="FootnoteReference"/>
        </w:rPr>
        <w:footnoteRef/>
      </w:r>
      <w:r>
        <w:t xml:space="preserve"> This represents the combined profile of the two FPCs operated in Humanities.</w:t>
      </w:r>
    </w:p>
  </w:footnote>
  <w:footnote w:id="2">
    <w:p w:rsidR="002B222D" w:rsidRPr="00944E66" w:rsidRDefault="002B222D" w:rsidP="00403E41">
      <w:pPr>
        <w:spacing w:after="120"/>
        <w:rPr>
          <w:rFonts w:eastAsia="Times New Roman" w:cs="Segoe UI"/>
          <w:color w:val="000000"/>
          <w:lang w:eastAsia="en-GB"/>
        </w:rPr>
      </w:pPr>
      <w:r>
        <w:rPr>
          <w:rStyle w:val="FootnoteReference"/>
        </w:rPr>
        <w:footnoteRef/>
      </w:r>
      <w:r>
        <w:t xml:space="preserve"> </w:t>
      </w:r>
      <w:r w:rsidRPr="00944E66">
        <w:rPr>
          <w:rFonts w:eastAsia="Times New Roman" w:cs="Segoe UI"/>
          <w:color w:val="000000"/>
          <w:lang w:eastAsia="en-GB"/>
        </w:rPr>
        <w:t xml:space="preserve">HR </w:t>
      </w:r>
      <w:r>
        <w:rPr>
          <w:rFonts w:eastAsia="Times New Roman" w:cs="Segoe UI"/>
          <w:color w:val="000000"/>
          <w:lang w:eastAsia="en-GB"/>
        </w:rPr>
        <w:t xml:space="preserve">is </w:t>
      </w:r>
      <w:r w:rsidRPr="00944E66">
        <w:rPr>
          <w:rFonts w:eastAsia="Times New Roman" w:cs="Segoe UI"/>
          <w:color w:val="000000"/>
          <w:lang w:eastAsia="en-GB"/>
        </w:rPr>
        <w:t xml:space="preserve">currently reviewing the possibility of replacing or renewing </w:t>
      </w:r>
      <w:proofErr w:type="spellStart"/>
      <w:r w:rsidRPr="00944E66">
        <w:rPr>
          <w:rFonts w:eastAsia="Times New Roman" w:cs="Segoe UI"/>
          <w:color w:val="000000"/>
          <w:lang w:eastAsia="en-GB"/>
        </w:rPr>
        <w:t>Jobtrain</w:t>
      </w:r>
      <w:proofErr w:type="spellEnd"/>
      <w:r w:rsidRPr="00944E66">
        <w:rPr>
          <w:rFonts w:eastAsia="Times New Roman" w:cs="Segoe UI"/>
          <w:color w:val="000000"/>
          <w:lang w:eastAsia="en-GB"/>
        </w:rPr>
        <w:t xml:space="preserve"> and </w:t>
      </w:r>
      <w:r>
        <w:rPr>
          <w:rFonts w:eastAsia="Times New Roman" w:cs="Segoe UI"/>
          <w:color w:val="000000"/>
          <w:lang w:eastAsia="en-GB"/>
        </w:rPr>
        <w:t>it is anticipated that any changes will take account of the requirement to produce such data more frequently.</w:t>
      </w:r>
    </w:p>
    <w:p w:rsidR="002B222D" w:rsidRDefault="002B222D" w:rsidP="00403E41">
      <w:pPr>
        <w:pStyle w:val="FootnoteText"/>
      </w:pPr>
    </w:p>
  </w:footnote>
  <w:footnote w:id="3">
    <w:p w:rsidR="002B222D" w:rsidRDefault="002B222D" w:rsidP="00403E41">
      <w:pPr>
        <w:pStyle w:val="FootnoteText"/>
      </w:pPr>
      <w:r>
        <w:rPr>
          <w:rStyle w:val="FootnoteReference"/>
        </w:rPr>
        <w:footnoteRef/>
      </w:r>
      <w:r>
        <w:t xml:space="preserve"> i.e. those stipulated in M2020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39D6"/>
    <w:multiLevelType w:val="hybridMultilevel"/>
    <w:tmpl w:val="2934F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0A7807"/>
    <w:multiLevelType w:val="hybridMultilevel"/>
    <w:tmpl w:val="F1F295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C8340EF"/>
    <w:multiLevelType w:val="hybridMultilevel"/>
    <w:tmpl w:val="9D2E7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7D3DE4"/>
    <w:multiLevelType w:val="hybridMultilevel"/>
    <w:tmpl w:val="2A08BD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5133F5"/>
    <w:multiLevelType w:val="hybridMultilevel"/>
    <w:tmpl w:val="BB9028A8"/>
    <w:lvl w:ilvl="0" w:tplc="EE6686B8">
      <w:start w:val="1"/>
      <w:numFmt w:val="lowerLetter"/>
      <w:lvlText w:val="(%1)"/>
      <w:lvlJc w:val="left"/>
      <w:pPr>
        <w:ind w:left="306" w:hanging="360"/>
      </w:pPr>
      <w:rPr>
        <w:rFonts w:hint="default"/>
      </w:rPr>
    </w:lvl>
    <w:lvl w:ilvl="1" w:tplc="04090019" w:tentative="1">
      <w:start w:val="1"/>
      <w:numFmt w:val="lowerLetter"/>
      <w:lvlText w:val="%2."/>
      <w:lvlJc w:val="left"/>
      <w:pPr>
        <w:ind w:left="1026" w:hanging="360"/>
      </w:pPr>
    </w:lvl>
    <w:lvl w:ilvl="2" w:tplc="0409001B" w:tentative="1">
      <w:start w:val="1"/>
      <w:numFmt w:val="lowerRoman"/>
      <w:lvlText w:val="%3."/>
      <w:lvlJc w:val="right"/>
      <w:pPr>
        <w:ind w:left="1746" w:hanging="180"/>
      </w:pPr>
    </w:lvl>
    <w:lvl w:ilvl="3" w:tplc="0409000F" w:tentative="1">
      <w:start w:val="1"/>
      <w:numFmt w:val="decimal"/>
      <w:lvlText w:val="%4."/>
      <w:lvlJc w:val="left"/>
      <w:pPr>
        <w:ind w:left="2466" w:hanging="360"/>
      </w:pPr>
    </w:lvl>
    <w:lvl w:ilvl="4" w:tplc="04090019" w:tentative="1">
      <w:start w:val="1"/>
      <w:numFmt w:val="lowerLetter"/>
      <w:lvlText w:val="%5."/>
      <w:lvlJc w:val="left"/>
      <w:pPr>
        <w:ind w:left="3186" w:hanging="360"/>
      </w:pPr>
    </w:lvl>
    <w:lvl w:ilvl="5" w:tplc="0409001B" w:tentative="1">
      <w:start w:val="1"/>
      <w:numFmt w:val="lowerRoman"/>
      <w:lvlText w:val="%6."/>
      <w:lvlJc w:val="right"/>
      <w:pPr>
        <w:ind w:left="3906" w:hanging="180"/>
      </w:pPr>
    </w:lvl>
    <w:lvl w:ilvl="6" w:tplc="0409000F" w:tentative="1">
      <w:start w:val="1"/>
      <w:numFmt w:val="decimal"/>
      <w:lvlText w:val="%7."/>
      <w:lvlJc w:val="left"/>
      <w:pPr>
        <w:ind w:left="4626" w:hanging="360"/>
      </w:pPr>
    </w:lvl>
    <w:lvl w:ilvl="7" w:tplc="04090019" w:tentative="1">
      <w:start w:val="1"/>
      <w:numFmt w:val="lowerLetter"/>
      <w:lvlText w:val="%8."/>
      <w:lvlJc w:val="left"/>
      <w:pPr>
        <w:ind w:left="5346" w:hanging="360"/>
      </w:pPr>
    </w:lvl>
    <w:lvl w:ilvl="8" w:tplc="0409001B" w:tentative="1">
      <w:start w:val="1"/>
      <w:numFmt w:val="lowerRoman"/>
      <w:lvlText w:val="%9."/>
      <w:lvlJc w:val="right"/>
      <w:pPr>
        <w:ind w:left="6066" w:hanging="180"/>
      </w:pPr>
    </w:lvl>
  </w:abstractNum>
  <w:abstractNum w:abstractNumId="5">
    <w:nsid w:val="238E2FA5"/>
    <w:multiLevelType w:val="hybridMultilevel"/>
    <w:tmpl w:val="1C2C3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E460C2"/>
    <w:multiLevelType w:val="hybridMultilevel"/>
    <w:tmpl w:val="4816E2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7742984"/>
    <w:multiLevelType w:val="hybridMultilevel"/>
    <w:tmpl w:val="6016BA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272E01"/>
    <w:multiLevelType w:val="hybridMultilevel"/>
    <w:tmpl w:val="48E28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C872F1"/>
    <w:multiLevelType w:val="hybridMultilevel"/>
    <w:tmpl w:val="9A6EE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11242A"/>
    <w:multiLevelType w:val="hybridMultilevel"/>
    <w:tmpl w:val="210AF7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E75C5F"/>
    <w:multiLevelType w:val="hybridMultilevel"/>
    <w:tmpl w:val="F0D6C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4267E4A"/>
    <w:multiLevelType w:val="hybridMultilevel"/>
    <w:tmpl w:val="B62E8E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nsid w:val="642948B5"/>
    <w:multiLevelType w:val="hybridMultilevel"/>
    <w:tmpl w:val="225230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7A14FCA"/>
    <w:multiLevelType w:val="hybridMultilevel"/>
    <w:tmpl w:val="7472D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793FA2"/>
    <w:multiLevelType w:val="hybridMultilevel"/>
    <w:tmpl w:val="6D724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EEF0F08"/>
    <w:multiLevelType w:val="hybridMultilevel"/>
    <w:tmpl w:val="5FD61F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047162E"/>
    <w:multiLevelType w:val="hybridMultilevel"/>
    <w:tmpl w:val="330E2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5226AA8"/>
    <w:multiLevelType w:val="hybridMultilevel"/>
    <w:tmpl w:val="7E3072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64" w:hanging="360"/>
      </w:pPr>
      <w:rPr>
        <w:rFonts w:ascii="Courier New" w:hAnsi="Courier New" w:cs="Courier New" w:hint="default"/>
      </w:rPr>
    </w:lvl>
    <w:lvl w:ilvl="2" w:tplc="08090005">
      <w:start w:val="1"/>
      <w:numFmt w:val="bullet"/>
      <w:lvlText w:val=""/>
      <w:lvlJc w:val="left"/>
      <w:pPr>
        <w:ind w:left="-44" w:hanging="360"/>
      </w:pPr>
      <w:rPr>
        <w:rFonts w:ascii="Wingdings" w:hAnsi="Wingdings" w:hint="default"/>
      </w:rPr>
    </w:lvl>
    <w:lvl w:ilvl="3" w:tplc="08090001">
      <w:start w:val="1"/>
      <w:numFmt w:val="bullet"/>
      <w:lvlText w:val=""/>
      <w:lvlJc w:val="left"/>
      <w:pPr>
        <w:ind w:left="676" w:hanging="360"/>
      </w:pPr>
      <w:rPr>
        <w:rFonts w:ascii="Symbol" w:hAnsi="Symbol" w:hint="default"/>
      </w:rPr>
    </w:lvl>
    <w:lvl w:ilvl="4" w:tplc="08090003">
      <w:start w:val="1"/>
      <w:numFmt w:val="bullet"/>
      <w:lvlText w:val="o"/>
      <w:lvlJc w:val="left"/>
      <w:pPr>
        <w:ind w:left="1396" w:hanging="360"/>
      </w:pPr>
      <w:rPr>
        <w:rFonts w:ascii="Courier New" w:hAnsi="Courier New" w:cs="Courier New" w:hint="default"/>
      </w:rPr>
    </w:lvl>
    <w:lvl w:ilvl="5" w:tplc="08090005">
      <w:start w:val="1"/>
      <w:numFmt w:val="bullet"/>
      <w:lvlText w:val=""/>
      <w:lvlJc w:val="left"/>
      <w:pPr>
        <w:ind w:left="2116" w:hanging="360"/>
      </w:pPr>
      <w:rPr>
        <w:rFonts w:ascii="Wingdings" w:hAnsi="Wingdings" w:hint="default"/>
      </w:rPr>
    </w:lvl>
    <w:lvl w:ilvl="6" w:tplc="08090001">
      <w:start w:val="1"/>
      <w:numFmt w:val="bullet"/>
      <w:lvlText w:val=""/>
      <w:lvlJc w:val="left"/>
      <w:pPr>
        <w:ind w:left="2836" w:hanging="360"/>
      </w:pPr>
      <w:rPr>
        <w:rFonts w:ascii="Symbol" w:hAnsi="Symbol" w:hint="default"/>
      </w:rPr>
    </w:lvl>
    <w:lvl w:ilvl="7" w:tplc="08090003">
      <w:start w:val="1"/>
      <w:numFmt w:val="bullet"/>
      <w:lvlText w:val="o"/>
      <w:lvlJc w:val="left"/>
      <w:pPr>
        <w:ind w:left="3556" w:hanging="360"/>
      </w:pPr>
      <w:rPr>
        <w:rFonts w:ascii="Courier New" w:hAnsi="Courier New" w:cs="Courier New" w:hint="default"/>
      </w:rPr>
    </w:lvl>
    <w:lvl w:ilvl="8" w:tplc="08090005">
      <w:start w:val="1"/>
      <w:numFmt w:val="bullet"/>
      <w:lvlText w:val=""/>
      <w:lvlJc w:val="left"/>
      <w:pPr>
        <w:ind w:left="4276" w:hanging="360"/>
      </w:pPr>
      <w:rPr>
        <w:rFonts w:ascii="Wingdings" w:hAnsi="Wingdings" w:hint="default"/>
      </w:rPr>
    </w:lvl>
  </w:abstractNum>
  <w:abstractNum w:abstractNumId="19">
    <w:nsid w:val="7AB54A93"/>
    <w:multiLevelType w:val="hybridMultilevel"/>
    <w:tmpl w:val="D1821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C3722F7"/>
    <w:multiLevelType w:val="hybridMultilevel"/>
    <w:tmpl w:val="A8AA1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CA62CD8"/>
    <w:multiLevelType w:val="hybridMultilevel"/>
    <w:tmpl w:val="51582A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F930F74"/>
    <w:multiLevelType w:val="hybridMultilevel"/>
    <w:tmpl w:val="F078B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7"/>
  </w:num>
  <w:num w:numId="4">
    <w:abstractNumId w:val="16"/>
  </w:num>
  <w:num w:numId="5">
    <w:abstractNumId w:val="11"/>
  </w:num>
  <w:num w:numId="6">
    <w:abstractNumId w:val="10"/>
  </w:num>
  <w:num w:numId="7">
    <w:abstractNumId w:val="0"/>
  </w:num>
  <w:num w:numId="8">
    <w:abstractNumId w:val="9"/>
  </w:num>
  <w:num w:numId="9">
    <w:abstractNumId w:val="14"/>
  </w:num>
  <w:num w:numId="10">
    <w:abstractNumId w:val="21"/>
  </w:num>
  <w:num w:numId="11">
    <w:abstractNumId w:val="8"/>
  </w:num>
  <w:num w:numId="12">
    <w:abstractNumId w:val="18"/>
  </w:num>
  <w:num w:numId="13">
    <w:abstractNumId w:val="12"/>
  </w:num>
  <w:num w:numId="14">
    <w:abstractNumId w:val="2"/>
  </w:num>
  <w:num w:numId="15">
    <w:abstractNumId w:val="15"/>
  </w:num>
  <w:num w:numId="16">
    <w:abstractNumId w:val="6"/>
  </w:num>
  <w:num w:numId="17">
    <w:abstractNumId w:val="4"/>
  </w:num>
  <w:num w:numId="18">
    <w:abstractNumId w:val="3"/>
  </w:num>
  <w:num w:numId="19">
    <w:abstractNumId w:val="19"/>
  </w:num>
  <w:num w:numId="20">
    <w:abstractNumId w:val="1"/>
  </w:num>
  <w:num w:numId="21">
    <w:abstractNumId w:val="22"/>
  </w:num>
  <w:num w:numId="22">
    <w:abstractNumId w:val="17"/>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E41"/>
    <w:rsid w:val="001F25DF"/>
    <w:rsid w:val="002B222D"/>
    <w:rsid w:val="00403E41"/>
    <w:rsid w:val="004F2F42"/>
    <w:rsid w:val="006E79A8"/>
    <w:rsid w:val="00704A76"/>
    <w:rsid w:val="00742245"/>
    <w:rsid w:val="00796E42"/>
    <w:rsid w:val="0088672E"/>
    <w:rsid w:val="00896E11"/>
    <w:rsid w:val="00AD1B3A"/>
    <w:rsid w:val="00C06CFA"/>
    <w:rsid w:val="00CF6804"/>
    <w:rsid w:val="00D100AA"/>
    <w:rsid w:val="00D822FF"/>
    <w:rsid w:val="00F66E90"/>
    <w:rsid w:val="00F7560A"/>
    <w:rsid w:val="00F81DB9"/>
    <w:rsid w:val="00FA7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E41"/>
    <w:pPr>
      <w:ind w:left="720"/>
      <w:contextualSpacing/>
    </w:pPr>
  </w:style>
  <w:style w:type="paragraph" w:customStyle="1" w:styleId="Default">
    <w:name w:val="Default"/>
    <w:rsid w:val="00403E4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03E41"/>
    <w:rPr>
      <w:color w:val="0000FF" w:themeColor="hyperlink"/>
      <w:u w:val="single"/>
    </w:rPr>
  </w:style>
  <w:style w:type="table" w:styleId="TableGrid">
    <w:name w:val="Table Grid"/>
    <w:basedOn w:val="TableNormal"/>
    <w:uiPriority w:val="59"/>
    <w:rsid w:val="00403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03E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3E41"/>
    <w:rPr>
      <w:sz w:val="20"/>
      <w:szCs w:val="20"/>
    </w:rPr>
  </w:style>
  <w:style w:type="character" w:styleId="FootnoteReference">
    <w:name w:val="footnote reference"/>
    <w:basedOn w:val="DefaultParagraphFont"/>
    <w:uiPriority w:val="99"/>
    <w:semiHidden/>
    <w:unhideWhenUsed/>
    <w:rsid w:val="00403E41"/>
    <w:rPr>
      <w:vertAlign w:val="superscript"/>
    </w:rPr>
  </w:style>
  <w:style w:type="paragraph" w:styleId="NoSpacing">
    <w:name w:val="No Spacing"/>
    <w:uiPriority w:val="1"/>
    <w:qFormat/>
    <w:rsid w:val="00403E41"/>
    <w:pPr>
      <w:spacing w:after="0" w:line="240" w:lineRule="auto"/>
    </w:pPr>
  </w:style>
  <w:style w:type="paragraph" w:styleId="Header">
    <w:name w:val="header"/>
    <w:basedOn w:val="Normal"/>
    <w:link w:val="HeaderChar"/>
    <w:uiPriority w:val="99"/>
    <w:unhideWhenUsed/>
    <w:rsid w:val="00403E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E41"/>
  </w:style>
  <w:style w:type="paragraph" w:styleId="Footer">
    <w:name w:val="footer"/>
    <w:basedOn w:val="Normal"/>
    <w:link w:val="FooterChar"/>
    <w:uiPriority w:val="99"/>
    <w:unhideWhenUsed/>
    <w:rsid w:val="00403E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E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E41"/>
    <w:pPr>
      <w:ind w:left="720"/>
      <w:contextualSpacing/>
    </w:pPr>
  </w:style>
  <w:style w:type="paragraph" w:customStyle="1" w:styleId="Default">
    <w:name w:val="Default"/>
    <w:rsid w:val="00403E4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03E41"/>
    <w:rPr>
      <w:color w:val="0000FF" w:themeColor="hyperlink"/>
      <w:u w:val="single"/>
    </w:rPr>
  </w:style>
  <w:style w:type="table" w:styleId="TableGrid">
    <w:name w:val="Table Grid"/>
    <w:basedOn w:val="TableNormal"/>
    <w:uiPriority w:val="59"/>
    <w:rsid w:val="00403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03E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3E41"/>
    <w:rPr>
      <w:sz w:val="20"/>
      <w:szCs w:val="20"/>
    </w:rPr>
  </w:style>
  <w:style w:type="character" w:styleId="FootnoteReference">
    <w:name w:val="footnote reference"/>
    <w:basedOn w:val="DefaultParagraphFont"/>
    <w:uiPriority w:val="99"/>
    <w:semiHidden/>
    <w:unhideWhenUsed/>
    <w:rsid w:val="00403E41"/>
    <w:rPr>
      <w:vertAlign w:val="superscript"/>
    </w:rPr>
  </w:style>
  <w:style w:type="paragraph" w:styleId="NoSpacing">
    <w:name w:val="No Spacing"/>
    <w:uiPriority w:val="1"/>
    <w:qFormat/>
    <w:rsid w:val="00403E41"/>
    <w:pPr>
      <w:spacing w:after="0" w:line="240" w:lineRule="auto"/>
    </w:pPr>
  </w:style>
  <w:style w:type="paragraph" w:styleId="Header">
    <w:name w:val="header"/>
    <w:basedOn w:val="Normal"/>
    <w:link w:val="HeaderChar"/>
    <w:uiPriority w:val="99"/>
    <w:unhideWhenUsed/>
    <w:rsid w:val="00403E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E41"/>
  </w:style>
  <w:style w:type="paragraph" w:styleId="Footer">
    <w:name w:val="footer"/>
    <w:basedOn w:val="Normal"/>
    <w:link w:val="FooterChar"/>
    <w:uiPriority w:val="99"/>
    <w:unhideWhenUsed/>
    <w:rsid w:val="00403E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u.ac.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ntranet.mbs.ac.uk/Newsandevents/TabId/690/ArtMID/1780/ArticleID/240/Staff-Awards-2014.aspx"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6120</Words>
  <Characters>34886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40925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Mullen</dc:creator>
  <cp:lastModifiedBy>Andrew Mullen</cp:lastModifiedBy>
  <cp:revision>2</cp:revision>
  <dcterms:created xsi:type="dcterms:W3CDTF">2015-10-02T11:59:00Z</dcterms:created>
  <dcterms:modified xsi:type="dcterms:W3CDTF">2015-10-02T11:59:00Z</dcterms:modified>
</cp:coreProperties>
</file>